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F76" w:rsidRDefault="00AF681A" w:rsidP="00AF681A">
      <w:pPr>
        <w:jc w:val="center"/>
        <w:rPr>
          <w:rFonts w:ascii="Times New Roman" w:hAnsi="Times New Roman" w:cs="Times New Roman"/>
          <w:b/>
          <w:bCs/>
          <w:sz w:val="52"/>
          <w:szCs w:val="52"/>
        </w:rPr>
      </w:pPr>
      <w:r w:rsidRPr="00AF681A">
        <w:rPr>
          <w:noProof/>
          <w:sz w:val="36"/>
          <w:szCs w:val="36"/>
        </w:rPr>
        <w:drawing>
          <wp:anchor distT="0" distB="0" distL="114300" distR="114300" simplePos="0" relativeHeight="251659264" behindDoc="0" locked="0" layoutInCell="1" allowOverlap="1" wp14:anchorId="745E8441" wp14:editId="69049DCF">
            <wp:simplePos x="0" y="0"/>
            <wp:positionH relativeFrom="column">
              <wp:posOffset>5981065</wp:posOffset>
            </wp:positionH>
            <wp:positionV relativeFrom="paragraph">
              <wp:posOffset>0</wp:posOffset>
            </wp:positionV>
            <wp:extent cx="811530" cy="1158875"/>
            <wp:effectExtent l="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l="86870" t="1298"/>
                    <a:stretch/>
                  </pic:blipFill>
                  <pic:spPr bwMode="auto">
                    <a:xfrm>
                      <a:off x="0" y="0"/>
                      <a:ext cx="811530" cy="1158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F681A">
        <w:rPr>
          <w:noProof/>
          <w:sz w:val="36"/>
          <w:szCs w:val="36"/>
        </w:rPr>
        <w:drawing>
          <wp:anchor distT="0" distB="0" distL="114300" distR="114300" simplePos="0" relativeHeight="251660288" behindDoc="0" locked="0" layoutInCell="1" allowOverlap="1" wp14:anchorId="7126F320" wp14:editId="7E4A0629">
            <wp:simplePos x="0" y="0"/>
            <wp:positionH relativeFrom="page">
              <wp:posOffset>146542</wp:posOffset>
            </wp:positionH>
            <wp:positionV relativeFrom="paragraph">
              <wp:posOffset>36</wp:posOffset>
            </wp:positionV>
            <wp:extent cx="1706880" cy="991836"/>
            <wp:effectExtent l="0" t="0" r="762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250" t="-2892" r="68947" b="-2200"/>
                    <a:stretch/>
                  </pic:blipFill>
                  <pic:spPr bwMode="auto">
                    <a:xfrm>
                      <a:off x="0" y="0"/>
                      <a:ext cx="1706880" cy="9918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F681A">
        <w:rPr>
          <w:rFonts w:ascii="Times New Roman" w:hAnsi="Times New Roman" w:cs="Times New Roman"/>
          <w:b/>
          <w:bCs/>
          <w:sz w:val="52"/>
          <w:szCs w:val="52"/>
        </w:rPr>
        <w:t>The incidence rate of Asymptomatic Bacteriuria</w:t>
      </w:r>
    </w:p>
    <w:p w:rsidR="00DB2979" w:rsidRDefault="00106439" w:rsidP="00AF681A">
      <w:pPr>
        <w:jc w:val="center"/>
        <w:rPr>
          <w:rFonts w:ascii="Times New Roman" w:hAnsi="Times New Roman" w:cs="Times New Roman"/>
          <w:b/>
          <w:bCs/>
          <w:sz w:val="36"/>
          <w:szCs w:val="36"/>
        </w:rPr>
      </w:pPr>
      <w:bookmarkStart w:id="0" w:name="_GoBack"/>
      <w:bookmarkEnd w:id="0"/>
      <w:r w:rsidRPr="00171F76">
        <w:rPr>
          <w:rFonts w:ascii="Times New Roman" w:hAnsi="Times New Roman" w:cs="Times New Roman"/>
          <w:b/>
          <w:bCs/>
          <w:sz w:val="52"/>
          <w:szCs w:val="52"/>
        </w:rPr>
        <w:t>Among</w:t>
      </w:r>
      <w:r w:rsidR="00171F76" w:rsidRPr="00171F76">
        <w:rPr>
          <w:rFonts w:ascii="Times New Roman" w:hAnsi="Times New Roman" w:cs="Times New Roman"/>
          <w:b/>
          <w:bCs/>
          <w:sz w:val="52"/>
          <w:szCs w:val="52"/>
        </w:rPr>
        <w:t xml:space="preserve"> LIMU students</w:t>
      </w:r>
      <w:r w:rsidR="00AF681A">
        <w:rPr>
          <w:rFonts w:ascii="Times New Roman" w:hAnsi="Times New Roman" w:cs="Times New Roman"/>
          <w:b/>
          <w:bCs/>
          <w:sz w:val="52"/>
          <w:szCs w:val="52"/>
        </w:rPr>
        <w:t xml:space="preserve"> </w:t>
      </w:r>
    </w:p>
    <w:p w:rsidR="00AF681A" w:rsidRDefault="00AF681A" w:rsidP="00AF681A">
      <w:pPr>
        <w:jc w:val="center"/>
        <w:rPr>
          <w:rFonts w:ascii="Times New Roman" w:hAnsi="Times New Roman" w:cs="Times New Roman"/>
          <w:b/>
          <w:bCs/>
          <w:sz w:val="36"/>
          <w:szCs w:val="36"/>
        </w:rPr>
      </w:pPr>
    </w:p>
    <w:p w:rsidR="00AF681A" w:rsidRDefault="00AF681A" w:rsidP="00AF681A">
      <w:pPr>
        <w:jc w:val="center"/>
        <w:rPr>
          <w:rFonts w:ascii="Times New Roman" w:hAnsi="Times New Roman" w:cs="Times New Roman"/>
          <w:b/>
          <w:bCs/>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28691C" w:rsidRDefault="0028691C" w:rsidP="00AF681A">
      <w:pPr>
        <w:jc w:val="center"/>
        <w:rPr>
          <w:sz w:val="36"/>
          <w:szCs w:val="36"/>
        </w:rPr>
      </w:pPr>
    </w:p>
    <w:p w:rsidR="00AF681A" w:rsidRPr="00AF681A" w:rsidRDefault="00AF681A" w:rsidP="00AF681A">
      <w:pPr>
        <w:jc w:val="center"/>
        <w:rPr>
          <w:sz w:val="36"/>
          <w:szCs w:val="36"/>
        </w:rPr>
      </w:pPr>
      <w:r w:rsidRPr="00AF681A">
        <w:rPr>
          <w:sz w:val="36"/>
          <w:szCs w:val="36"/>
        </w:rPr>
        <w:t xml:space="preserve">Name: </w:t>
      </w:r>
      <w:r w:rsidRPr="00AF681A">
        <w:rPr>
          <w:b/>
          <w:bCs/>
          <w:sz w:val="36"/>
          <w:szCs w:val="36"/>
        </w:rPr>
        <w:t xml:space="preserve">Tasneem </w:t>
      </w:r>
      <w:r w:rsidR="00171F76" w:rsidRPr="00AF681A">
        <w:rPr>
          <w:b/>
          <w:bCs/>
          <w:sz w:val="36"/>
          <w:szCs w:val="36"/>
        </w:rPr>
        <w:t>ALTarhuni</w:t>
      </w:r>
      <w:r w:rsidRPr="00AF681A">
        <w:rPr>
          <w:sz w:val="36"/>
          <w:szCs w:val="36"/>
        </w:rPr>
        <w:t xml:space="preserve"> </w:t>
      </w:r>
    </w:p>
    <w:p w:rsidR="00AF681A" w:rsidRPr="00AF681A" w:rsidRDefault="00AF681A" w:rsidP="00AF681A">
      <w:pPr>
        <w:jc w:val="center"/>
        <w:rPr>
          <w:sz w:val="36"/>
          <w:szCs w:val="36"/>
        </w:rPr>
      </w:pPr>
      <w:r w:rsidRPr="00AF681A">
        <w:rPr>
          <w:sz w:val="36"/>
          <w:szCs w:val="36"/>
        </w:rPr>
        <w:t xml:space="preserve">Student number: </w:t>
      </w:r>
      <w:r w:rsidRPr="00AF681A">
        <w:rPr>
          <w:b/>
          <w:bCs/>
          <w:sz w:val="36"/>
          <w:szCs w:val="36"/>
        </w:rPr>
        <w:t>2795</w:t>
      </w:r>
    </w:p>
    <w:p w:rsidR="00AF681A" w:rsidRDefault="00AF681A" w:rsidP="00AF681A">
      <w:pPr>
        <w:jc w:val="center"/>
        <w:rPr>
          <w:sz w:val="36"/>
          <w:szCs w:val="36"/>
        </w:rPr>
      </w:pPr>
      <w:r w:rsidRPr="00AF681A">
        <w:rPr>
          <w:sz w:val="36"/>
          <w:szCs w:val="36"/>
        </w:rPr>
        <w:t>PTS block</w:t>
      </w:r>
    </w:p>
    <w:p w:rsidR="00171F76" w:rsidRPr="00AF681A" w:rsidRDefault="00171F76" w:rsidP="00AF681A">
      <w:pPr>
        <w:jc w:val="center"/>
        <w:rPr>
          <w:sz w:val="36"/>
          <w:szCs w:val="36"/>
        </w:rPr>
      </w:pPr>
      <w:r>
        <w:rPr>
          <w:sz w:val="36"/>
          <w:szCs w:val="36"/>
        </w:rPr>
        <w:t xml:space="preserve">Supervised by Dr. Asma Elkwafi </w:t>
      </w:r>
    </w:p>
    <w:p w:rsidR="00AF681A" w:rsidRDefault="00AF681A" w:rsidP="00171F76">
      <w:pPr>
        <w:jc w:val="center"/>
        <w:rPr>
          <w:sz w:val="36"/>
          <w:szCs w:val="36"/>
        </w:rPr>
      </w:pPr>
      <w:r w:rsidRPr="00AF681A">
        <w:rPr>
          <w:sz w:val="36"/>
          <w:szCs w:val="36"/>
        </w:rPr>
        <w:t xml:space="preserve">June </w:t>
      </w:r>
      <w:r w:rsidR="00171F76">
        <w:rPr>
          <w:sz w:val="36"/>
          <w:szCs w:val="36"/>
        </w:rPr>
        <w:t>20</w:t>
      </w:r>
      <w:r w:rsidRPr="00AF681A">
        <w:rPr>
          <w:sz w:val="36"/>
          <w:szCs w:val="36"/>
        </w:rPr>
        <w:t>, 2022</w:t>
      </w:r>
    </w:p>
    <w:p w:rsidR="00AF681A" w:rsidRDefault="00AF681A">
      <w:pPr>
        <w:rPr>
          <w:sz w:val="36"/>
          <w:szCs w:val="36"/>
        </w:rPr>
      </w:pPr>
      <w:r>
        <w:rPr>
          <w:sz w:val="36"/>
          <w:szCs w:val="36"/>
        </w:rPr>
        <w:lastRenderedPageBreak/>
        <w:br w:type="page"/>
      </w:r>
    </w:p>
    <w:p w:rsidR="00AF681A" w:rsidRPr="0028691C" w:rsidRDefault="00AF681A" w:rsidP="00AF681A">
      <w:pPr>
        <w:rPr>
          <w:b/>
          <w:bCs/>
          <w:color w:val="1F3864" w:themeColor="accent5" w:themeShade="80"/>
          <w:sz w:val="44"/>
          <w:szCs w:val="44"/>
          <w:rtl/>
        </w:rPr>
      </w:pPr>
      <w:r w:rsidRPr="0028691C">
        <w:rPr>
          <w:b/>
          <w:bCs/>
          <w:color w:val="1F3864" w:themeColor="accent5" w:themeShade="80"/>
          <w:sz w:val="44"/>
          <w:szCs w:val="44"/>
        </w:rPr>
        <w:lastRenderedPageBreak/>
        <w:t xml:space="preserve">Abstract </w:t>
      </w:r>
    </w:p>
    <w:p w:rsidR="00A61A31" w:rsidRDefault="00B86FF2" w:rsidP="00AF681A">
      <w:pPr>
        <w:rPr>
          <w:b/>
          <w:bCs/>
          <w:sz w:val="36"/>
          <w:szCs w:val="36"/>
        </w:rPr>
      </w:pPr>
      <w:r w:rsidRPr="00B86FF2">
        <w:rPr>
          <w:rFonts w:asciiTheme="majorHAnsi" w:hAnsiTheme="majorHAnsi" w:cstheme="majorHAnsi"/>
          <w:sz w:val="36"/>
          <w:szCs w:val="36"/>
        </w:rPr>
        <w:t xml:space="preserve">Urinary tract infections are one of the most </w:t>
      </w:r>
      <w:proofErr w:type="gramStart"/>
      <w:r w:rsidRPr="00B86FF2">
        <w:rPr>
          <w:rFonts w:asciiTheme="majorHAnsi" w:hAnsiTheme="majorHAnsi" w:cstheme="majorHAnsi"/>
          <w:sz w:val="36"/>
          <w:szCs w:val="36"/>
        </w:rPr>
        <w:t>common  human</w:t>
      </w:r>
      <w:proofErr w:type="gramEnd"/>
      <w:r w:rsidRPr="00B86FF2">
        <w:rPr>
          <w:rFonts w:asciiTheme="majorHAnsi" w:hAnsiTheme="majorHAnsi" w:cstheme="majorHAnsi"/>
          <w:sz w:val="36"/>
          <w:szCs w:val="36"/>
        </w:rPr>
        <w:t xml:space="preserve"> infections. Organisms reach the </w:t>
      </w:r>
      <w:proofErr w:type="gramStart"/>
      <w:r w:rsidRPr="00B86FF2">
        <w:rPr>
          <w:rFonts w:asciiTheme="majorHAnsi" w:hAnsiTheme="majorHAnsi" w:cstheme="majorHAnsi"/>
          <w:sz w:val="36"/>
          <w:szCs w:val="36"/>
        </w:rPr>
        <w:t>urinary  system</w:t>
      </w:r>
      <w:proofErr w:type="gramEnd"/>
      <w:r w:rsidRPr="00B86FF2">
        <w:rPr>
          <w:rFonts w:asciiTheme="majorHAnsi" w:hAnsiTheme="majorHAnsi" w:cstheme="majorHAnsi"/>
          <w:sz w:val="36"/>
          <w:szCs w:val="36"/>
        </w:rPr>
        <w:t xml:space="preserve"> by moving through the bloodstream or  through the urethra. This study shows the difference in the incidence of bacteriuria between </w:t>
      </w:r>
      <w:r>
        <w:rPr>
          <w:rFonts w:asciiTheme="majorHAnsi" w:hAnsiTheme="majorHAnsi" w:cstheme="majorHAnsi"/>
          <w:sz w:val="36"/>
          <w:szCs w:val="36"/>
        </w:rPr>
        <w:t>males</w:t>
      </w:r>
      <w:r w:rsidRPr="00B86FF2">
        <w:rPr>
          <w:rFonts w:asciiTheme="majorHAnsi" w:hAnsiTheme="majorHAnsi" w:cstheme="majorHAnsi"/>
          <w:sz w:val="36"/>
          <w:szCs w:val="36"/>
        </w:rPr>
        <w:t xml:space="preserve"> and women. Twenty-four participants participated in this study, all of whom were third-year medical students at the Libyan International Medical University, 12 of whom were female and 12 of whom were male. The resulting </w:t>
      </w:r>
      <w:proofErr w:type="gramStart"/>
      <w:r w:rsidRPr="00B86FF2">
        <w:rPr>
          <w:rFonts w:asciiTheme="majorHAnsi" w:hAnsiTheme="majorHAnsi" w:cstheme="majorHAnsi"/>
          <w:sz w:val="36"/>
          <w:szCs w:val="36"/>
        </w:rPr>
        <w:t>statistics  were</w:t>
      </w:r>
      <w:proofErr w:type="gramEnd"/>
      <w:r w:rsidRPr="00B86FF2">
        <w:rPr>
          <w:rFonts w:asciiTheme="majorHAnsi" w:hAnsiTheme="majorHAnsi" w:cstheme="majorHAnsi"/>
          <w:sz w:val="36"/>
          <w:szCs w:val="36"/>
        </w:rPr>
        <w:t xml:space="preserve"> analyzed with SPSS software version 26. We then ran Fisher's exact </w:t>
      </w:r>
      <w:proofErr w:type="gramStart"/>
      <w:r w:rsidRPr="00B86FF2">
        <w:rPr>
          <w:rFonts w:asciiTheme="majorHAnsi" w:hAnsiTheme="majorHAnsi" w:cstheme="majorHAnsi"/>
          <w:sz w:val="36"/>
          <w:szCs w:val="36"/>
        </w:rPr>
        <w:t>test  to</w:t>
      </w:r>
      <w:proofErr w:type="gramEnd"/>
      <w:r w:rsidRPr="00B86FF2">
        <w:rPr>
          <w:rFonts w:asciiTheme="majorHAnsi" w:hAnsiTheme="majorHAnsi" w:cstheme="majorHAnsi"/>
          <w:sz w:val="36"/>
          <w:szCs w:val="36"/>
        </w:rPr>
        <w:t xml:space="preserve"> determine the importance of the results. This study </w:t>
      </w:r>
      <w:proofErr w:type="gramStart"/>
      <w:r w:rsidRPr="00B86FF2">
        <w:rPr>
          <w:rFonts w:asciiTheme="majorHAnsi" w:hAnsiTheme="majorHAnsi" w:cstheme="majorHAnsi"/>
          <w:sz w:val="36"/>
          <w:szCs w:val="36"/>
        </w:rPr>
        <w:t>showed  a</w:t>
      </w:r>
      <w:proofErr w:type="gramEnd"/>
      <w:r w:rsidRPr="00B86FF2">
        <w:rPr>
          <w:rFonts w:asciiTheme="majorHAnsi" w:hAnsiTheme="majorHAnsi" w:cstheme="majorHAnsi"/>
          <w:sz w:val="36"/>
          <w:szCs w:val="36"/>
        </w:rPr>
        <w:t xml:space="preserve"> significant increase in the incidence of bacterial urine in women compared to </w:t>
      </w:r>
      <w:r>
        <w:rPr>
          <w:rFonts w:asciiTheme="majorHAnsi" w:hAnsiTheme="majorHAnsi" w:cstheme="majorHAnsi"/>
          <w:sz w:val="36"/>
          <w:szCs w:val="36"/>
        </w:rPr>
        <w:t>males</w:t>
      </w:r>
    </w:p>
    <w:p w:rsidR="00A61A31" w:rsidRDefault="00A61A31">
      <w:pPr>
        <w:rPr>
          <w:b/>
          <w:bCs/>
          <w:sz w:val="36"/>
          <w:szCs w:val="36"/>
        </w:rPr>
      </w:pPr>
      <w:r>
        <w:rPr>
          <w:b/>
          <w:bCs/>
          <w:sz w:val="36"/>
          <w:szCs w:val="36"/>
        </w:rPr>
        <w:br w:type="page"/>
      </w:r>
    </w:p>
    <w:p w:rsidR="00AF681A" w:rsidRDefault="00A61A31" w:rsidP="00AF681A">
      <w:pPr>
        <w:rPr>
          <w:b/>
          <w:bCs/>
          <w:color w:val="1F3864" w:themeColor="accent5" w:themeShade="80"/>
          <w:sz w:val="36"/>
          <w:szCs w:val="36"/>
        </w:rPr>
      </w:pPr>
      <w:r w:rsidRPr="00A61A31">
        <w:rPr>
          <w:b/>
          <w:bCs/>
          <w:color w:val="1F3864" w:themeColor="accent5" w:themeShade="80"/>
          <w:sz w:val="36"/>
          <w:szCs w:val="36"/>
        </w:rPr>
        <w:lastRenderedPageBreak/>
        <w:t xml:space="preserve">Introduction </w:t>
      </w:r>
    </w:p>
    <w:p w:rsidR="00B86FF2" w:rsidRPr="00B86FF2" w:rsidRDefault="00A61A31" w:rsidP="00B86FF2">
      <w:pPr>
        <w:tabs>
          <w:tab w:val="center" w:pos="4680"/>
        </w:tabs>
        <w:rPr>
          <w:rFonts w:asciiTheme="majorHAnsi" w:hAnsiTheme="majorHAnsi" w:cstheme="majorHAnsi"/>
          <w:sz w:val="24"/>
          <w:szCs w:val="24"/>
        </w:rPr>
      </w:pPr>
      <w:r w:rsidRPr="00A61A31">
        <w:rPr>
          <w:rFonts w:asciiTheme="majorHAnsi" w:hAnsiTheme="majorHAnsi" w:cstheme="majorHAnsi"/>
          <w:sz w:val="24"/>
          <w:szCs w:val="24"/>
        </w:rPr>
        <w:t>Asymptomatic bacteriuria (ASB)</w:t>
      </w:r>
      <w:r>
        <w:rPr>
          <w:rFonts w:asciiTheme="majorHAnsi" w:hAnsiTheme="majorHAnsi" w:cstheme="majorHAnsi"/>
          <w:sz w:val="24"/>
          <w:szCs w:val="24"/>
        </w:rPr>
        <w:t xml:space="preserve"> is </w:t>
      </w:r>
      <w:r w:rsidRPr="00A61A31">
        <w:rPr>
          <w:rFonts w:asciiTheme="majorHAnsi" w:hAnsiTheme="majorHAnsi" w:cstheme="majorHAnsi"/>
          <w:sz w:val="24"/>
          <w:szCs w:val="24"/>
        </w:rPr>
        <w:t>the p</w:t>
      </w:r>
      <w:r>
        <w:rPr>
          <w:rFonts w:asciiTheme="majorHAnsi" w:hAnsiTheme="majorHAnsi" w:cstheme="majorHAnsi"/>
          <w:sz w:val="24"/>
          <w:szCs w:val="24"/>
        </w:rPr>
        <w:t>resence of pathogenic bacteria</w:t>
      </w:r>
      <w:r w:rsidRPr="00A61A31">
        <w:rPr>
          <w:rFonts w:asciiTheme="majorHAnsi" w:hAnsiTheme="majorHAnsi" w:cstheme="majorHAnsi"/>
          <w:sz w:val="24"/>
          <w:szCs w:val="24"/>
        </w:rPr>
        <w:t xml:space="preserve"> within a correctly collected urine sample of </w:t>
      </w:r>
      <w:r>
        <w:rPr>
          <w:rFonts w:asciiTheme="majorHAnsi" w:hAnsiTheme="majorHAnsi" w:cstheme="majorHAnsi"/>
          <w:sz w:val="24"/>
          <w:szCs w:val="24"/>
        </w:rPr>
        <w:t>people</w:t>
      </w:r>
      <w:r w:rsidRPr="00A61A31">
        <w:rPr>
          <w:rFonts w:asciiTheme="majorHAnsi" w:hAnsiTheme="majorHAnsi" w:cstheme="majorHAnsi"/>
          <w:sz w:val="24"/>
          <w:szCs w:val="24"/>
        </w:rPr>
        <w:t xml:space="preserve"> that is showing no signs and symptoms of UTI</w:t>
      </w:r>
      <w:r>
        <w:rPr>
          <w:rFonts w:asciiTheme="majorHAnsi" w:hAnsiTheme="majorHAnsi" w:cstheme="majorHAnsi"/>
          <w:sz w:val="24"/>
          <w:szCs w:val="24"/>
        </w:rPr>
        <w:t xml:space="preserve"> </w:t>
      </w:r>
      <w:r w:rsidR="001F66B7" w:rsidRPr="001F66B7">
        <w:rPr>
          <w:rFonts w:asciiTheme="majorHAnsi" w:hAnsiTheme="majorHAnsi" w:cstheme="majorHAnsi"/>
          <w:sz w:val="24"/>
          <w:szCs w:val="24"/>
        </w:rPr>
        <w:t>It is clinically common and can increment in chance with age</w:t>
      </w:r>
      <w:r w:rsidR="00B86FF2">
        <w:rPr>
          <w:rFonts w:asciiTheme="majorHAnsi" w:hAnsiTheme="majorHAnsi" w:cstheme="majorHAnsi"/>
          <w:sz w:val="24"/>
          <w:szCs w:val="24"/>
        </w:rPr>
        <w:t xml:space="preserve">. </w:t>
      </w:r>
      <w:r w:rsidR="00B86FF2" w:rsidRPr="00B86FF2">
        <w:rPr>
          <w:rFonts w:asciiTheme="majorHAnsi" w:hAnsiTheme="majorHAnsi" w:cstheme="majorHAnsi"/>
          <w:sz w:val="24"/>
          <w:szCs w:val="24"/>
        </w:rPr>
        <w:t xml:space="preserve">People with diseases and pathogens that are more resistant to antibiotics are more likely to have a complex UTI.  The presence of correctly collected bacteria in the urine of patients with no signs or symptoms of urinary tract infection </w:t>
      </w:r>
      <w:proofErr w:type="gramStart"/>
      <w:r w:rsidR="00B86FF2" w:rsidRPr="00B86FF2">
        <w:rPr>
          <w:rFonts w:asciiTheme="majorHAnsi" w:hAnsiTheme="majorHAnsi" w:cstheme="majorHAnsi"/>
          <w:sz w:val="24"/>
          <w:szCs w:val="24"/>
        </w:rPr>
        <w:t>is known</w:t>
      </w:r>
      <w:proofErr w:type="gramEnd"/>
      <w:r w:rsidR="00B86FF2" w:rsidRPr="00B86FF2">
        <w:rPr>
          <w:rFonts w:asciiTheme="majorHAnsi" w:hAnsiTheme="majorHAnsi" w:cstheme="majorHAnsi"/>
          <w:sz w:val="24"/>
          <w:szCs w:val="24"/>
        </w:rPr>
        <w:t xml:space="preserve"> as asymptomatic bacteriuria.  A definitive explanation for asymptomatic bacteriuria </w:t>
      </w:r>
      <w:proofErr w:type="gramStart"/>
      <w:r w:rsidR="00B86FF2" w:rsidRPr="00B86FF2">
        <w:rPr>
          <w:rFonts w:asciiTheme="majorHAnsi" w:hAnsiTheme="majorHAnsi" w:cstheme="majorHAnsi"/>
          <w:sz w:val="24"/>
          <w:szCs w:val="24"/>
        </w:rPr>
        <w:t>has not yet been found</w:t>
      </w:r>
      <w:proofErr w:type="gramEnd"/>
      <w:r w:rsidR="00B86FF2" w:rsidRPr="00B86FF2">
        <w:rPr>
          <w:rFonts w:asciiTheme="majorHAnsi" w:hAnsiTheme="majorHAnsi" w:cstheme="majorHAnsi"/>
          <w:sz w:val="24"/>
          <w:szCs w:val="24"/>
        </w:rPr>
        <w:t xml:space="preserve">. Bacteriuria is a common symptom in patients.  Asymptomatic bacteriuria becomes more common with age. The incidence of healthy premenopausal women is less than 5%, </w:t>
      </w:r>
      <w:proofErr w:type="gramStart"/>
      <w:r w:rsidR="00B86FF2" w:rsidRPr="00B86FF2">
        <w:rPr>
          <w:rFonts w:asciiTheme="majorHAnsi" w:hAnsiTheme="majorHAnsi" w:cstheme="majorHAnsi"/>
          <w:sz w:val="24"/>
          <w:szCs w:val="24"/>
        </w:rPr>
        <w:t>but  can</w:t>
      </w:r>
      <w:proofErr w:type="gramEnd"/>
      <w:r w:rsidR="00B86FF2" w:rsidRPr="00B86FF2">
        <w:rPr>
          <w:rFonts w:asciiTheme="majorHAnsi" w:hAnsiTheme="majorHAnsi" w:cstheme="majorHAnsi"/>
          <w:sz w:val="24"/>
          <w:szCs w:val="24"/>
        </w:rPr>
        <w:t xml:space="preserve"> reach more than 15%  in women aged 65-80 years. The most common bacterium in bacteriuria is E. coli.  Urine cultures </w:t>
      </w:r>
      <w:proofErr w:type="gramStart"/>
      <w:r w:rsidR="00B86FF2" w:rsidRPr="00B86FF2">
        <w:rPr>
          <w:rFonts w:asciiTheme="majorHAnsi" w:hAnsiTheme="majorHAnsi" w:cstheme="majorHAnsi"/>
          <w:sz w:val="24"/>
          <w:szCs w:val="24"/>
        </w:rPr>
        <w:t>are used</w:t>
      </w:r>
      <w:proofErr w:type="gramEnd"/>
      <w:r w:rsidR="00B86FF2" w:rsidRPr="00B86FF2">
        <w:rPr>
          <w:rFonts w:asciiTheme="majorHAnsi" w:hAnsiTheme="majorHAnsi" w:cstheme="majorHAnsi"/>
          <w:sz w:val="24"/>
          <w:szCs w:val="24"/>
        </w:rPr>
        <w:t xml:space="preserve"> to diagnose asymptomatic bacteriuria. Both catheter-inserted specimens and properly collected clean catch specimens are acceptable. The ideal timing and frequency of urine culture screening during pregnancy has not yet been determined, but screening urine cultures </w:t>
      </w:r>
      <w:proofErr w:type="gramStart"/>
      <w:r w:rsidR="00B86FF2" w:rsidRPr="00B86FF2">
        <w:rPr>
          <w:rFonts w:asciiTheme="majorHAnsi" w:hAnsiTheme="majorHAnsi" w:cstheme="majorHAnsi"/>
          <w:sz w:val="24"/>
          <w:szCs w:val="24"/>
        </w:rPr>
        <w:t>are recommended to be collected</w:t>
      </w:r>
      <w:proofErr w:type="gramEnd"/>
      <w:r w:rsidR="00B86FF2" w:rsidRPr="00B86FF2">
        <w:rPr>
          <w:rFonts w:asciiTheme="majorHAnsi" w:hAnsiTheme="majorHAnsi" w:cstheme="majorHAnsi"/>
          <w:sz w:val="24"/>
          <w:szCs w:val="24"/>
        </w:rPr>
        <w:t xml:space="preserve"> at the end of early pregnancy. People with asymptomatic bacteriuria are less likely to develop symptomatic UTI. Treatment with antibiotics is ineffective for children, diabetics, the elderly, and patients with catheters. Treatment with antibiotics increases the risk of side effects and the development of antibiotic-resistant mi</w:t>
      </w:r>
      <w:r w:rsidR="00B86FF2">
        <w:rPr>
          <w:rFonts w:asciiTheme="majorHAnsi" w:hAnsiTheme="majorHAnsi" w:cstheme="majorHAnsi"/>
          <w:sz w:val="24"/>
          <w:szCs w:val="24"/>
        </w:rPr>
        <w:t xml:space="preserve">croorganisms in these patients. </w:t>
      </w:r>
      <w:r w:rsidR="00B86FF2" w:rsidRPr="00B86FF2">
        <w:rPr>
          <w:rFonts w:asciiTheme="majorHAnsi" w:hAnsiTheme="majorHAnsi" w:cstheme="majorHAnsi"/>
          <w:sz w:val="24"/>
          <w:szCs w:val="24"/>
        </w:rPr>
        <w:t xml:space="preserve">The purpose of this study is to show the difference in the incidence of bacteriuria between </w:t>
      </w:r>
      <w:r w:rsidR="00B86FF2">
        <w:rPr>
          <w:rFonts w:asciiTheme="majorHAnsi" w:hAnsiTheme="majorHAnsi" w:cstheme="majorHAnsi"/>
          <w:sz w:val="24"/>
          <w:szCs w:val="24"/>
        </w:rPr>
        <w:t>males and females</w:t>
      </w:r>
    </w:p>
    <w:p w:rsidR="001F66B7" w:rsidRPr="001F66B7" w:rsidRDefault="001F66B7" w:rsidP="00B86FF2">
      <w:pPr>
        <w:rPr>
          <w:b/>
          <w:bCs/>
          <w:color w:val="1F3864" w:themeColor="accent5" w:themeShade="80"/>
          <w:sz w:val="36"/>
          <w:szCs w:val="36"/>
        </w:rPr>
      </w:pPr>
      <w:r w:rsidRPr="001F66B7">
        <w:rPr>
          <w:b/>
          <w:bCs/>
          <w:color w:val="1F3864" w:themeColor="accent5" w:themeShade="80"/>
          <w:sz w:val="36"/>
          <w:szCs w:val="36"/>
        </w:rPr>
        <w:t>Materials and method:</w:t>
      </w:r>
    </w:p>
    <w:p w:rsidR="001F66B7" w:rsidRDefault="001F66B7" w:rsidP="00EC2E92">
      <w:pPr>
        <w:tabs>
          <w:tab w:val="center" w:pos="4680"/>
        </w:tabs>
        <w:rPr>
          <w:rFonts w:asciiTheme="majorHAnsi" w:hAnsiTheme="majorHAnsi" w:cstheme="majorHAnsi"/>
          <w:sz w:val="24"/>
          <w:szCs w:val="24"/>
        </w:rPr>
      </w:pPr>
      <w:r w:rsidRPr="001F66B7">
        <w:rPr>
          <w:rFonts w:asciiTheme="majorHAnsi" w:hAnsiTheme="majorHAnsi" w:cstheme="majorHAnsi"/>
          <w:sz w:val="24"/>
          <w:szCs w:val="24"/>
        </w:rPr>
        <w:t xml:space="preserve">Materials that were utilized to carry out the test </w:t>
      </w:r>
      <w:proofErr w:type="gramStart"/>
      <w:r w:rsidRPr="001F66B7">
        <w:rPr>
          <w:rFonts w:asciiTheme="majorHAnsi" w:hAnsiTheme="majorHAnsi" w:cstheme="majorHAnsi"/>
          <w:sz w:val="24"/>
          <w:szCs w:val="24"/>
        </w:rPr>
        <w:t>incorporate:</w:t>
      </w:r>
      <w:proofErr w:type="gramEnd"/>
      <w:r w:rsidRPr="001F66B7">
        <w:rPr>
          <w:rFonts w:asciiTheme="majorHAnsi" w:hAnsiTheme="majorHAnsi" w:cstheme="majorHAnsi"/>
          <w:sz w:val="24"/>
          <w:szCs w:val="24"/>
        </w:rPr>
        <w:t xml:space="preserve"> a urine test, wire/plastic loops, Bunsen burner, incubator, and development media (5% sheep blood agar plate). Media utilized in </w:t>
      </w:r>
      <w:r w:rsidR="00EC2E92">
        <w:rPr>
          <w:rFonts w:asciiTheme="majorHAnsi" w:hAnsiTheme="majorHAnsi" w:cstheme="majorHAnsi"/>
          <w:sz w:val="24"/>
          <w:szCs w:val="24"/>
        </w:rPr>
        <w:t>urine</w:t>
      </w:r>
      <w:r w:rsidRPr="001F66B7">
        <w:rPr>
          <w:rFonts w:asciiTheme="majorHAnsi" w:hAnsiTheme="majorHAnsi" w:cstheme="majorHAnsi"/>
          <w:sz w:val="24"/>
          <w:szCs w:val="24"/>
        </w:rPr>
        <w:t xml:space="preserve"> culture can change between - 5% sheep blood agar plate, MacConkey agar, and CLED as all 3 permit for the discovery of numerous staphylococci, streptococci, gram-negative bacilli, and enterococci.</w:t>
      </w:r>
    </w:p>
    <w:p w:rsidR="001F66B7" w:rsidRDefault="000F0BE1" w:rsidP="001F66B7">
      <w:pPr>
        <w:tabs>
          <w:tab w:val="center" w:pos="4680"/>
        </w:tabs>
        <w:rPr>
          <w:rFonts w:asciiTheme="majorHAnsi" w:hAnsiTheme="majorHAnsi" w:cstheme="majorHAnsi"/>
          <w:sz w:val="24"/>
          <w:szCs w:val="24"/>
        </w:rPr>
      </w:pPr>
      <w:r w:rsidRPr="000F0BE1">
        <w:rPr>
          <w:rFonts w:asciiTheme="majorHAnsi" w:hAnsiTheme="majorHAnsi" w:cstheme="majorHAnsi"/>
          <w:sz w:val="24"/>
          <w:szCs w:val="24"/>
        </w:rPr>
        <w:t xml:space="preserve">The first step was to gather urine from each subject through a midstream clean capture strategy. Tests </w:t>
      </w:r>
      <w:proofErr w:type="gramStart"/>
      <w:r w:rsidRPr="000F0BE1">
        <w:rPr>
          <w:rFonts w:asciiTheme="majorHAnsi" w:hAnsiTheme="majorHAnsi" w:cstheme="majorHAnsi"/>
          <w:sz w:val="24"/>
          <w:szCs w:val="24"/>
        </w:rPr>
        <w:t>were surveyed</w:t>
      </w:r>
      <w:proofErr w:type="gramEnd"/>
      <w:r w:rsidRPr="000F0BE1">
        <w:rPr>
          <w:rFonts w:asciiTheme="majorHAnsi" w:hAnsiTheme="majorHAnsi" w:cstheme="majorHAnsi"/>
          <w:sz w:val="24"/>
          <w:szCs w:val="24"/>
        </w:rPr>
        <w:t xml:space="preserve"> within an hour from the collection, to keep tests substantial. The wire circle </w:t>
      </w:r>
      <w:proofErr w:type="gramStart"/>
      <w:r w:rsidRPr="000F0BE1">
        <w:rPr>
          <w:rFonts w:asciiTheme="majorHAnsi" w:hAnsiTheme="majorHAnsi" w:cstheme="majorHAnsi"/>
          <w:sz w:val="24"/>
          <w:szCs w:val="24"/>
        </w:rPr>
        <w:t>was warmed</w:t>
      </w:r>
      <w:proofErr w:type="gramEnd"/>
      <w:r w:rsidRPr="000F0BE1">
        <w:rPr>
          <w:rFonts w:asciiTheme="majorHAnsi" w:hAnsiTheme="majorHAnsi" w:cstheme="majorHAnsi"/>
          <w:sz w:val="24"/>
          <w:szCs w:val="24"/>
        </w:rPr>
        <w:t xml:space="preserve"> beneath the flame, at that point embedded inside the urine test to gather a measured volume of urine. Following the wire, the circle </w:t>
      </w:r>
      <w:proofErr w:type="gramStart"/>
      <w:r w:rsidRPr="000F0BE1">
        <w:rPr>
          <w:rFonts w:asciiTheme="majorHAnsi" w:hAnsiTheme="majorHAnsi" w:cstheme="majorHAnsi"/>
          <w:sz w:val="24"/>
          <w:szCs w:val="24"/>
        </w:rPr>
        <w:t>was dragged</w:t>
      </w:r>
      <w:proofErr w:type="gramEnd"/>
      <w:r w:rsidRPr="000F0BE1">
        <w:rPr>
          <w:rFonts w:asciiTheme="majorHAnsi" w:hAnsiTheme="majorHAnsi" w:cstheme="majorHAnsi"/>
          <w:sz w:val="24"/>
          <w:szCs w:val="24"/>
        </w:rPr>
        <w:t xml:space="preserve"> all through the development media employing a particular method of immunization suitable for urine culture. Moreover, without flaring, the wire circle was plunged into the urine culture for the second time and connected carefully to a modern development plate. At last, the societies were brooded for 24hr at a temperature of around 37 °C to empower obviously growth</w:t>
      </w:r>
    </w:p>
    <w:p w:rsidR="000F0BE1" w:rsidRDefault="000F0BE1" w:rsidP="001F66B7">
      <w:pPr>
        <w:tabs>
          <w:tab w:val="center" w:pos="4680"/>
        </w:tabs>
        <w:rPr>
          <w:rFonts w:asciiTheme="majorHAnsi" w:hAnsiTheme="majorHAnsi" w:cstheme="majorHAnsi"/>
          <w:sz w:val="24"/>
          <w:szCs w:val="24"/>
        </w:rPr>
      </w:pPr>
    </w:p>
    <w:p w:rsidR="00D55A0E" w:rsidRDefault="00D55A0E" w:rsidP="000F0BE1">
      <w:pPr>
        <w:rPr>
          <w:b/>
          <w:bCs/>
          <w:color w:val="1F3864" w:themeColor="accent5" w:themeShade="80"/>
          <w:sz w:val="36"/>
          <w:szCs w:val="36"/>
        </w:rPr>
      </w:pPr>
    </w:p>
    <w:p w:rsidR="00D55A0E" w:rsidRDefault="00D55A0E" w:rsidP="000F0BE1">
      <w:pPr>
        <w:rPr>
          <w:b/>
          <w:bCs/>
          <w:color w:val="1F3864" w:themeColor="accent5" w:themeShade="80"/>
          <w:sz w:val="36"/>
          <w:szCs w:val="36"/>
        </w:rPr>
      </w:pPr>
    </w:p>
    <w:p w:rsidR="00171F76" w:rsidRDefault="00171F76" w:rsidP="000F0BE1">
      <w:pPr>
        <w:rPr>
          <w:b/>
          <w:bCs/>
          <w:color w:val="1F3864" w:themeColor="accent5" w:themeShade="80"/>
          <w:sz w:val="36"/>
          <w:szCs w:val="36"/>
        </w:rPr>
      </w:pPr>
    </w:p>
    <w:p w:rsidR="000F0BE1" w:rsidRDefault="000F0BE1" w:rsidP="000F0BE1">
      <w:pPr>
        <w:rPr>
          <w:b/>
          <w:bCs/>
          <w:color w:val="1F3864" w:themeColor="accent5" w:themeShade="80"/>
          <w:sz w:val="36"/>
          <w:szCs w:val="36"/>
        </w:rPr>
      </w:pPr>
      <w:r w:rsidRPr="000F0BE1">
        <w:rPr>
          <w:b/>
          <w:bCs/>
          <w:color w:val="1F3864" w:themeColor="accent5" w:themeShade="80"/>
          <w:sz w:val="36"/>
          <w:szCs w:val="36"/>
        </w:rPr>
        <w:lastRenderedPageBreak/>
        <w:t xml:space="preserve">Results and Statistical analysis: </w:t>
      </w:r>
    </w:p>
    <w:p w:rsidR="000F0BE1" w:rsidRPr="000F0BE1" w:rsidRDefault="000F0BE1" w:rsidP="000F0BE1">
      <w:pPr>
        <w:rPr>
          <w:b/>
          <w:bCs/>
          <w:color w:val="C00000"/>
          <w:sz w:val="36"/>
          <w:szCs w:val="36"/>
        </w:rPr>
      </w:pPr>
      <w:r w:rsidRPr="000F0BE1">
        <w:rPr>
          <w:b/>
          <w:bCs/>
          <w:color w:val="C00000"/>
          <w:sz w:val="36"/>
          <w:szCs w:val="36"/>
        </w:rPr>
        <w:t>Table 1</w:t>
      </w:r>
    </w:p>
    <w:tbl>
      <w:tblPr>
        <w:tblpPr w:leftFromText="180" w:rightFromText="180" w:vertAnchor="text" w:horzAnchor="margin" w:tblpXSpec="center" w:tblpY="-128"/>
        <w:tblW w:w="110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1"/>
        <w:gridCol w:w="1119"/>
        <w:gridCol w:w="1639"/>
        <w:gridCol w:w="1620"/>
        <w:gridCol w:w="2139"/>
        <w:gridCol w:w="1936"/>
        <w:gridCol w:w="1327"/>
      </w:tblGrid>
      <w:tr w:rsidR="000F0BE1" w:rsidRPr="00531F2A" w:rsidTr="000F0BE1">
        <w:trPr>
          <w:cantSplit/>
          <w:trHeight w:val="319"/>
        </w:trPr>
        <w:tc>
          <w:tcPr>
            <w:tcW w:w="11001" w:type="dxa"/>
            <w:gridSpan w:val="7"/>
            <w:tcBorders>
              <w:top w:val="nil"/>
              <w:left w:val="nil"/>
              <w:bottom w:val="nil"/>
              <w:right w:val="nil"/>
            </w:tcBorders>
            <w:shd w:val="clear" w:color="auto" w:fill="FFFFFF"/>
            <w:vAlign w:val="center"/>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010205"/>
                <w:sz w:val="24"/>
                <w:szCs w:val="24"/>
              </w:rPr>
            </w:pPr>
            <w:bookmarkStart w:id="1" w:name="_Hlk104931815"/>
            <w:r w:rsidRPr="00531F2A">
              <w:rPr>
                <w:rFonts w:ascii="Arial" w:hAnsi="Arial" w:cs="Arial"/>
                <w:b/>
                <w:bCs/>
                <w:color w:val="010205"/>
                <w:sz w:val="24"/>
                <w:szCs w:val="24"/>
              </w:rPr>
              <w:t xml:space="preserve">Gender * </w:t>
            </w:r>
            <w:proofErr w:type="spellStart"/>
            <w:r w:rsidRPr="00531F2A">
              <w:rPr>
                <w:rFonts w:ascii="Arial" w:hAnsi="Arial" w:cs="Arial"/>
                <w:b/>
                <w:bCs/>
                <w:color w:val="010205"/>
                <w:sz w:val="24"/>
                <w:szCs w:val="24"/>
              </w:rPr>
              <w:t>CFUcat</w:t>
            </w:r>
            <w:proofErr w:type="spellEnd"/>
            <w:r w:rsidRPr="00531F2A">
              <w:rPr>
                <w:rFonts w:ascii="Arial" w:hAnsi="Arial" w:cs="Arial"/>
                <w:b/>
                <w:bCs/>
                <w:color w:val="010205"/>
                <w:sz w:val="24"/>
                <w:szCs w:val="24"/>
              </w:rPr>
              <w:t xml:space="preserve"> </w:t>
            </w:r>
            <w:proofErr w:type="spellStart"/>
            <w:r w:rsidRPr="00531F2A">
              <w:rPr>
                <w:rFonts w:ascii="Arial" w:hAnsi="Arial" w:cs="Arial"/>
                <w:b/>
                <w:bCs/>
                <w:color w:val="010205"/>
                <w:sz w:val="24"/>
                <w:szCs w:val="24"/>
              </w:rPr>
              <w:t>Crosstabulation</w:t>
            </w:r>
            <w:proofErr w:type="spellEnd"/>
          </w:p>
        </w:tc>
      </w:tr>
      <w:tr w:rsidR="000F0BE1" w:rsidRPr="00531F2A" w:rsidTr="000F0BE1">
        <w:trPr>
          <w:cantSplit/>
          <w:trHeight w:val="319"/>
        </w:trPr>
        <w:tc>
          <w:tcPr>
            <w:tcW w:w="3981" w:type="dxa"/>
            <w:gridSpan w:val="3"/>
            <w:vMerge w:val="restart"/>
            <w:tcBorders>
              <w:top w:val="nil"/>
              <w:left w:val="nil"/>
              <w:bottom w:val="nil"/>
              <w:right w:val="nil"/>
            </w:tcBorders>
            <w:shd w:val="clear" w:color="auto" w:fill="FFFFFF"/>
            <w:vAlign w:val="bottom"/>
          </w:tcPr>
          <w:p w:rsidR="000F0BE1" w:rsidRPr="00531F2A" w:rsidRDefault="000F0BE1" w:rsidP="00DC0C38">
            <w:pPr>
              <w:autoSpaceDE w:val="0"/>
              <w:autoSpaceDN w:val="0"/>
              <w:adjustRightInd w:val="0"/>
              <w:spacing w:after="0" w:line="240" w:lineRule="auto"/>
              <w:rPr>
                <w:rFonts w:ascii="Times New Roman" w:hAnsi="Times New Roman" w:cs="Times New Roman"/>
                <w:sz w:val="24"/>
                <w:szCs w:val="24"/>
              </w:rPr>
            </w:pPr>
          </w:p>
        </w:tc>
        <w:tc>
          <w:tcPr>
            <w:tcW w:w="5695" w:type="dxa"/>
            <w:gridSpan w:val="3"/>
            <w:tcBorders>
              <w:top w:val="nil"/>
              <w:left w:val="nil"/>
              <w:bottom w:val="nil"/>
              <w:right w:val="single" w:sz="8" w:space="0" w:color="E0E0E0"/>
            </w:tcBorders>
            <w:shd w:val="clear" w:color="auto" w:fill="FFFFFF"/>
            <w:vAlign w:val="bottom"/>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264A60"/>
                <w:sz w:val="24"/>
                <w:szCs w:val="24"/>
              </w:rPr>
            </w:pPr>
            <w:proofErr w:type="spellStart"/>
            <w:r w:rsidRPr="00531F2A">
              <w:rPr>
                <w:rFonts w:ascii="Arial" w:hAnsi="Arial" w:cs="Arial"/>
                <w:color w:val="264A60"/>
                <w:sz w:val="24"/>
                <w:szCs w:val="24"/>
              </w:rPr>
              <w:t>CFUcat</w:t>
            </w:r>
            <w:proofErr w:type="spellEnd"/>
          </w:p>
        </w:tc>
        <w:tc>
          <w:tcPr>
            <w:tcW w:w="1324" w:type="dxa"/>
            <w:vMerge w:val="restart"/>
            <w:tcBorders>
              <w:top w:val="nil"/>
              <w:left w:val="single" w:sz="8" w:space="0" w:color="E0E0E0"/>
              <w:bottom w:val="nil"/>
              <w:right w:val="nil"/>
            </w:tcBorders>
            <w:shd w:val="clear" w:color="auto" w:fill="FFFFFF"/>
            <w:vAlign w:val="bottom"/>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264A60"/>
                <w:sz w:val="24"/>
                <w:szCs w:val="24"/>
              </w:rPr>
            </w:pPr>
            <w:r w:rsidRPr="00531F2A">
              <w:rPr>
                <w:rFonts w:ascii="Arial" w:hAnsi="Arial" w:cs="Arial"/>
                <w:color w:val="264A60"/>
                <w:sz w:val="24"/>
                <w:szCs w:val="24"/>
              </w:rPr>
              <w:t>Total</w:t>
            </w:r>
          </w:p>
        </w:tc>
      </w:tr>
      <w:tr w:rsidR="000F0BE1" w:rsidRPr="00437E8B" w:rsidTr="000F0BE1">
        <w:trPr>
          <w:cantSplit/>
          <w:trHeight w:val="639"/>
        </w:trPr>
        <w:tc>
          <w:tcPr>
            <w:tcW w:w="3981" w:type="dxa"/>
            <w:gridSpan w:val="3"/>
            <w:vMerge/>
            <w:tcBorders>
              <w:top w:val="nil"/>
              <w:left w:val="nil"/>
              <w:bottom w:val="nil"/>
              <w:right w:val="nil"/>
            </w:tcBorders>
            <w:shd w:val="clear" w:color="auto" w:fill="FFFFFF"/>
            <w:vAlign w:val="bottom"/>
          </w:tcPr>
          <w:p w:rsidR="000F0BE1" w:rsidRPr="00531F2A" w:rsidRDefault="000F0BE1" w:rsidP="00DC0C38">
            <w:pPr>
              <w:autoSpaceDE w:val="0"/>
              <w:autoSpaceDN w:val="0"/>
              <w:adjustRightInd w:val="0"/>
              <w:spacing w:after="0" w:line="240" w:lineRule="auto"/>
              <w:rPr>
                <w:rFonts w:ascii="Arial" w:hAnsi="Arial" w:cs="Arial"/>
                <w:color w:val="264A60"/>
                <w:sz w:val="24"/>
                <w:szCs w:val="24"/>
              </w:rPr>
            </w:pPr>
          </w:p>
        </w:tc>
        <w:tc>
          <w:tcPr>
            <w:tcW w:w="1620" w:type="dxa"/>
            <w:tcBorders>
              <w:top w:val="nil"/>
              <w:left w:val="nil"/>
              <w:bottom w:val="single" w:sz="8" w:space="0" w:color="152935"/>
              <w:right w:val="single" w:sz="8" w:space="0" w:color="E0E0E0"/>
            </w:tcBorders>
            <w:shd w:val="clear" w:color="auto" w:fill="FFFFFF"/>
            <w:vAlign w:val="bottom"/>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264A60"/>
                <w:sz w:val="24"/>
                <w:szCs w:val="24"/>
              </w:rPr>
            </w:pPr>
            <w:r w:rsidRPr="00437E8B">
              <w:rPr>
                <w:rFonts w:ascii="Arial" w:hAnsi="Arial" w:cs="Arial"/>
                <w:color w:val="264A60"/>
                <w:sz w:val="24"/>
                <w:szCs w:val="24"/>
              </w:rPr>
              <w:t>N</w:t>
            </w:r>
            <w:r w:rsidRPr="00531F2A">
              <w:rPr>
                <w:rFonts w:ascii="Arial" w:hAnsi="Arial" w:cs="Arial"/>
                <w:color w:val="264A60"/>
                <w:sz w:val="24"/>
                <w:szCs w:val="24"/>
              </w:rPr>
              <w:t xml:space="preserve">o </w:t>
            </w:r>
            <w:r w:rsidRPr="00437E8B">
              <w:rPr>
                <w:rFonts w:ascii="Arial" w:hAnsi="Arial" w:cs="Arial"/>
                <w:color w:val="264A60"/>
                <w:sz w:val="24"/>
                <w:szCs w:val="24"/>
              </w:rPr>
              <w:t>g</w:t>
            </w:r>
            <w:r w:rsidRPr="00531F2A">
              <w:rPr>
                <w:rFonts w:ascii="Arial" w:hAnsi="Arial" w:cs="Arial"/>
                <w:color w:val="264A60"/>
                <w:sz w:val="24"/>
                <w:szCs w:val="24"/>
              </w:rPr>
              <w:t>rowth</w:t>
            </w:r>
          </w:p>
        </w:tc>
        <w:tc>
          <w:tcPr>
            <w:tcW w:w="2139" w:type="dxa"/>
            <w:tcBorders>
              <w:top w:val="nil"/>
              <w:left w:val="single" w:sz="8" w:space="0" w:color="E0E0E0"/>
              <w:bottom w:val="single" w:sz="8" w:space="0" w:color="152935"/>
              <w:right w:val="single" w:sz="8" w:space="0" w:color="E0E0E0"/>
            </w:tcBorders>
            <w:shd w:val="clear" w:color="auto" w:fill="FFFFFF"/>
            <w:vAlign w:val="bottom"/>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264A60"/>
                <w:sz w:val="24"/>
                <w:szCs w:val="24"/>
              </w:rPr>
            </w:pPr>
            <w:r w:rsidRPr="00437E8B">
              <w:rPr>
                <w:rFonts w:ascii="Arial" w:hAnsi="Arial" w:cs="Arial"/>
                <w:color w:val="264A60"/>
                <w:sz w:val="24"/>
                <w:szCs w:val="24"/>
              </w:rPr>
              <w:t>N</w:t>
            </w:r>
            <w:r w:rsidRPr="00531F2A">
              <w:rPr>
                <w:rFonts w:ascii="Arial" w:hAnsi="Arial" w:cs="Arial"/>
                <w:color w:val="264A60"/>
                <w:sz w:val="24"/>
                <w:szCs w:val="24"/>
              </w:rPr>
              <w:t>o sig</w:t>
            </w:r>
            <w:r w:rsidRPr="00437E8B">
              <w:rPr>
                <w:rFonts w:ascii="Arial" w:hAnsi="Arial" w:cs="Arial"/>
                <w:color w:val="264A60"/>
                <w:sz w:val="24"/>
                <w:szCs w:val="24"/>
              </w:rPr>
              <w:t>nificant</w:t>
            </w:r>
            <w:r w:rsidRPr="00531F2A">
              <w:rPr>
                <w:rFonts w:ascii="Arial" w:hAnsi="Arial" w:cs="Arial"/>
                <w:color w:val="264A60"/>
                <w:sz w:val="24"/>
                <w:szCs w:val="24"/>
              </w:rPr>
              <w:t xml:space="preserve"> growth</w:t>
            </w:r>
          </w:p>
        </w:tc>
        <w:tc>
          <w:tcPr>
            <w:tcW w:w="1935" w:type="dxa"/>
            <w:tcBorders>
              <w:top w:val="nil"/>
              <w:left w:val="single" w:sz="8" w:space="0" w:color="E0E0E0"/>
              <w:bottom w:val="single" w:sz="8" w:space="0" w:color="152935"/>
              <w:right w:val="single" w:sz="8" w:space="0" w:color="E0E0E0"/>
            </w:tcBorders>
            <w:shd w:val="clear" w:color="auto" w:fill="FFFFFF"/>
            <w:vAlign w:val="bottom"/>
          </w:tcPr>
          <w:p w:rsidR="000F0BE1" w:rsidRPr="00531F2A" w:rsidRDefault="000F0BE1" w:rsidP="00DC0C38">
            <w:pPr>
              <w:autoSpaceDE w:val="0"/>
              <w:autoSpaceDN w:val="0"/>
              <w:adjustRightInd w:val="0"/>
              <w:spacing w:after="0" w:line="320" w:lineRule="atLeast"/>
              <w:ind w:left="60" w:right="60"/>
              <w:jc w:val="center"/>
              <w:rPr>
                <w:rFonts w:ascii="Arial" w:hAnsi="Arial" w:cs="Arial"/>
                <w:color w:val="264A60"/>
                <w:sz w:val="24"/>
                <w:szCs w:val="24"/>
              </w:rPr>
            </w:pPr>
            <w:r w:rsidRPr="00437E8B">
              <w:rPr>
                <w:rFonts w:ascii="Arial" w:hAnsi="Arial" w:cs="Arial"/>
                <w:color w:val="264A60"/>
                <w:sz w:val="24"/>
                <w:szCs w:val="24"/>
              </w:rPr>
              <w:t>Significant growth</w:t>
            </w:r>
          </w:p>
        </w:tc>
        <w:tc>
          <w:tcPr>
            <w:tcW w:w="1324" w:type="dxa"/>
            <w:vMerge/>
            <w:tcBorders>
              <w:top w:val="nil"/>
              <w:left w:val="single" w:sz="8" w:space="0" w:color="E0E0E0"/>
              <w:bottom w:val="nil"/>
              <w:right w:val="nil"/>
            </w:tcBorders>
            <w:shd w:val="clear" w:color="auto" w:fill="FFFFFF"/>
            <w:vAlign w:val="bottom"/>
          </w:tcPr>
          <w:p w:rsidR="000F0BE1" w:rsidRPr="00531F2A" w:rsidRDefault="000F0BE1" w:rsidP="00DC0C38">
            <w:pPr>
              <w:autoSpaceDE w:val="0"/>
              <w:autoSpaceDN w:val="0"/>
              <w:adjustRightInd w:val="0"/>
              <w:spacing w:after="0" w:line="240" w:lineRule="auto"/>
              <w:rPr>
                <w:rFonts w:ascii="Arial" w:hAnsi="Arial" w:cs="Arial"/>
                <w:color w:val="264A60"/>
                <w:sz w:val="24"/>
                <w:szCs w:val="24"/>
              </w:rPr>
            </w:pPr>
          </w:p>
        </w:tc>
      </w:tr>
      <w:tr w:rsidR="000F0BE1" w:rsidRPr="00437E8B" w:rsidTr="000F0BE1">
        <w:trPr>
          <w:cantSplit/>
          <w:trHeight w:val="338"/>
        </w:trPr>
        <w:tc>
          <w:tcPr>
            <w:tcW w:w="1222" w:type="dxa"/>
            <w:vMerge w:val="restart"/>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Gender</w:t>
            </w:r>
          </w:p>
        </w:tc>
        <w:tc>
          <w:tcPr>
            <w:tcW w:w="1120" w:type="dxa"/>
            <w:vMerge w:val="restart"/>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Male</w:t>
            </w:r>
          </w:p>
        </w:tc>
        <w:tc>
          <w:tcPr>
            <w:tcW w:w="1638" w:type="dxa"/>
            <w:tcBorders>
              <w:top w:val="single" w:sz="8" w:space="0" w:color="152935"/>
              <w:left w:val="nil"/>
              <w:bottom w:val="single" w:sz="8" w:space="0" w:color="AEAEAE"/>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Count</w:t>
            </w:r>
          </w:p>
        </w:tc>
        <w:tc>
          <w:tcPr>
            <w:tcW w:w="1620" w:type="dxa"/>
            <w:tcBorders>
              <w:top w:val="single" w:sz="8" w:space="0" w:color="152935"/>
              <w:left w:val="nil"/>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9</w:t>
            </w:r>
          </w:p>
        </w:tc>
        <w:tc>
          <w:tcPr>
            <w:tcW w:w="2139" w:type="dxa"/>
            <w:tcBorders>
              <w:top w:val="single" w:sz="8" w:space="0" w:color="152935"/>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3</w:t>
            </w:r>
          </w:p>
        </w:tc>
        <w:tc>
          <w:tcPr>
            <w:tcW w:w="1935" w:type="dxa"/>
            <w:tcBorders>
              <w:top w:val="single" w:sz="8" w:space="0" w:color="152935"/>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0</w:t>
            </w:r>
          </w:p>
        </w:tc>
        <w:tc>
          <w:tcPr>
            <w:tcW w:w="1324" w:type="dxa"/>
            <w:tcBorders>
              <w:top w:val="single" w:sz="8" w:space="0" w:color="152935"/>
              <w:left w:val="single" w:sz="8" w:space="0" w:color="E0E0E0"/>
              <w:bottom w:val="single" w:sz="8" w:space="0" w:color="AEAEAE"/>
              <w:right w:val="nil"/>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12</w:t>
            </w:r>
          </w:p>
        </w:tc>
      </w:tr>
      <w:tr w:rsidR="000F0BE1" w:rsidRPr="00437E8B" w:rsidTr="000F0BE1">
        <w:trPr>
          <w:gridAfter w:val="1"/>
          <w:wAfter w:w="1327" w:type="dxa"/>
          <w:cantSplit/>
          <w:trHeight w:val="658"/>
        </w:trPr>
        <w:tc>
          <w:tcPr>
            <w:tcW w:w="1222" w:type="dxa"/>
            <w:vMerge/>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240" w:lineRule="auto"/>
              <w:rPr>
                <w:rFonts w:ascii="Arial" w:hAnsi="Arial" w:cs="Arial"/>
                <w:color w:val="010205"/>
                <w:sz w:val="24"/>
                <w:szCs w:val="24"/>
              </w:rPr>
            </w:pPr>
          </w:p>
        </w:tc>
        <w:tc>
          <w:tcPr>
            <w:tcW w:w="1120" w:type="dxa"/>
            <w:vMerge/>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240" w:lineRule="auto"/>
              <w:rPr>
                <w:rFonts w:ascii="Arial" w:hAnsi="Arial" w:cs="Arial"/>
                <w:color w:val="010205"/>
                <w:sz w:val="24"/>
                <w:szCs w:val="24"/>
              </w:rPr>
            </w:pPr>
          </w:p>
        </w:tc>
        <w:tc>
          <w:tcPr>
            <w:tcW w:w="1638" w:type="dxa"/>
            <w:tcBorders>
              <w:top w:val="single" w:sz="8" w:space="0" w:color="AEAEAE"/>
              <w:left w:val="nil"/>
              <w:bottom w:val="nil"/>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 xml:space="preserve">% Within </w:t>
            </w:r>
            <w:proofErr w:type="spellStart"/>
            <w:r w:rsidRPr="00531F2A">
              <w:rPr>
                <w:rFonts w:ascii="Arial" w:hAnsi="Arial" w:cs="Arial"/>
                <w:color w:val="264A60"/>
                <w:sz w:val="24"/>
                <w:szCs w:val="24"/>
              </w:rPr>
              <w:t>CFUcat</w:t>
            </w:r>
            <w:proofErr w:type="spellEnd"/>
          </w:p>
        </w:tc>
        <w:tc>
          <w:tcPr>
            <w:tcW w:w="1620" w:type="dxa"/>
            <w:tcBorders>
              <w:top w:val="single" w:sz="8" w:space="0" w:color="AEAEAE"/>
              <w:left w:val="nil"/>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81.8%</w:t>
            </w:r>
          </w:p>
        </w:tc>
        <w:tc>
          <w:tcPr>
            <w:tcW w:w="2139" w:type="dxa"/>
            <w:tcBorders>
              <w:top w:val="single" w:sz="8" w:space="0" w:color="AEAEAE"/>
              <w:left w:val="single" w:sz="8" w:space="0" w:color="E0E0E0"/>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27.3%</w:t>
            </w:r>
          </w:p>
        </w:tc>
        <w:tc>
          <w:tcPr>
            <w:tcW w:w="1935" w:type="dxa"/>
            <w:tcBorders>
              <w:top w:val="single" w:sz="8" w:space="0" w:color="AEAEAE"/>
              <w:left w:val="single" w:sz="8" w:space="0" w:color="E0E0E0"/>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0.0%</w:t>
            </w:r>
          </w:p>
        </w:tc>
      </w:tr>
      <w:tr w:rsidR="000F0BE1" w:rsidRPr="00437E8B" w:rsidTr="000F0BE1">
        <w:trPr>
          <w:cantSplit/>
          <w:trHeight w:val="338"/>
        </w:trPr>
        <w:tc>
          <w:tcPr>
            <w:tcW w:w="1222" w:type="dxa"/>
            <w:vMerge/>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240" w:lineRule="auto"/>
              <w:rPr>
                <w:rFonts w:ascii="Arial" w:hAnsi="Arial" w:cs="Arial"/>
                <w:color w:val="010205"/>
                <w:sz w:val="24"/>
                <w:szCs w:val="24"/>
              </w:rPr>
            </w:pPr>
          </w:p>
        </w:tc>
        <w:tc>
          <w:tcPr>
            <w:tcW w:w="1120" w:type="dxa"/>
            <w:vMerge w:val="restart"/>
            <w:tcBorders>
              <w:top w:val="single" w:sz="8" w:space="0" w:color="AEAEAE"/>
              <w:left w:val="nil"/>
              <w:bottom w:val="nil"/>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Female</w:t>
            </w:r>
          </w:p>
        </w:tc>
        <w:tc>
          <w:tcPr>
            <w:tcW w:w="1638" w:type="dxa"/>
            <w:tcBorders>
              <w:top w:val="single" w:sz="8" w:space="0" w:color="AEAEAE"/>
              <w:left w:val="nil"/>
              <w:bottom w:val="single" w:sz="8" w:space="0" w:color="AEAEAE"/>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Count</w:t>
            </w:r>
          </w:p>
        </w:tc>
        <w:tc>
          <w:tcPr>
            <w:tcW w:w="1620" w:type="dxa"/>
            <w:tcBorders>
              <w:top w:val="single" w:sz="8" w:space="0" w:color="AEAEAE"/>
              <w:left w:val="nil"/>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2</w:t>
            </w:r>
          </w:p>
        </w:tc>
        <w:tc>
          <w:tcPr>
            <w:tcW w:w="2139" w:type="dxa"/>
            <w:tcBorders>
              <w:top w:val="single" w:sz="8" w:space="0" w:color="AEAEAE"/>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8</w:t>
            </w:r>
          </w:p>
        </w:tc>
        <w:tc>
          <w:tcPr>
            <w:tcW w:w="1935" w:type="dxa"/>
            <w:tcBorders>
              <w:top w:val="single" w:sz="8" w:space="0" w:color="AEAEAE"/>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2</w:t>
            </w:r>
          </w:p>
        </w:tc>
        <w:tc>
          <w:tcPr>
            <w:tcW w:w="1324" w:type="dxa"/>
            <w:tcBorders>
              <w:top w:val="single" w:sz="8" w:space="0" w:color="AEAEAE"/>
              <w:left w:val="single" w:sz="8" w:space="0" w:color="E0E0E0"/>
              <w:bottom w:val="single" w:sz="8" w:space="0" w:color="AEAEAE"/>
              <w:right w:val="nil"/>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12</w:t>
            </w:r>
          </w:p>
        </w:tc>
      </w:tr>
      <w:tr w:rsidR="000F0BE1" w:rsidRPr="00437E8B" w:rsidTr="000F0BE1">
        <w:trPr>
          <w:gridAfter w:val="1"/>
          <w:wAfter w:w="1327" w:type="dxa"/>
          <w:cantSplit/>
          <w:trHeight w:val="658"/>
        </w:trPr>
        <w:tc>
          <w:tcPr>
            <w:tcW w:w="1222" w:type="dxa"/>
            <w:vMerge/>
            <w:tcBorders>
              <w:top w:val="single" w:sz="8" w:space="0" w:color="152935"/>
              <w:left w:val="nil"/>
              <w:bottom w:val="nil"/>
              <w:right w:val="nil"/>
            </w:tcBorders>
            <w:shd w:val="clear" w:color="auto" w:fill="E0E0E0"/>
          </w:tcPr>
          <w:p w:rsidR="000F0BE1" w:rsidRPr="00531F2A" w:rsidRDefault="000F0BE1" w:rsidP="00DC0C38">
            <w:pPr>
              <w:autoSpaceDE w:val="0"/>
              <w:autoSpaceDN w:val="0"/>
              <w:adjustRightInd w:val="0"/>
              <w:spacing w:after="0" w:line="240" w:lineRule="auto"/>
              <w:rPr>
                <w:rFonts w:ascii="Arial" w:hAnsi="Arial" w:cs="Arial"/>
                <w:color w:val="010205"/>
                <w:sz w:val="24"/>
                <w:szCs w:val="24"/>
              </w:rPr>
            </w:pPr>
          </w:p>
        </w:tc>
        <w:tc>
          <w:tcPr>
            <w:tcW w:w="1120" w:type="dxa"/>
            <w:vMerge/>
            <w:tcBorders>
              <w:top w:val="single" w:sz="8" w:space="0" w:color="AEAEAE"/>
              <w:left w:val="nil"/>
              <w:bottom w:val="nil"/>
              <w:right w:val="nil"/>
            </w:tcBorders>
            <w:shd w:val="clear" w:color="auto" w:fill="E0E0E0"/>
          </w:tcPr>
          <w:p w:rsidR="000F0BE1" w:rsidRPr="00531F2A" w:rsidRDefault="000F0BE1" w:rsidP="00DC0C38">
            <w:pPr>
              <w:autoSpaceDE w:val="0"/>
              <w:autoSpaceDN w:val="0"/>
              <w:adjustRightInd w:val="0"/>
              <w:spacing w:after="0" w:line="240" w:lineRule="auto"/>
              <w:rPr>
                <w:rFonts w:ascii="Arial" w:hAnsi="Arial" w:cs="Arial"/>
                <w:color w:val="010205"/>
                <w:sz w:val="24"/>
                <w:szCs w:val="24"/>
              </w:rPr>
            </w:pPr>
          </w:p>
        </w:tc>
        <w:tc>
          <w:tcPr>
            <w:tcW w:w="1638" w:type="dxa"/>
            <w:tcBorders>
              <w:top w:val="single" w:sz="8" w:space="0" w:color="AEAEAE"/>
              <w:left w:val="nil"/>
              <w:bottom w:val="nil"/>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531F2A">
              <w:rPr>
                <w:rFonts w:ascii="Arial" w:hAnsi="Arial" w:cs="Arial"/>
                <w:color w:val="264A60"/>
                <w:sz w:val="24"/>
                <w:szCs w:val="24"/>
              </w:rPr>
              <w:t xml:space="preserve">% Within </w:t>
            </w:r>
            <w:proofErr w:type="spellStart"/>
            <w:r w:rsidRPr="00531F2A">
              <w:rPr>
                <w:rFonts w:ascii="Arial" w:hAnsi="Arial" w:cs="Arial"/>
                <w:color w:val="264A60"/>
                <w:sz w:val="24"/>
                <w:szCs w:val="24"/>
              </w:rPr>
              <w:t>CFUcat</w:t>
            </w:r>
            <w:proofErr w:type="spellEnd"/>
          </w:p>
        </w:tc>
        <w:tc>
          <w:tcPr>
            <w:tcW w:w="1620" w:type="dxa"/>
            <w:tcBorders>
              <w:top w:val="single" w:sz="8" w:space="0" w:color="AEAEAE"/>
              <w:left w:val="nil"/>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18.2%</w:t>
            </w:r>
          </w:p>
        </w:tc>
        <w:tc>
          <w:tcPr>
            <w:tcW w:w="2139" w:type="dxa"/>
            <w:tcBorders>
              <w:top w:val="single" w:sz="8" w:space="0" w:color="AEAEAE"/>
              <w:left w:val="single" w:sz="8" w:space="0" w:color="E0E0E0"/>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72.7%</w:t>
            </w:r>
          </w:p>
        </w:tc>
        <w:tc>
          <w:tcPr>
            <w:tcW w:w="1935" w:type="dxa"/>
            <w:tcBorders>
              <w:top w:val="single" w:sz="8" w:space="0" w:color="AEAEAE"/>
              <w:left w:val="single" w:sz="8" w:space="0" w:color="E0E0E0"/>
              <w:bottom w:val="nil"/>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100.0%</w:t>
            </w:r>
          </w:p>
        </w:tc>
      </w:tr>
      <w:tr w:rsidR="000F0BE1" w:rsidRPr="00437E8B" w:rsidTr="000F0BE1">
        <w:trPr>
          <w:cantSplit/>
          <w:trHeight w:val="477"/>
        </w:trPr>
        <w:tc>
          <w:tcPr>
            <w:tcW w:w="2342" w:type="dxa"/>
            <w:gridSpan w:val="2"/>
            <w:tcBorders>
              <w:top w:val="single" w:sz="8" w:space="0" w:color="AEAEAE"/>
              <w:left w:val="nil"/>
              <w:bottom w:val="single" w:sz="8" w:space="0" w:color="152935"/>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r w:rsidRPr="00437E8B">
              <w:rPr>
                <w:rFonts w:ascii="Arial" w:hAnsi="Arial" w:cs="Arial"/>
                <w:color w:val="264A60"/>
                <w:sz w:val="24"/>
                <w:szCs w:val="24"/>
              </w:rPr>
              <w:t xml:space="preserve">         </w:t>
            </w:r>
            <w:r w:rsidRPr="00531F2A">
              <w:rPr>
                <w:rFonts w:ascii="Arial" w:hAnsi="Arial" w:cs="Arial"/>
                <w:color w:val="264A60"/>
                <w:sz w:val="24"/>
                <w:szCs w:val="24"/>
              </w:rPr>
              <w:t>Total</w:t>
            </w:r>
            <w:r w:rsidRPr="00437E8B">
              <w:rPr>
                <w:rFonts w:ascii="Arial" w:hAnsi="Arial" w:cs="Arial"/>
                <w:color w:val="264A60"/>
                <w:sz w:val="24"/>
                <w:szCs w:val="24"/>
              </w:rPr>
              <w:t xml:space="preserve"> count      </w:t>
            </w:r>
          </w:p>
        </w:tc>
        <w:tc>
          <w:tcPr>
            <w:tcW w:w="1638" w:type="dxa"/>
            <w:tcBorders>
              <w:top w:val="single" w:sz="8" w:space="0" w:color="AEAEAE"/>
              <w:left w:val="nil"/>
              <w:bottom w:val="single" w:sz="8" w:space="0" w:color="AEAEAE"/>
              <w:right w:val="nil"/>
            </w:tcBorders>
            <w:shd w:val="clear" w:color="auto" w:fill="E0E0E0"/>
          </w:tcPr>
          <w:p w:rsidR="000F0BE1" w:rsidRPr="00531F2A" w:rsidRDefault="000F0BE1" w:rsidP="00DC0C38">
            <w:pPr>
              <w:autoSpaceDE w:val="0"/>
              <w:autoSpaceDN w:val="0"/>
              <w:adjustRightInd w:val="0"/>
              <w:spacing w:after="0" w:line="320" w:lineRule="atLeast"/>
              <w:ind w:left="60" w:right="60"/>
              <w:rPr>
                <w:rFonts w:ascii="Arial" w:hAnsi="Arial" w:cs="Arial"/>
                <w:color w:val="264A60"/>
                <w:sz w:val="24"/>
                <w:szCs w:val="24"/>
              </w:rPr>
            </w:pPr>
          </w:p>
        </w:tc>
        <w:tc>
          <w:tcPr>
            <w:tcW w:w="1620" w:type="dxa"/>
            <w:tcBorders>
              <w:top w:val="single" w:sz="8" w:space="0" w:color="AEAEAE"/>
              <w:left w:val="nil"/>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11</w:t>
            </w:r>
          </w:p>
        </w:tc>
        <w:tc>
          <w:tcPr>
            <w:tcW w:w="2139" w:type="dxa"/>
            <w:tcBorders>
              <w:top w:val="single" w:sz="8" w:space="0" w:color="AEAEAE"/>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11</w:t>
            </w:r>
          </w:p>
        </w:tc>
        <w:tc>
          <w:tcPr>
            <w:tcW w:w="1935" w:type="dxa"/>
            <w:tcBorders>
              <w:top w:val="single" w:sz="8" w:space="0" w:color="AEAEAE"/>
              <w:left w:val="single" w:sz="8" w:space="0" w:color="E0E0E0"/>
              <w:bottom w:val="single" w:sz="8" w:space="0" w:color="AEAEAE"/>
              <w:right w:val="single" w:sz="8" w:space="0" w:color="E0E0E0"/>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2</w:t>
            </w:r>
          </w:p>
        </w:tc>
        <w:tc>
          <w:tcPr>
            <w:tcW w:w="1324" w:type="dxa"/>
            <w:tcBorders>
              <w:top w:val="single" w:sz="8" w:space="0" w:color="AEAEAE"/>
              <w:left w:val="single" w:sz="8" w:space="0" w:color="E0E0E0"/>
              <w:bottom w:val="single" w:sz="8" w:space="0" w:color="AEAEAE"/>
              <w:right w:val="nil"/>
            </w:tcBorders>
            <w:shd w:val="clear" w:color="auto" w:fill="FFFFFF"/>
          </w:tcPr>
          <w:p w:rsidR="000F0BE1" w:rsidRPr="00531F2A" w:rsidRDefault="000F0BE1" w:rsidP="00DC0C38">
            <w:pPr>
              <w:autoSpaceDE w:val="0"/>
              <w:autoSpaceDN w:val="0"/>
              <w:adjustRightInd w:val="0"/>
              <w:spacing w:after="0" w:line="320" w:lineRule="atLeast"/>
              <w:ind w:left="60" w:right="60"/>
              <w:jc w:val="right"/>
              <w:rPr>
                <w:rFonts w:ascii="Arial" w:hAnsi="Arial" w:cs="Arial"/>
                <w:color w:val="010205"/>
                <w:sz w:val="24"/>
                <w:szCs w:val="24"/>
              </w:rPr>
            </w:pPr>
            <w:r w:rsidRPr="00531F2A">
              <w:rPr>
                <w:rFonts w:ascii="Arial" w:hAnsi="Arial" w:cs="Arial"/>
                <w:color w:val="010205"/>
                <w:sz w:val="24"/>
                <w:szCs w:val="24"/>
              </w:rPr>
              <w:t>24</w:t>
            </w:r>
          </w:p>
        </w:tc>
      </w:tr>
      <w:bookmarkEnd w:id="1"/>
    </w:tbl>
    <w:p w:rsidR="000F0BE1" w:rsidRPr="00437E8B" w:rsidRDefault="000F0BE1" w:rsidP="000F0BE1">
      <w:pPr>
        <w:rPr>
          <w:rFonts w:ascii="Times New Roman" w:hAnsi="Times New Roman" w:cs="Times New Roman"/>
          <w:sz w:val="24"/>
          <w:szCs w:val="24"/>
        </w:rPr>
      </w:pPr>
    </w:p>
    <w:p w:rsidR="000F0BE1" w:rsidRPr="00437E8B" w:rsidRDefault="002B2A7E" w:rsidP="000F0BE1">
      <w:pPr>
        <w:rPr>
          <w:sz w:val="24"/>
          <w:szCs w:val="24"/>
        </w:rPr>
      </w:pPr>
      <w:r>
        <w:rPr>
          <w:noProof/>
        </w:rPr>
        <w:drawing>
          <wp:inline distT="0" distB="0" distL="0" distR="0" wp14:anchorId="60E90090" wp14:editId="65C78E4B">
            <wp:extent cx="5944870" cy="3508375"/>
            <wp:effectExtent l="0" t="0" r="0" b="0"/>
            <wp:docPr id="3" name="صورة 3"/>
            <wp:cNvGraphicFramePr/>
            <a:graphic xmlns:a="http://schemas.openxmlformats.org/drawingml/2006/main">
              <a:graphicData uri="http://schemas.openxmlformats.org/drawingml/2006/picture">
                <pic:pic xmlns:pic="http://schemas.openxmlformats.org/drawingml/2006/picture">
                  <pic:nvPicPr>
                    <pic:cNvPr id="4" name="صورة 4"/>
                    <pic:cNvPicPr/>
                  </pic:nvPicPr>
                  <pic:blipFill>
                    <a:blip r:embed="rId7">
                      <a:extLst>
                        <a:ext uri="{28A0092B-C50C-407E-A947-70E740481C1C}">
                          <a14:useLocalDpi xmlns:a14="http://schemas.microsoft.com/office/drawing/2010/main" val="0"/>
                        </a:ext>
                      </a:extLst>
                    </a:blip>
                    <a:stretch>
                      <a:fillRect/>
                    </a:stretch>
                  </pic:blipFill>
                  <pic:spPr>
                    <a:xfrm>
                      <a:off x="0" y="0"/>
                      <a:ext cx="5944870" cy="3508375"/>
                    </a:xfrm>
                    <a:prstGeom prst="rect">
                      <a:avLst/>
                    </a:prstGeom>
                  </pic:spPr>
                </pic:pic>
              </a:graphicData>
            </a:graphic>
          </wp:inline>
        </w:drawing>
      </w:r>
    </w:p>
    <w:p w:rsidR="000F0BE1" w:rsidRPr="000F0BE1" w:rsidRDefault="000F0BE1" w:rsidP="00EC2E92">
      <w:pPr>
        <w:rPr>
          <w:sz w:val="24"/>
          <w:szCs w:val="24"/>
        </w:rPr>
      </w:pPr>
      <w:r w:rsidRPr="000F0BE1">
        <w:rPr>
          <w:sz w:val="24"/>
          <w:szCs w:val="24"/>
        </w:rPr>
        <w:t>A pie chart appears the CFU categories of the female understudies as it were. Demonstrating that 16.67% of females had no development and 66.67% had no critical development, 16.67%</w:t>
      </w:r>
      <w:r w:rsidR="002B2A7E">
        <w:rPr>
          <w:sz w:val="24"/>
          <w:szCs w:val="24"/>
        </w:rPr>
        <w:t xml:space="preserve"> </w:t>
      </w:r>
      <w:r w:rsidRPr="000F0BE1">
        <w:rPr>
          <w:sz w:val="24"/>
          <w:szCs w:val="24"/>
        </w:rPr>
        <w:t xml:space="preserve">had critical bacterial development on </w:t>
      </w:r>
      <w:r w:rsidR="00EC2E92">
        <w:rPr>
          <w:sz w:val="24"/>
          <w:szCs w:val="24"/>
        </w:rPr>
        <w:t>urine</w:t>
      </w:r>
      <w:r w:rsidRPr="000F0BE1">
        <w:rPr>
          <w:sz w:val="24"/>
          <w:szCs w:val="24"/>
        </w:rPr>
        <w:t xml:space="preserve"> cu</w:t>
      </w:r>
      <w:r w:rsidR="002B2A7E">
        <w:rPr>
          <w:sz w:val="24"/>
          <w:szCs w:val="24"/>
        </w:rPr>
        <w:t xml:space="preserve">lture and </w:t>
      </w:r>
      <w:proofErr w:type="gramStart"/>
      <w:r w:rsidR="002B2A7E">
        <w:rPr>
          <w:sz w:val="24"/>
          <w:szCs w:val="24"/>
        </w:rPr>
        <w:t>were analyzed</w:t>
      </w:r>
      <w:proofErr w:type="gramEnd"/>
      <w:r w:rsidR="002B2A7E">
        <w:rPr>
          <w:sz w:val="24"/>
          <w:szCs w:val="24"/>
        </w:rPr>
        <w:t xml:space="preserve"> with </w:t>
      </w:r>
      <w:r w:rsidR="002F40C9">
        <w:rPr>
          <w:sz w:val="24"/>
          <w:szCs w:val="24"/>
        </w:rPr>
        <w:t>asymptomatic</w:t>
      </w:r>
      <w:r w:rsidR="002B2A7E">
        <w:rPr>
          <w:sz w:val="24"/>
          <w:szCs w:val="24"/>
        </w:rPr>
        <w:t xml:space="preserve"> bacteriuria  </w:t>
      </w:r>
    </w:p>
    <w:p w:rsidR="000F0BE1" w:rsidRDefault="000F0BE1" w:rsidP="000F0BE1">
      <w:pPr>
        <w:rPr>
          <w:sz w:val="24"/>
          <w:szCs w:val="24"/>
        </w:rPr>
      </w:pPr>
    </w:p>
    <w:p w:rsidR="000F0BE1" w:rsidRPr="0098660D" w:rsidRDefault="000F0BE1" w:rsidP="000F0BE1">
      <w:pPr>
        <w:rPr>
          <w:rFonts w:ascii="Times New Roman" w:hAnsi="Times New Roman" w:cs="Times New Roman"/>
          <w:b/>
          <w:bCs/>
          <w:sz w:val="24"/>
          <w:szCs w:val="24"/>
          <w:u w:val="single"/>
        </w:rPr>
      </w:pPr>
      <w:r w:rsidRPr="000F0BE1">
        <w:rPr>
          <w:sz w:val="24"/>
          <w:szCs w:val="24"/>
        </w:rPr>
        <w:lastRenderedPageBreak/>
        <w:t>.</w:t>
      </w:r>
      <w:r w:rsidR="002B2A7E" w:rsidRPr="002B2A7E">
        <w:rPr>
          <w:noProof/>
        </w:rPr>
        <w:t xml:space="preserve"> </w:t>
      </w:r>
      <w:r w:rsidR="002B2A7E">
        <w:rPr>
          <w:noProof/>
        </w:rPr>
        <w:drawing>
          <wp:inline distT="0" distB="0" distL="0" distR="0" wp14:anchorId="115FD6D7" wp14:editId="24C1B1FA">
            <wp:extent cx="5944870" cy="3508375"/>
            <wp:effectExtent l="0" t="0" r="0" b="0"/>
            <wp:docPr id="6" name="صورة 6"/>
            <wp:cNvGraphicFramePr/>
            <a:graphic xmlns:a="http://schemas.openxmlformats.org/drawingml/2006/main">
              <a:graphicData uri="http://schemas.openxmlformats.org/drawingml/2006/picture">
                <pic:pic xmlns:pic="http://schemas.openxmlformats.org/drawingml/2006/picture">
                  <pic:nvPicPr>
                    <pic:cNvPr id="3" name="صورة 3"/>
                    <pic:cNvPicPr/>
                  </pic:nvPicPr>
                  <pic:blipFill>
                    <a:blip r:embed="rId8">
                      <a:extLst>
                        <a:ext uri="{28A0092B-C50C-407E-A947-70E740481C1C}">
                          <a14:useLocalDpi xmlns:a14="http://schemas.microsoft.com/office/drawing/2010/main" val="0"/>
                        </a:ext>
                      </a:extLst>
                    </a:blip>
                    <a:stretch>
                      <a:fillRect/>
                    </a:stretch>
                  </pic:blipFill>
                  <pic:spPr>
                    <a:xfrm>
                      <a:off x="0" y="0"/>
                      <a:ext cx="5944870" cy="3508375"/>
                    </a:xfrm>
                    <a:prstGeom prst="rect">
                      <a:avLst/>
                    </a:prstGeom>
                  </pic:spPr>
                </pic:pic>
              </a:graphicData>
            </a:graphic>
          </wp:inline>
        </w:drawing>
      </w:r>
    </w:p>
    <w:p w:rsidR="000F0BE1" w:rsidRPr="0098660D" w:rsidRDefault="000F0BE1" w:rsidP="000F0BE1">
      <w:pPr>
        <w:rPr>
          <w:rFonts w:ascii="Times New Roman" w:hAnsi="Times New Roman" w:cs="Times New Roman"/>
          <w:sz w:val="24"/>
          <w:szCs w:val="24"/>
        </w:rPr>
      </w:pPr>
      <w:r w:rsidRPr="0098660D">
        <w:rPr>
          <w:rFonts w:ascii="Times New Roman" w:hAnsi="Times New Roman" w:cs="Times New Roman"/>
          <w:sz w:val="24"/>
          <w:szCs w:val="24"/>
        </w:rPr>
        <w:t xml:space="preserve">This pie chart counts the CFU of the male students only. </w:t>
      </w:r>
      <w:proofErr w:type="gramStart"/>
      <w:r w:rsidRPr="0098660D">
        <w:rPr>
          <w:rFonts w:ascii="Times New Roman" w:hAnsi="Times New Roman" w:cs="Times New Roman"/>
          <w:sz w:val="24"/>
          <w:szCs w:val="24"/>
        </w:rPr>
        <w:t>75%</w:t>
      </w:r>
      <w:proofErr w:type="gramEnd"/>
      <w:r w:rsidRPr="0098660D">
        <w:rPr>
          <w:rFonts w:ascii="Times New Roman" w:hAnsi="Times New Roman" w:cs="Times New Roman"/>
          <w:sz w:val="24"/>
          <w:szCs w:val="24"/>
        </w:rPr>
        <w:t xml:space="preserve"> (9 of the 12) of the male students had No growth, 25% had No significant growth and zero had significant growth. </w:t>
      </w:r>
    </w:p>
    <w:p w:rsidR="000F0BE1" w:rsidRPr="000F0BE1" w:rsidRDefault="000F0BE1" w:rsidP="000F0BE1">
      <w:pPr>
        <w:rPr>
          <w:rFonts w:ascii="Times New Roman" w:hAnsi="Times New Roman" w:cs="Times New Roman"/>
          <w:b/>
          <w:bCs/>
          <w:color w:val="C00000"/>
          <w:sz w:val="40"/>
          <w:szCs w:val="40"/>
        </w:rPr>
      </w:pPr>
      <w:r>
        <w:rPr>
          <w:rFonts w:ascii="Times New Roman" w:hAnsi="Times New Roman" w:cs="Times New Roman"/>
          <w:b/>
          <w:bCs/>
          <w:color w:val="C00000"/>
          <w:sz w:val="40"/>
          <w:szCs w:val="40"/>
        </w:rPr>
        <w:t xml:space="preserve">Table 2 </w:t>
      </w:r>
    </w:p>
    <w:p w:rsidR="000F0BE1" w:rsidRPr="0098660D" w:rsidRDefault="000F0BE1" w:rsidP="000F0BE1">
      <w:pPr>
        <w:rPr>
          <w:rFonts w:ascii="Times New Roman" w:hAnsi="Times New Roman" w:cs="Times New Roman"/>
          <w:sz w:val="24"/>
          <w:szCs w:val="24"/>
        </w:rPr>
      </w:pPr>
      <w:r w:rsidRPr="000F0BE1">
        <w:rPr>
          <w:noProof/>
          <w:sz w:val="28"/>
          <w:szCs w:val="28"/>
        </w:rPr>
        <w:drawing>
          <wp:inline distT="0" distB="0" distL="0" distR="0" wp14:anchorId="77AAA560" wp14:editId="68975A25">
            <wp:extent cx="6814061" cy="2861736"/>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872423" cy="2886247"/>
                    </a:xfrm>
                    <a:prstGeom prst="rect">
                      <a:avLst/>
                    </a:prstGeom>
                    <a:noFill/>
                    <a:ln>
                      <a:noFill/>
                    </a:ln>
                  </pic:spPr>
                </pic:pic>
              </a:graphicData>
            </a:graphic>
          </wp:inline>
        </w:drawing>
      </w:r>
    </w:p>
    <w:p w:rsidR="00D55A0E" w:rsidRDefault="00D55A0E" w:rsidP="00D55A0E">
      <w:pPr>
        <w:rPr>
          <w:rFonts w:ascii="Times New Roman" w:hAnsi="Times New Roman" w:cs="Times New Roman"/>
          <w:sz w:val="24"/>
          <w:szCs w:val="24"/>
        </w:rPr>
      </w:pPr>
    </w:p>
    <w:p w:rsidR="00D55A0E" w:rsidRDefault="00D55A0E" w:rsidP="00D55A0E">
      <w:pPr>
        <w:rPr>
          <w:rFonts w:ascii="Times New Roman" w:hAnsi="Times New Roman" w:cs="Times New Roman"/>
          <w:sz w:val="24"/>
          <w:szCs w:val="24"/>
        </w:rPr>
      </w:pPr>
    </w:p>
    <w:p w:rsidR="00D55A0E" w:rsidRDefault="000F0BE1" w:rsidP="00D55A0E">
      <w:pPr>
        <w:rPr>
          <w:b/>
          <w:bCs/>
          <w:color w:val="1F3864" w:themeColor="accent5" w:themeShade="80"/>
          <w:sz w:val="36"/>
          <w:szCs w:val="36"/>
        </w:rPr>
      </w:pPr>
      <w:r w:rsidRPr="0098660D">
        <w:rPr>
          <w:rFonts w:ascii="Times New Roman" w:hAnsi="Times New Roman" w:cs="Times New Roman"/>
          <w:sz w:val="24"/>
          <w:szCs w:val="24"/>
        </w:rPr>
        <w:lastRenderedPageBreak/>
        <w:t xml:space="preserve"> </w:t>
      </w:r>
      <w:r w:rsidR="00D55A0E" w:rsidRPr="00D55A0E">
        <w:rPr>
          <w:b/>
          <w:bCs/>
          <w:color w:val="1F3864" w:themeColor="accent5" w:themeShade="80"/>
          <w:sz w:val="36"/>
          <w:szCs w:val="36"/>
        </w:rPr>
        <w:t xml:space="preserve">Discussion </w:t>
      </w:r>
    </w:p>
    <w:p w:rsidR="00B86FF2" w:rsidRPr="00B86FF2" w:rsidRDefault="00B86FF2" w:rsidP="00B86FF2">
      <w:pPr>
        <w:rPr>
          <w:rFonts w:asciiTheme="majorHAnsi" w:hAnsiTheme="majorHAnsi" w:cstheme="majorHAnsi"/>
          <w:sz w:val="24"/>
          <w:szCs w:val="24"/>
        </w:rPr>
      </w:pPr>
      <w:r w:rsidRPr="00B86FF2">
        <w:rPr>
          <w:rFonts w:asciiTheme="majorHAnsi" w:hAnsiTheme="majorHAnsi" w:cstheme="majorHAnsi"/>
          <w:sz w:val="24"/>
          <w:szCs w:val="24"/>
        </w:rPr>
        <w:t xml:space="preserve">The above statistics show that the incidence of bacteriuria </w:t>
      </w:r>
      <w:proofErr w:type="gramStart"/>
      <w:r w:rsidRPr="00B86FF2">
        <w:rPr>
          <w:rFonts w:asciiTheme="majorHAnsi" w:hAnsiTheme="majorHAnsi" w:cstheme="majorHAnsi"/>
          <w:sz w:val="24"/>
          <w:szCs w:val="24"/>
        </w:rPr>
        <w:t>is significantly increased</w:t>
      </w:r>
      <w:proofErr w:type="gramEnd"/>
      <w:r w:rsidRPr="00B86FF2">
        <w:rPr>
          <w:rFonts w:asciiTheme="majorHAnsi" w:hAnsiTheme="majorHAnsi" w:cstheme="majorHAnsi"/>
          <w:sz w:val="24"/>
          <w:szCs w:val="24"/>
        </w:rPr>
        <w:t xml:space="preserve"> in women compared to men. This </w:t>
      </w:r>
      <w:proofErr w:type="gramStart"/>
      <w:r w:rsidRPr="00B86FF2">
        <w:rPr>
          <w:rFonts w:asciiTheme="majorHAnsi" w:hAnsiTheme="majorHAnsi" w:cstheme="majorHAnsi"/>
          <w:sz w:val="24"/>
          <w:szCs w:val="24"/>
        </w:rPr>
        <w:t>is caused</w:t>
      </w:r>
      <w:proofErr w:type="gramEnd"/>
      <w:r w:rsidRPr="00B86FF2">
        <w:rPr>
          <w:rFonts w:asciiTheme="majorHAnsi" w:hAnsiTheme="majorHAnsi" w:cstheme="majorHAnsi"/>
          <w:sz w:val="24"/>
          <w:szCs w:val="24"/>
        </w:rPr>
        <w:t xml:space="preserve"> by anatomical differences in the male and female urinary system of the urethra, the tube that guides urine from the bladder to the outside for excretion. Males are much longer than females, and the male urethra is 18-20 cm long a</w:t>
      </w:r>
      <w:r w:rsidR="00171F76">
        <w:rPr>
          <w:rFonts w:asciiTheme="majorHAnsi" w:hAnsiTheme="majorHAnsi" w:cstheme="majorHAnsi"/>
          <w:sz w:val="24"/>
          <w:szCs w:val="24"/>
        </w:rPr>
        <w:t xml:space="preserve">nd </w:t>
      </w:r>
      <w:proofErr w:type="gramStart"/>
      <w:r w:rsidR="00171F76">
        <w:rPr>
          <w:rFonts w:asciiTheme="majorHAnsi" w:hAnsiTheme="majorHAnsi" w:cstheme="majorHAnsi"/>
          <w:sz w:val="24"/>
          <w:szCs w:val="24"/>
        </w:rPr>
        <w:t>is divided</w:t>
      </w:r>
      <w:proofErr w:type="gramEnd"/>
      <w:r w:rsidR="00171F76">
        <w:rPr>
          <w:rFonts w:asciiTheme="majorHAnsi" w:hAnsiTheme="majorHAnsi" w:cstheme="majorHAnsi"/>
          <w:sz w:val="24"/>
          <w:szCs w:val="24"/>
        </w:rPr>
        <w:t xml:space="preserve"> into three parts:</w:t>
      </w:r>
    </w:p>
    <w:p w:rsidR="00171F76" w:rsidRDefault="00171F76" w:rsidP="00171F76">
      <w:pPr>
        <w:rPr>
          <w:rFonts w:asciiTheme="majorHAnsi" w:hAnsiTheme="majorHAnsi" w:cstheme="majorHAnsi"/>
          <w:sz w:val="24"/>
          <w:szCs w:val="24"/>
        </w:rPr>
      </w:pPr>
      <w:r>
        <w:rPr>
          <w:rFonts w:asciiTheme="majorHAnsi" w:hAnsiTheme="majorHAnsi" w:cstheme="majorHAnsi"/>
          <w:sz w:val="24"/>
          <w:szCs w:val="24"/>
        </w:rPr>
        <w:t xml:space="preserve"> </w:t>
      </w:r>
      <w:r w:rsidR="00B86FF2" w:rsidRPr="00B86FF2">
        <w:rPr>
          <w:rFonts w:asciiTheme="majorHAnsi" w:hAnsiTheme="majorHAnsi" w:cstheme="majorHAnsi"/>
          <w:sz w:val="24"/>
          <w:szCs w:val="24"/>
        </w:rPr>
        <w:t xml:space="preserve">Prostatic urethra </w:t>
      </w:r>
      <w:r w:rsidRPr="00B86FF2">
        <w:rPr>
          <w:rFonts w:asciiTheme="majorHAnsi" w:hAnsiTheme="majorHAnsi" w:cstheme="majorHAnsi"/>
          <w:sz w:val="24"/>
          <w:szCs w:val="24"/>
        </w:rPr>
        <w:t>the</w:t>
      </w:r>
      <w:r w:rsidR="00B86FF2" w:rsidRPr="00B86FF2">
        <w:rPr>
          <w:rFonts w:asciiTheme="majorHAnsi" w:hAnsiTheme="majorHAnsi" w:cstheme="majorHAnsi"/>
          <w:sz w:val="24"/>
          <w:szCs w:val="24"/>
        </w:rPr>
        <w:t xml:space="preserve"> prostatic urethra is the part of the urethra that carries semen through the prostate and produces ejaculated sperm. </w:t>
      </w:r>
    </w:p>
    <w:p w:rsidR="00171F76" w:rsidRDefault="00B86FF2" w:rsidP="00171F76">
      <w:pPr>
        <w:rPr>
          <w:rFonts w:asciiTheme="majorHAnsi" w:hAnsiTheme="majorHAnsi" w:cstheme="majorHAnsi"/>
          <w:sz w:val="24"/>
          <w:szCs w:val="24"/>
        </w:rPr>
      </w:pPr>
      <w:r w:rsidRPr="00B86FF2">
        <w:rPr>
          <w:rFonts w:asciiTheme="majorHAnsi" w:hAnsiTheme="majorHAnsi" w:cstheme="majorHAnsi"/>
          <w:sz w:val="24"/>
          <w:szCs w:val="24"/>
        </w:rPr>
        <w:t xml:space="preserve">The membranous urethra is the tube that connects the bladder to the urethra. The pelvic floor transmits fluid through the urethra, which is a short part of the urethra. </w:t>
      </w:r>
    </w:p>
    <w:p w:rsidR="00B86FF2" w:rsidRPr="00B86FF2" w:rsidRDefault="00171F76" w:rsidP="00171F76">
      <w:pPr>
        <w:rPr>
          <w:rFonts w:asciiTheme="majorHAnsi" w:hAnsiTheme="majorHAnsi" w:cstheme="majorHAnsi"/>
          <w:sz w:val="24"/>
          <w:szCs w:val="24"/>
        </w:rPr>
      </w:pPr>
      <w:r>
        <w:rPr>
          <w:rFonts w:asciiTheme="majorHAnsi" w:hAnsiTheme="majorHAnsi" w:cstheme="majorHAnsi"/>
          <w:sz w:val="24"/>
          <w:szCs w:val="24"/>
        </w:rPr>
        <w:t xml:space="preserve"> </w:t>
      </w:r>
      <w:r w:rsidR="00B86FF2" w:rsidRPr="00B86FF2">
        <w:rPr>
          <w:rFonts w:asciiTheme="majorHAnsi" w:hAnsiTheme="majorHAnsi" w:cstheme="majorHAnsi"/>
          <w:sz w:val="24"/>
          <w:szCs w:val="24"/>
        </w:rPr>
        <w:t xml:space="preserve"> The penile urethra (also known as the spongy urethra or spongy urethra) is the longest part of the urethra. This part of the penis runs the length of the body and ends at the urinary meatus or the </w:t>
      </w:r>
      <w:r>
        <w:rPr>
          <w:rFonts w:asciiTheme="majorHAnsi" w:hAnsiTheme="majorHAnsi" w:cstheme="majorHAnsi"/>
          <w:sz w:val="24"/>
          <w:szCs w:val="24"/>
        </w:rPr>
        <w:t>outer entrance of the body.</w:t>
      </w:r>
    </w:p>
    <w:p w:rsidR="00B86FF2" w:rsidRPr="00B86FF2" w:rsidRDefault="00B86FF2" w:rsidP="00171F76">
      <w:pPr>
        <w:rPr>
          <w:rFonts w:asciiTheme="majorHAnsi" w:hAnsiTheme="majorHAnsi" w:cstheme="majorHAnsi"/>
          <w:sz w:val="24"/>
          <w:szCs w:val="24"/>
        </w:rPr>
      </w:pPr>
      <w:r w:rsidRPr="00B86FF2">
        <w:rPr>
          <w:rFonts w:asciiTheme="majorHAnsi" w:hAnsiTheme="majorHAnsi" w:cstheme="majorHAnsi"/>
          <w:sz w:val="24"/>
          <w:szCs w:val="24"/>
        </w:rPr>
        <w:t xml:space="preserve"> </w:t>
      </w:r>
      <w:r w:rsidR="00171F76" w:rsidRPr="00B86FF2">
        <w:rPr>
          <w:rFonts w:asciiTheme="majorHAnsi" w:hAnsiTheme="majorHAnsi" w:cstheme="majorHAnsi"/>
          <w:sz w:val="24"/>
          <w:szCs w:val="24"/>
        </w:rPr>
        <w:t>In addition,</w:t>
      </w:r>
      <w:r w:rsidRPr="00B86FF2">
        <w:rPr>
          <w:rFonts w:asciiTheme="majorHAnsi" w:hAnsiTheme="majorHAnsi" w:cstheme="majorHAnsi"/>
          <w:sz w:val="24"/>
          <w:szCs w:val="24"/>
        </w:rPr>
        <w:t xml:space="preserve"> the female urethra </w:t>
      </w:r>
      <w:r w:rsidR="00171F76" w:rsidRPr="00B86FF2">
        <w:rPr>
          <w:rFonts w:asciiTheme="majorHAnsi" w:hAnsiTheme="majorHAnsi" w:cstheme="majorHAnsi"/>
          <w:sz w:val="24"/>
          <w:szCs w:val="24"/>
        </w:rPr>
        <w:t>the</w:t>
      </w:r>
      <w:r w:rsidRPr="00B86FF2">
        <w:rPr>
          <w:rFonts w:asciiTheme="majorHAnsi" w:hAnsiTheme="majorHAnsi" w:cstheme="majorHAnsi"/>
          <w:sz w:val="24"/>
          <w:szCs w:val="24"/>
        </w:rPr>
        <w:t xml:space="preserve"> urethra is short, 3-4 cm (1.5 inches) long. The external urethral opening is just in front of the vaginal opening and opens outward. </w:t>
      </w:r>
    </w:p>
    <w:p w:rsidR="00B86FF2" w:rsidRPr="00B86FF2" w:rsidRDefault="00B86FF2" w:rsidP="00171F76">
      <w:pPr>
        <w:rPr>
          <w:rFonts w:asciiTheme="majorHAnsi" w:hAnsiTheme="majorHAnsi" w:cstheme="majorHAnsi"/>
          <w:sz w:val="24"/>
          <w:szCs w:val="24"/>
        </w:rPr>
      </w:pPr>
      <w:r w:rsidRPr="00B86FF2">
        <w:rPr>
          <w:rFonts w:asciiTheme="majorHAnsi" w:hAnsiTheme="majorHAnsi" w:cstheme="majorHAnsi"/>
          <w:sz w:val="24"/>
          <w:szCs w:val="24"/>
        </w:rPr>
        <w:t xml:space="preserve"> Serious bacteriuria is most likely due to UTI (urinary tract infection). Most UTIs </w:t>
      </w:r>
      <w:proofErr w:type="gramStart"/>
      <w:r w:rsidRPr="00B86FF2">
        <w:rPr>
          <w:rFonts w:asciiTheme="majorHAnsi" w:hAnsiTheme="majorHAnsi" w:cstheme="majorHAnsi"/>
          <w:sz w:val="24"/>
          <w:szCs w:val="24"/>
        </w:rPr>
        <w:t>are caused</w:t>
      </w:r>
      <w:proofErr w:type="gramEnd"/>
      <w:r w:rsidRPr="00B86FF2">
        <w:rPr>
          <w:rFonts w:asciiTheme="majorHAnsi" w:hAnsiTheme="majorHAnsi" w:cstheme="majorHAnsi"/>
          <w:sz w:val="24"/>
          <w:szCs w:val="24"/>
        </w:rPr>
        <w:t xml:space="preserve"> by bacteria, but can also be caused by fungi and, rarely, viruses. Urinary tract infections (UTIs) are one of the most common human illnesses. The most common causative agent of UTI is E. coli (E. coli) E. coli), E. coli is responsible for 70-95 percent of upper and lower urinary tract infections. </w:t>
      </w:r>
      <w:r w:rsidRPr="00171F76">
        <w:rPr>
          <w:rFonts w:asciiTheme="majorHAnsi" w:hAnsiTheme="majorHAnsi" w:cstheme="majorHAnsi"/>
          <w:i/>
          <w:iCs/>
          <w:sz w:val="24"/>
          <w:szCs w:val="24"/>
        </w:rPr>
        <w:t xml:space="preserve">S. </w:t>
      </w:r>
      <w:proofErr w:type="spellStart"/>
      <w:r w:rsidRPr="00171F76">
        <w:rPr>
          <w:rFonts w:asciiTheme="majorHAnsi" w:hAnsiTheme="majorHAnsi" w:cstheme="majorHAnsi"/>
          <w:i/>
          <w:iCs/>
          <w:sz w:val="24"/>
          <w:szCs w:val="24"/>
        </w:rPr>
        <w:t>saprophyticus</w:t>
      </w:r>
      <w:proofErr w:type="spellEnd"/>
      <w:r w:rsidRPr="00171F76">
        <w:rPr>
          <w:rFonts w:asciiTheme="majorHAnsi" w:hAnsiTheme="majorHAnsi" w:cstheme="majorHAnsi"/>
          <w:i/>
          <w:iCs/>
          <w:sz w:val="24"/>
          <w:szCs w:val="24"/>
        </w:rPr>
        <w:t>, Proteus spp.</w:t>
      </w:r>
      <w:r w:rsidR="00171F76" w:rsidRPr="00171F76">
        <w:rPr>
          <w:rFonts w:asciiTheme="majorHAnsi" w:hAnsiTheme="majorHAnsi" w:cstheme="majorHAnsi"/>
          <w:i/>
          <w:iCs/>
          <w:sz w:val="24"/>
          <w:szCs w:val="24"/>
        </w:rPr>
        <w:t xml:space="preserve"> </w:t>
      </w:r>
      <w:r w:rsidRPr="00171F76">
        <w:rPr>
          <w:rFonts w:asciiTheme="majorHAnsi" w:hAnsiTheme="majorHAnsi" w:cstheme="majorHAnsi"/>
          <w:i/>
          <w:iCs/>
          <w:sz w:val="24"/>
          <w:szCs w:val="24"/>
        </w:rPr>
        <w:t xml:space="preserve"> </w:t>
      </w:r>
      <w:proofErr w:type="spellStart"/>
      <w:r w:rsidRPr="00171F76">
        <w:rPr>
          <w:rFonts w:asciiTheme="majorHAnsi" w:hAnsiTheme="majorHAnsi" w:cstheme="majorHAnsi"/>
          <w:i/>
          <w:iCs/>
          <w:sz w:val="24"/>
          <w:szCs w:val="24"/>
        </w:rPr>
        <w:t>Klebsiella</w:t>
      </w:r>
      <w:proofErr w:type="spellEnd"/>
      <w:r w:rsidRPr="00171F76">
        <w:rPr>
          <w:rFonts w:asciiTheme="majorHAnsi" w:hAnsiTheme="majorHAnsi" w:cstheme="majorHAnsi"/>
          <w:i/>
          <w:iCs/>
          <w:sz w:val="24"/>
          <w:szCs w:val="24"/>
        </w:rPr>
        <w:t xml:space="preserve"> spp</w:t>
      </w:r>
      <w:proofErr w:type="gramStart"/>
      <w:r w:rsidRPr="00171F76">
        <w:rPr>
          <w:rFonts w:asciiTheme="majorHAnsi" w:hAnsiTheme="majorHAnsi" w:cstheme="majorHAnsi"/>
          <w:i/>
          <w:iCs/>
          <w:sz w:val="24"/>
          <w:szCs w:val="24"/>
        </w:rPr>
        <w:t>. ,</w:t>
      </w:r>
      <w:proofErr w:type="gramEnd"/>
      <w:r w:rsidRPr="00171F76">
        <w:rPr>
          <w:rFonts w:asciiTheme="majorHAnsi" w:hAnsiTheme="majorHAnsi" w:cstheme="majorHAnsi"/>
          <w:i/>
          <w:iCs/>
          <w:sz w:val="24"/>
          <w:szCs w:val="24"/>
        </w:rPr>
        <w:t xml:space="preserve"> Enterococcus</w:t>
      </w:r>
      <w:r w:rsidRPr="00B86FF2">
        <w:rPr>
          <w:rFonts w:asciiTheme="majorHAnsi" w:hAnsiTheme="majorHAnsi" w:cstheme="majorHAnsi"/>
          <w:sz w:val="24"/>
          <w:szCs w:val="24"/>
        </w:rPr>
        <w:t xml:space="preserve"> </w:t>
      </w:r>
      <w:proofErr w:type="spellStart"/>
      <w:r w:rsidRPr="00171F76">
        <w:rPr>
          <w:rFonts w:asciiTheme="majorHAnsi" w:hAnsiTheme="majorHAnsi" w:cstheme="majorHAnsi"/>
          <w:i/>
          <w:iCs/>
          <w:sz w:val="24"/>
          <w:szCs w:val="24"/>
        </w:rPr>
        <w:t>faecalis</w:t>
      </w:r>
      <w:proofErr w:type="spellEnd"/>
      <w:r w:rsidRPr="00171F76">
        <w:rPr>
          <w:rFonts w:asciiTheme="majorHAnsi" w:hAnsiTheme="majorHAnsi" w:cstheme="majorHAnsi"/>
          <w:i/>
          <w:iCs/>
          <w:sz w:val="24"/>
          <w:szCs w:val="24"/>
        </w:rPr>
        <w:t xml:space="preserve">, </w:t>
      </w:r>
      <w:r w:rsidRPr="00171F76">
        <w:rPr>
          <w:rFonts w:asciiTheme="majorHAnsi" w:hAnsiTheme="majorHAnsi" w:cstheme="majorHAnsi"/>
          <w:sz w:val="24"/>
          <w:szCs w:val="24"/>
        </w:rPr>
        <w:t>various</w:t>
      </w:r>
      <w:r w:rsidRPr="00171F76">
        <w:rPr>
          <w:rFonts w:asciiTheme="majorHAnsi" w:hAnsiTheme="majorHAnsi" w:cstheme="majorHAnsi"/>
          <w:i/>
          <w:iCs/>
          <w:sz w:val="24"/>
          <w:szCs w:val="24"/>
        </w:rPr>
        <w:t xml:space="preserve"> </w:t>
      </w:r>
      <w:proofErr w:type="spellStart"/>
      <w:r w:rsidRPr="00171F76">
        <w:rPr>
          <w:rFonts w:asciiTheme="majorHAnsi" w:hAnsiTheme="majorHAnsi" w:cstheme="majorHAnsi"/>
          <w:i/>
          <w:iCs/>
          <w:sz w:val="24"/>
          <w:szCs w:val="24"/>
        </w:rPr>
        <w:t>Enterobacteriaceae</w:t>
      </w:r>
      <w:proofErr w:type="spellEnd"/>
      <w:r w:rsidRPr="00171F76">
        <w:rPr>
          <w:rFonts w:asciiTheme="majorHAnsi" w:hAnsiTheme="majorHAnsi" w:cstheme="majorHAnsi"/>
          <w:i/>
          <w:iCs/>
          <w:sz w:val="24"/>
          <w:szCs w:val="24"/>
        </w:rPr>
        <w:t>,</w:t>
      </w:r>
      <w:r w:rsidRPr="00B86FF2">
        <w:rPr>
          <w:rFonts w:asciiTheme="majorHAnsi" w:hAnsiTheme="majorHAnsi" w:cstheme="majorHAnsi"/>
          <w:sz w:val="24"/>
          <w:szCs w:val="24"/>
        </w:rPr>
        <w:t xml:space="preserve"> and yeast is all responsible for the remaining infections. Some species, such as </w:t>
      </w:r>
      <w:r w:rsidRPr="00171F76">
        <w:rPr>
          <w:rFonts w:asciiTheme="majorHAnsi" w:hAnsiTheme="majorHAnsi" w:cstheme="majorHAnsi"/>
          <w:i/>
          <w:iCs/>
          <w:sz w:val="24"/>
          <w:szCs w:val="24"/>
        </w:rPr>
        <w:t xml:space="preserve">Staphylococcus </w:t>
      </w:r>
      <w:proofErr w:type="spellStart"/>
      <w:r w:rsidRPr="00171F76">
        <w:rPr>
          <w:rFonts w:asciiTheme="majorHAnsi" w:hAnsiTheme="majorHAnsi" w:cstheme="majorHAnsi"/>
          <w:i/>
          <w:iCs/>
          <w:sz w:val="24"/>
          <w:szCs w:val="24"/>
        </w:rPr>
        <w:t>saprophyticus</w:t>
      </w:r>
      <w:proofErr w:type="spellEnd"/>
      <w:r w:rsidRPr="00B86FF2">
        <w:rPr>
          <w:rFonts w:asciiTheme="majorHAnsi" w:hAnsiTheme="majorHAnsi" w:cstheme="majorHAnsi"/>
          <w:sz w:val="24"/>
          <w:szCs w:val="24"/>
        </w:rPr>
        <w:t xml:space="preserve"> in young women, are more common in certain subgroups. However</w:t>
      </w:r>
      <w:r w:rsidRPr="00171F76">
        <w:rPr>
          <w:rFonts w:asciiTheme="majorHAnsi" w:hAnsiTheme="majorHAnsi" w:cstheme="majorHAnsi"/>
          <w:i/>
          <w:iCs/>
          <w:sz w:val="24"/>
          <w:szCs w:val="24"/>
        </w:rPr>
        <w:t xml:space="preserve">, S. </w:t>
      </w:r>
      <w:proofErr w:type="spellStart"/>
      <w:r w:rsidRPr="00171F76">
        <w:rPr>
          <w:rFonts w:asciiTheme="majorHAnsi" w:hAnsiTheme="majorHAnsi" w:cstheme="majorHAnsi"/>
          <w:i/>
          <w:iCs/>
          <w:sz w:val="24"/>
          <w:szCs w:val="24"/>
        </w:rPr>
        <w:t>saprophyticus</w:t>
      </w:r>
      <w:proofErr w:type="spellEnd"/>
      <w:r w:rsidRPr="00B86FF2">
        <w:rPr>
          <w:rFonts w:asciiTheme="majorHAnsi" w:hAnsiTheme="majorHAnsi" w:cstheme="majorHAnsi"/>
          <w:sz w:val="24"/>
          <w:szCs w:val="24"/>
        </w:rPr>
        <w:t xml:space="preserve"> can cause acute cystitis in older women and younger men and </w:t>
      </w:r>
      <w:proofErr w:type="gramStart"/>
      <w:r w:rsidRPr="00B86FF2">
        <w:rPr>
          <w:rFonts w:asciiTheme="majorHAnsi" w:hAnsiTheme="majorHAnsi" w:cstheme="majorHAnsi"/>
          <w:sz w:val="24"/>
          <w:szCs w:val="24"/>
        </w:rPr>
        <w:t>should not be considered</w:t>
      </w:r>
      <w:proofErr w:type="gramEnd"/>
      <w:r w:rsidRPr="00B86FF2">
        <w:rPr>
          <w:rFonts w:asciiTheme="majorHAnsi" w:hAnsiTheme="majorHAnsi" w:cstheme="majorHAnsi"/>
          <w:sz w:val="24"/>
          <w:szCs w:val="24"/>
        </w:rPr>
        <w:t xml:space="preserve"> a contaminant in urinary cultures. </w:t>
      </w:r>
    </w:p>
    <w:p w:rsidR="00B86FF2" w:rsidRPr="00B86FF2" w:rsidRDefault="00B86FF2" w:rsidP="00B86FF2">
      <w:pPr>
        <w:rPr>
          <w:rFonts w:asciiTheme="majorHAnsi" w:hAnsiTheme="majorHAnsi" w:cstheme="majorHAnsi"/>
          <w:sz w:val="24"/>
          <w:szCs w:val="24"/>
        </w:rPr>
      </w:pPr>
      <w:r w:rsidRPr="00B86FF2">
        <w:rPr>
          <w:rFonts w:asciiTheme="majorHAnsi" w:hAnsiTheme="majorHAnsi" w:cstheme="majorHAnsi"/>
          <w:sz w:val="24"/>
          <w:szCs w:val="24"/>
        </w:rPr>
        <w:t xml:space="preserve"> Urinary tract infections </w:t>
      </w:r>
      <w:proofErr w:type="gramStart"/>
      <w:r w:rsidRPr="00B86FF2">
        <w:rPr>
          <w:rFonts w:asciiTheme="majorHAnsi" w:hAnsiTheme="majorHAnsi" w:cstheme="majorHAnsi"/>
          <w:sz w:val="24"/>
          <w:szCs w:val="24"/>
        </w:rPr>
        <w:t>are divided</w:t>
      </w:r>
      <w:proofErr w:type="gramEnd"/>
      <w:r w:rsidRPr="00B86FF2">
        <w:rPr>
          <w:rFonts w:asciiTheme="majorHAnsi" w:hAnsiTheme="majorHAnsi" w:cstheme="majorHAnsi"/>
          <w:sz w:val="24"/>
          <w:szCs w:val="24"/>
        </w:rPr>
        <w:t xml:space="preserve"> into upper and lower urinary tract infections based on the infected organ. </w:t>
      </w:r>
    </w:p>
    <w:p w:rsidR="00B86FF2" w:rsidRPr="00B86FF2" w:rsidRDefault="00B86FF2" w:rsidP="00171F76">
      <w:pPr>
        <w:rPr>
          <w:rFonts w:asciiTheme="majorHAnsi" w:hAnsiTheme="majorHAnsi" w:cstheme="majorHAnsi"/>
          <w:sz w:val="24"/>
          <w:szCs w:val="24"/>
        </w:rPr>
      </w:pPr>
      <w:r w:rsidRPr="00B86FF2">
        <w:rPr>
          <w:rFonts w:asciiTheme="majorHAnsi" w:hAnsiTheme="majorHAnsi" w:cstheme="majorHAnsi"/>
          <w:sz w:val="24"/>
          <w:szCs w:val="24"/>
        </w:rPr>
        <w:t xml:space="preserve"> The urinary tract and bladder are the organs affected by the urinary tract infection. </w:t>
      </w:r>
    </w:p>
    <w:p w:rsidR="00B86FF2" w:rsidRPr="00B86FF2" w:rsidRDefault="00B86FF2" w:rsidP="00171F76">
      <w:pPr>
        <w:rPr>
          <w:rFonts w:asciiTheme="majorHAnsi" w:hAnsiTheme="majorHAnsi" w:cstheme="majorHAnsi"/>
          <w:sz w:val="24"/>
          <w:szCs w:val="24"/>
        </w:rPr>
      </w:pPr>
      <w:r w:rsidRPr="00B86FF2">
        <w:rPr>
          <w:rFonts w:asciiTheme="majorHAnsi" w:hAnsiTheme="majorHAnsi" w:cstheme="majorHAnsi"/>
          <w:sz w:val="24"/>
          <w:szCs w:val="24"/>
        </w:rPr>
        <w:t xml:space="preserve"> Urination causes a burning sensation in the body, causing frequent urination without a large amount of urination, and urination becomes more and more important. Bloody urine, cloudy-</w:t>
      </w:r>
      <w:r w:rsidR="00171F76">
        <w:rPr>
          <w:rFonts w:asciiTheme="majorHAnsi" w:hAnsiTheme="majorHAnsi" w:cstheme="majorHAnsi"/>
          <w:sz w:val="24"/>
          <w:szCs w:val="24"/>
        </w:rPr>
        <w:t xml:space="preserve">looking urine, cola or tea-like, </w:t>
      </w:r>
      <w:r w:rsidRPr="00B86FF2">
        <w:rPr>
          <w:rFonts w:asciiTheme="majorHAnsi" w:hAnsiTheme="majorHAnsi" w:cstheme="majorHAnsi"/>
          <w:sz w:val="24"/>
          <w:szCs w:val="24"/>
        </w:rPr>
        <w:t>strong-smelling urine, female pelvic pain, male re</w:t>
      </w:r>
      <w:r w:rsidR="00171F76">
        <w:rPr>
          <w:rFonts w:asciiTheme="majorHAnsi" w:hAnsiTheme="majorHAnsi" w:cstheme="majorHAnsi"/>
          <w:sz w:val="24"/>
          <w:szCs w:val="24"/>
        </w:rPr>
        <w:t>ctal discomfort.</w:t>
      </w:r>
    </w:p>
    <w:p w:rsidR="005D4607" w:rsidRDefault="00B86FF2" w:rsidP="00B86FF2">
      <w:pPr>
        <w:rPr>
          <w:rFonts w:ascii="Times New Roman" w:hAnsi="Times New Roman" w:cs="Times New Roman"/>
          <w:b/>
          <w:bCs/>
          <w:sz w:val="28"/>
          <w:szCs w:val="28"/>
          <w:u w:val="single"/>
        </w:rPr>
      </w:pPr>
      <w:r w:rsidRPr="00B86FF2">
        <w:rPr>
          <w:rFonts w:asciiTheme="majorHAnsi" w:hAnsiTheme="majorHAnsi" w:cstheme="majorHAnsi"/>
          <w:sz w:val="24"/>
          <w:szCs w:val="24"/>
        </w:rPr>
        <w:t>.</w:t>
      </w:r>
      <w:r w:rsidR="005D4607" w:rsidRPr="005D4607">
        <w:rPr>
          <w:b/>
          <w:bCs/>
          <w:color w:val="1F3864" w:themeColor="accent5" w:themeShade="80"/>
          <w:sz w:val="36"/>
          <w:szCs w:val="36"/>
        </w:rPr>
        <w:t>Conclusion</w:t>
      </w:r>
      <w:r w:rsidR="005D4607" w:rsidRPr="00840181">
        <w:rPr>
          <w:rFonts w:ascii="Times New Roman" w:hAnsi="Times New Roman" w:cs="Times New Roman"/>
          <w:b/>
          <w:bCs/>
          <w:sz w:val="28"/>
          <w:szCs w:val="28"/>
          <w:u w:val="single"/>
        </w:rPr>
        <w:t xml:space="preserve"> </w:t>
      </w:r>
    </w:p>
    <w:p w:rsidR="00171F76" w:rsidRDefault="00171F76" w:rsidP="0015654B">
      <w:pPr>
        <w:rPr>
          <w:rFonts w:asciiTheme="majorHAnsi" w:hAnsiTheme="majorHAnsi" w:cstheme="majorHAnsi"/>
          <w:sz w:val="24"/>
          <w:szCs w:val="24"/>
        </w:rPr>
      </w:pPr>
      <w:r w:rsidRPr="00171F76">
        <w:rPr>
          <w:rFonts w:asciiTheme="majorHAnsi" w:hAnsiTheme="majorHAnsi" w:cstheme="majorHAnsi"/>
          <w:sz w:val="24"/>
          <w:szCs w:val="24"/>
        </w:rPr>
        <w:t xml:space="preserve">The incidence of bacterial urine in women is significantly higher than in men, which </w:t>
      </w:r>
      <w:proofErr w:type="gramStart"/>
      <w:r w:rsidRPr="00171F76">
        <w:rPr>
          <w:rFonts w:asciiTheme="majorHAnsi" w:hAnsiTheme="majorHAnsi" w:cstheme="majorHAnsi"/>
          <w:sz w:val="24"/>
          <w:szCs w:val="24"/>
        </w:rPr>
        <w:t>is caused</w:t>
      </w:r>
      <w:proofErr w:type="gramEnd"/>
      <w:r w:rsidRPr="00171F76">
        <w:rPr>
          <w:rFonts w:asciiTheme="majorHAnsi" w:hAnsiTheme="majorHAnsi" w:cstheme="majorHAnsi"/>
          <w:sz w:val="24"/>
          <w:szCs w:val="24"/>
        </w:rPr>
        <w:t xml:space="preserve"> by anatomical differences in the urinary system between men and women. Urinary tract infections (UTIs) are one of the most common human illnesses. The most common organism that causes urinary tract infections is E. coli. E. coli is responsible for 70-95 percent of upper and lower urinary tract infections. UTIs </w:t>
      </w:r>
      <w:proofErr w:type="gramStart"/>
      <w:r w:rsidRPr="00171F76">
        <w:rPr>
          <w:rFonts w:asciiTheme="majorHAnsi" w:hAnsiTheme="majorHAnsi" w:cstheme="majorHAnsi"/>
          <w:sz w:val="24"/>
          <w:szCs w:val="24"/>
        </w:rPr>
        <w:t>are divided</w:t>
      </w:r>
      <w:proofErr w:type="gramEnd"/>
      <w:r w:rsidRPr="00171F76">
        <w:rPr>
          <w:rFonts w:asciiTheme="majorHAnsi" w:hAnsiTheme="majorHAnsi" w:cstheme="majorHAnsi"/>
          <w:sz w:val="24"/>
          <w:szCs w:val="24"/>
        </w:rPr>
        <w:t xml:space="preserve"> into upper and lower urinary tract infections based on the infected organ. We believe that further research on asymptomatic bacteriuria </w:t>
      </w:r>
      <w:proofErr w:type="gramStart"/>
      <w:r w:rsidRPr="00171F76">
        <w:rPr>
          <w:rFonts w:asciiTheme="majorHAnsi" w:hAnsiTheme="majorHAnsi" w:cstheme="majorHAnsi"/>
          <w:sz w:val="24"/>
          <w:szCs w:val="24"/>
        </w:rPr>
        <w:t>should be done</w:t>
      </w:r>
      <w:proofErr w:type="gramEnd"/>
      <w:r w:rsidRPr="00171F76">
        <w:rPr>
          <w:rFonts w:asciiTheme="majorHAnsi" w:hAnsiTheme="majorHAnsi" w:cstheme="majorHAnsi"/>
          <w:sz w:val="24"/>
          <w:szCs w:val="24"/>
        </w:rPr>
        <w:t xml:space="preserve"> in the near future.</w:t>
      </w:r>
    </w:p>
    <w:p w:rsidR="0015654B" w:rsidRDefault="0015654B" w:rsidP="0015654B">
      <w:pPr>
        <w:rPr>
          <w:b/>
          <w:bCs/>
          <w:color w:val="1F3864" w:themeColor="accent5" w:themeShade="80"/>
          <w:sz w:val="36"/>
          <w:szCs w:val="36"/>
        </w:rPr>
      </w:pPr>
      <w:r>
        <w:rPr>
          <w:b/>
          <w:bCs/>
          <w:color w:val="1F3864" w:themeColor="accent5" w:themeShade="80"/>
          <w:sz w:val="36"/>
          <w:szCs w:val="36"/>
        </w:rPr>
        <w:lastRenderedPageBreak/>
        <w:t>References</w:t>
      </w:r>
    </w:p>
    <w:p w:rsidR="0015654B" w:rsidRPr="0015654B" w:rsidRDefault="0015654B" w:rsidP="0015654B">
      <w:pPr>
        <w:pStyle w:val="a3"/>
        <w:numPr>
          <w:ilvl w:val="0"/>
          <w:numId w:val="2"/>
        </w:numPr>
        <w:rPr>
          <w:rFonts w:ascii="Times New Roman" w:hAnsi="Times New Roman" w:cs="Times New Roman"/>
          <w:sz w:val="24"/>
          <w:szCs w:val="24"/>
        </w:rPr>
      </w:pPr>
      <w:r w:rsidRPr="0015654B">
        <w:rPr>
          <w:rFonts w:ascii="Open Sans" w:hAnsi="Open Sans" w:cs="Open Sans"/>
          <w:color w:val="000000"/>
          <w:sz w:val="20"/>
          <w:szCs w:val="20"/>
          <w:shd w:val="clear" w:color="auto" w:fill="FFFFFF"/>
        </w:rPr>
        <w:t>What if I Get a Urinary Tract Infection (UTI) While I’m Pregnant</w:t>
      </w:r>
      <w:proofErr w:type="gramStart"/>
      <w:r w:rsidRPr="0015654B">
        <w:rPr>
          <w:rFonts w:ascii="Open Sans" w:hAnsi="Open Sans" w:cs="Open Sans"/>
          <w:color w:val="000000"/>
          <w:sz w:val="20"/>
          <w:szCs w:val="20"/>
          <w:shd w:val="clear" w:color="auto" w:fill="FFFFFF"/>
        </w:rPr>
        <w:t>?.</w:t>
      </w:r>
      <w:proofErr w:type="gramEnd"/>
      <w:r w:rsidRPr="0015654B">
        <w:rPr>
          <w:rFonts w:ascii="Open Sans" w:hAnsi="Open Sans" w:cs="Open Sans"/>
          <w:color w:val="000000"/>
          <w:sz w:val="20"/>
          <w:szCs w:val="20"/>
          <w:shd w:val="clear" w:color="auto" w:fill="FFFFFF"/>
        </w:rPr>
        <w:t xml:space="preserve"> WebMD. https://www.webmd.com/wo</w:t>
      </w:r>
      <w:r w:rsidR="00B86FF2">
        <w:rPr>
          <w:rFonts w:ascii="Open Sans" w:hAnsi="Open Sans" w:cs="Open Sans"/>
          <w:color w:val="000000"/>
          <w:sz w:val="20"/>
          <w:szCs w:val="20"/>
          <w:shd w:val="clear" w:color="auto" w:fill="FFFFFF"/>
        </w:rPr>
        <w:t>males</w:t>
      </w:r>
      <w:r w:rsidRPr="0015654B">
        <w:rPr>
          <w:rFonts w:ascii="Open Sans" w:hAnsi="Open Sans" w:cs="Open Sans"/>
          <w:color w:val="000000"/>
          <w:sz w:val="20"/>
          <w:szCs w:val="20"/>
          <w:shd w:val="clear" w:color="auto" w:fill="FFFFFF"/>
        </w:rPr>
        <w:t xml:space="preserve">/guide/pregnancy-urinary-tract-infection. </w:t>
      </w:r>
    </w:p>
    <w:p w:rsidR="0015654B" w:rsidRPr="0015654B" w:rsidRDefault="0015654B" w:rsidP="0015654B">
      <w:pPr>
        <w:pStyle w:val="a3"/>
        <w:numPr>
          <w:ilvl w:val="0"/>
          <w:numId w:val="2"/>
        </w:numPr>
        <w:rPr>
          <w:rFonts w:ascii="Times New Roman" w:hAnsi="Times New Roman" w:cs="Times New Roman"/>
          <w:sz w:val="24"/>
          <w:szCs w:val="24"/>
        </w:rPr>
      </w:pPr>
      <w:r w:rsidRPr="0015654B">
        <w:rPr>
          <w:rFonts w:ascii="Open Sans" w:hAnsi="Open Sans" w:cs="Open Sans"/>
          <w:color w:val="000000"/>
          <w:sz w:val="20"/>
          <w:szCs w:val="20"/>
          <w:shd w:val="clear" w:color="auto" w:fill="FFFFFF"/>
        </w:rPr>
        <w:t xml:space="preserve">Streaking pattern of urine </w:t>
      </w:r>
      <w:proofErr w:type="spellStart"/>
      <w:r w:rsidRPr="0015654B">
        <w:rPr>
          <w:rFonts w:ascii="Open Sans" w:hAnsi="Open Sans" w:cs="Open Sans"/>
          <w:color w:val="000000"/>
          <w:sz w:val="20"/>
          <w:szCs w:val="20"/>
          <w:shd w:val="clear" w:color="auto" w:fill="FFFFFF"/>
        </w:rPr>
        <w:t>speci</w:t>
      </w:r>
      <w:r w:rsidR="00B86FF2">
        <w:rPr>
          <w:rFonts w:ascii="Open Sans" w:hAnsi="Open Sans" w:cs="Open Sans"/>
          <w:color w:val="000000"/>
          <w:sz w:val="20"/>
          <w:szCs w:val="20"/>
          <w:shd w:val="clear" w:color="auto" w:fill="FFFFFF"/>
        </w:rPr>
        <w:t>males</w:t>
      </w:r>
      <w:proofErr w:type="spellEnd"/>
      <w:r w:rsidRPr="0015654B">
        <w:rPr>
          <w:rFonts w:ascii="Open Sans" w:hAnsi="Open Sans" w:cs="Open Sans"/>
          <w:color w:val="000000"/>
          <w:sz w:val="20"/>
          <w:szCs w:val="20"/>
          <w:shd w:val="clear" w:color="auto" w:fill="FFFFFF"/>
        </w:rPr>
        <w:t xml:space="preserve"> | Medical Laboratories. Medical-labs.net. http://www.medical-labs.net/streaking-pattern-of-urine-speci</w:t>
      </w:r>
      <w:r w:rsidR="00B86FF2">
        <w:rPr>
          <w:rFonts w:ascii="Open Sans" w:hAnsi="Open Sans" w:cs="Open Sans"/>
          <w:color w:val="000000"/>
          <w:sz w:val="20"/>
          <w:szCs w:val="20"/>
          <w:shd w:val="clear" w:color="auto" w:fill="FFFFFF"/>
        </w:rPr>
        <w:t>males</w:t>
      </w:r>
      <w:r w:rsidRPr="0015654B">
        <w:rPr>
          <w:rFonts w:ascii="Open Sans" w:hAnsi="Open Sans" w:cs="Open Sans"/>
          <w:color w:val="000000"/>
          <w:sz w:val="20"/>
          <w:szCs w:val="20"/>
          <w:shd w:val="clear" w:color="auto" w:fill="FFFFFF"/>
        </w:rPr>
        <w:t>-1565/.</w:t>
      </w:r>
    </w:p>
    <w:p w:rsidR="0015654B" w:rsidRDefault="0015654B" w:rsidP="0015654B">
      <w:pPr>
        <w:pStyle w:val="a3"/>
        <w:numPr>
          <w:ilvl w:val="0"/>
          <w:numId w:val="2"/>
        </w:numPr>
        <w:rPr>
          <w:rFonts w:ascii="Open Sans" w:hAnsi="Open Sans" w:cs="Open Sans"/>
          <w:color w:val="000000"/>
          <w:sz w:val="20"/>
          <w:szCs w:val="20"/>
          <w:shd w:val="clear" w:color="auto" w:fill="FFFFFF"/>
        </w:rPr>
      </w:pPr>
      <w:r w:rsidRPr="0015654B">
        <w:rPr>
          <w:rFonts w:ascii="Open Sans" w:hAnsi="Open Sans" w:cs="Open Sans"/>
          <w:color w:val="000000"/>
          <w:sz w:val="20"/>
          <w:szCs w:val="20"/>
          <w:shd w:val="clear" w:color="auto" w:fill="FFFFFF"/>
        </w:rPr>
        <w:t xml:space="preserve">Reasons Why </w:t>
      </w:r>
      <w:proofErr w:type="spellStart"/>
      <w:r w:rsidRPr="0015654B">
        <w:rPr>
          <w:rFonts w:ascii="Open Sans" w:hAnsi="Open Sans" w:cs="Open Sans"/>
          <w:color w:val="000000"/>
          <w:sz w:val="20"/>
          <w:szCs w:val="20"/>
          <w:shd w:val="clear" w:color="auto" w:fill="FFFFFF"/>
        </w:rPr>
        <w:t>Wo</w:t>
      </w:r>
      <w:r w:rsidR="00B86FF2">
        <w:rPr>
          <w:rFonts w:ascii="Open Sans" w:hAnsi="Open Sans" w:cs="Open Sans"/>
          <w:color w:val="000000"/>
          <w:sz w:val="20"/>
          <w:szCs w:val="20"/>
          <w:shd w:val="clear" w:color="auto" w:fill="FFFFFF"/>
        </w:rPr>
        <w:t>males</w:t>
      </w:r>
      <w:proofErr w:type="spellEnd"/>
      <w:r w:rsidRPr="0015654B">
        <w:rPr>
          <w:rFonts w:ascii="Open Sans" w:hAnsi="Open Sans" w:cs="Open Sans"/>
          <w:color w:val="000000"/>
          <w:sz w:val="20"/>
          <w:szCs w:val="20"/>
          <w:shd w:val="clear" w:color="auto" w:fill="FFFFFF"/>
        </w:rPr>
        <w:t xml:space="preserve"> Get More UTIs </w:t>
      </w:r>
      <w:proofErr w:type="gramStart"/>
      <w:r w:rsidRPr="0015654B">
        <w:rPr>
          <w:rFonts w:ascii="Open Sans" w:hAnsi="Open Sans" w:cs="Open Sans"/>
          <w:color w:val="000000"/>
          <w:sz w:val="20"/>
          <w:szCs w:val="20"/>
          <w:shd w:val="clear" w:color="auto" w:fill="FFFFFF"/>
        </w:rPr>
        <w:t>Than</w:t>
      </w:r>
      <w:proofErr w:type="gramEnd"/>
      <w:r w:rsidRPr="0015654B">
        <w:rPr>
          <w:rFonts w:ascii="Open Sans" w:hAnsi="Open Sans" w:cs="Open Sans"/>
          <w:color w:val="000000"/>
          <w:sz w:val="20"/>
          <w:szCs w:val="20"/>
          <w:shd w:val="clear" w:color="auto" w:fill="FFFFFF"/>
        </w:rPr>
        <w:t xml:space="preserve"> </w:t>
      </w:r>
      <w:r w:rsidR="00B86FF2">
        <w:rPr>
          <w:rFonts w:ascii="Open Sans" w:hAnsi="Open Sans" w:cs="Open Sans"/>
          <w:color w:val="000000"/>
          <w:sz w:val="20"/>
          <w:szCs w:val="20"/>
          <w:shd w:val="clear" w:color="auto" w:fill="FFFFFF"/>
        </w:rPr>
        <w:t>Males</w:t>
      </w:r>
      <w:r w:rsidRPr="0015654B">
        <w:rPr>
          <w:rFonts w:ascii="Open Sans" w:hAnsi="Open Sans" w:cs="Open Sans"/>
          <w:color w:val="000000"/>
          <w:sz w:val="20"/>
          <w:szCs w:val="20"/>
          <w:shd w:val="clear" w:color="auto" w:fill="FFFFFF"/>
        </w:rPr>
        <w:t xml:space="preserve">. Virginia Physicians for </w:t>
      </w:r>
      <w:proofErr w:type="spellStart"/>
      <w:r w:rsidRPr="0015654B">
        <w:rPr>
          <w:rFonts w:ascii="Open Sans" w:hAnsi="Open Sans" w:cs="Open Sans"/>
          <w:color w:val="000000"/>
          <w:sz w:val="20"/>
          <w:szCs w:val="20"/>
          <w:shd w:val="clear" w:color="auto" w:fill="FFFFFF"/>
        </w:rPr>
        <w:t>Wo</w:t>
      </w:r>
      <w:r w:rsidR="00B86FF2">
        <w:rPr>
          <w:rFonts w:ascii="Open Sans" w:hAnsi="Open Sans" w:cs="Open Sans"/>
          <w:color w:val="000000"/>
          <w:sz w:val="20"/>
          <w:szCs w:val="20"/>
          <w:shd w:val="clear" w:color="auto" w:fill="FFFFFF"/>
        </w:rPr>
        <w:t>males</w:t>
      </w:r>
      <w:proofErr w:type="spellEnd"/>
      <w:r w:rsidRPr="0015654B">
        <w:rPr>
          <w:rFonts w:ascii="Open Sans" w:hAnsi="Open Sans" w:cs="Open Sans"/>
          <w:color w:val="000000"/>
          <w:sz w:val="20"/>
          <w:szCs w:val="20"/>
          <w:shd w:val="clear" w:color="auto" w:fill="FFFFFF"/>
        </w:rPr>
        <w:t xml:space="preserve">. </w:t>
      </w:r>
      <w:hyperlink r:id="rId10" w:history="1">
        <w:r w:rsidR="00171F76" w:rsidRPr="003E22FA">
          <w:rPr>
            <w:rStyle w:val="Hyperlink"/>
            <w:rFonts w:ascii="Open Sans" w:hAnsi="Open Sans" w:cs="Open Sans"/>
            <w:sz w:val="20"/>
            <w:szCs w:val="20"/>
            <w:shd w:val="clear" w:color="auto" w:fill="FFFFFF"/>
          </w:rPr>
          <w:t>https://vpfw.com/blog/7-reasons-why-womales-get-more-utis-than-males/</w:t>
        </w:r>
      </w:hyperlink>
      <w:proofErr w:type="gramStart"/>
      <w:r w:rsidRPr="0015654B">
        <w:rPr>
          <w:rFonts w:ascii="Open Sans" w:hAnsi="Open Sans" w:cs="Open Sans"/>
          <w:color w:val="000000"/>
          <w:sz w:val="20"/>
          <w:szCs w:val="20"/>
          <w:shd w:val="clear" w:color="auto" w:fill="FFFFFF"/>
        </w:rPr>
        <w:t>..</w:t>
      </w:r>
      <w:proofErr w:type="gramEnd"/>
    </w:p>
    <w:p w:rsidR="00171F76" w:rsidRDefault="00171F76" w:rsidP="00171F76">
      <w:pPr>
        <w:pStyle w:val="a3"/>
        <w:numPr>
          <w:ilvl w:val="0"/>
          <w:numId w:val="2"/>
        </w:numPr>
        <w:rPr>
          <w:rFonts w:ascii="Open Sans" w:hAnsi="Open Sans" w:cs="Open Sans"/>
          <w:color w:val="000000"/>
          <w:sz w:val="20"/>
          <w:szCs w:val="20"/>
          <w:shd w:val="clear" w:color="auto" w:fill="FFFFFF"/>
        </w:rPr>
      </w:pPr>
      <w:r w:rsidRPr="00171F76">
        <w:rPr>
          <w:rFonts w:ascii="Open Sans" w:hAnsi="Open Sans" w:cs="Open Sans"/>
          <w:color w:val="000000"/>
          <w:sz w:val="20"/>
          <w:szCs w:val="20"/>
          <w:shd w:val="clear" w:color="auto" w:fill="FFFFFF"/>
        </w:rPr>
        <w:t xml:space="preserve">Urinary tract infections (UTI) - Better Health Channel. Betterhealth.vic.gov.au. </w:t>
      </w:r>
      <w:hyperlink r:id="rId11" w:history="1">
        <w:r w:rsidRPr="003E22FA">
          <w:rPr>
            <w:rStyle w:val="Hyperlink"/>
            <w:rFonts w:ascii="Open Sans" w:hAnsi="Open Sans" w:cs="Open Sans"/>
            <w:sz w:val="20"/>
            <w:szCs w:val="20"/>
            <w:shd w:val="clear" w:color="auto" w:fill="FFFFFF"/>
          </w:rPr>
          <w:t>https://www.betterhealth.vic.gov.au/health/conditionsandtreatments/urinary-tract-infections-uti</w:t>
        </w:r>
      </w:hyperlink>
      <w:r>
        <w:rPr>
          <w:rFonts w:ascii="Open Sans" w:hAnsi="Open Sans" w:cs="Open Sans"/>
          <w:color w:val="000000"/>
          <w:sz w:val="20"/>
          <w:szCs w:val="20"/>
          <w:shd w:val="clear" w:color="auto" w:fill="FFFFFF"/>
        </w:rPr>
        <w:t>.</w:t>
      </w:r>
    </w:p>
    <w:p w:rsidR="005D4607" w:rsidRPr="00171F76" w:rsidRDefault="00171F76" w:rsidP="00171F76">
      <w:pPr>
        <w:pStyle w:val="a3"/>
        <w:numPr>
          <w:ilvl w:val="0"/>
          <w:numId w:val="2"/>
        </w:numPr>
        <w:rPr>
          <w:rFonts w:ascii="Open Sans" w:hAnsi="Open Sans" w:cs="Open Sans"/>
          <w:color w:val="000000"/>
          <w:sz w:val="20"/>
          <w:szCs w:val="20"/>
          <w:shd w:val="clear" w:color="auto" w:fill="FFFFFF"/>
        </w:rPr>
      </w:pPr>
      <w:r w:rsidRPr="00171F76">
        <w:rPr>
          <w:rFonts w:ascii="Open Sans" w:hAnsi="Open Sans" w:cs="Open Sans"/>
          <w:color w:val="000000"/>
          <w:sz w:val="20"/>
          <w:szCs w:val="20"/>
          <w:shd w:val="clear" w:color="auto" w:fill="FFFFFF"/>
        </w:rPr>
        <w:t xml:space="preserve">Urinary Tract Infection (UTI): Symptoms, Diagnosis &amp; Treatment. </w:t>
      </w:r>
      <w:proofErr w:type="spellStart"/>
      <w:r w:rsidRPr="00171F76">
        <w:rPr>
          <w:rFonts w:ascii="Open Sans" w:hAnsi="Open Sans" w:cs="Open Sans"/>
          <w:color w:val="000000"/>
          <w:sz w:val="20"/>
          <w:szCs w:val="20"/>
          <w:shd w:val="clear" w:color="auto" w:fill="FFFFFF"/>
        </w:rPr>
        <w:t>Healthline</w:t>
      </w:r>
      <w:proofErr w:type="spellEnd"/>
      <w:r w:rsidRPr="00171F76">
        <w:rPr>
          <w:rFonts w:ascii="Open Sans" w:hAnsi="Open Sans" w:cs="Open Sans"/>
          <w:color w:val="000000"/>
          <w:sz w:val="20"/>
          <w:szCs w:val="20"/>
          <w:shd w:val="clear" w:color="auto" w:fill="FFFFFF"/>
        </w:rPr>
        <w:t>. https://www.healthline.com/health/urinary-tract-infection-adults.</w:t>
      </w:r>
    </w:p>
    <w:p w:rsidR="000F0BE1" w:rsidRPr="0098660D" w:rsidRDefault="000F0BE1" w:rsidP="000F0BE1">
      <w:pPr>
        <w:rPr>
          <w:rFonts w:ascii="Times New Roman" w:hAnsi="Times New Roman" w:cs="Times New Roman"/>
          <w:sz w:val="24"/>
          <w:szCs w:val="24"/>
        </w:rPr>
      </w:pPr>
    </w:p>
    <w:p w:rsidR="000F0BE1" w:rsidRPr="000F0BE1" w:rsidRDefault="000F0BE1" w:rsidP="000F0BE1">
      <w:pPr>
        <w:rPr>
          <w:b/>
          <w:bCs/>
          <w:color w:val="1F3864" w:themeColor="accent5" w:themeShade="80"/>
          <w:sz w:val="36"/>
          <w:szCs w:val="36"/>
        </w:rPr>
      </w:pPr>
    </w:p>
    <w:p w:rsidR="000F0BE1" w:rsidRDefault="000F0BE1" w:rsidP="001F66B7">
      <w:pPr>
        <w:tabs>
          <w:tab w:val="center" w:pos="4680"/>
        </w:tabs>
        <w:rPr>
          <w:rFonts w:asciiTheme="majorHAnsi" w:hAnsiTheme="majorHAnsi" w:cstheme="majorHAnsi"/>
          <w:sz w:val="24"/>
          <w:szCs w:val="24"/>
        </w:rPr>
      </w:pPr>
    </w:p>
    <w:p w:rsidR="001F66B7" w:rsidRDefault="001F66B7" w:rsidP="001F66B7">
      <w:pPr>
        <w:tabs>
          <w:tab w:val="center" w:pos="4680"/>
        </w:tabs>
        <w:rPr>
          <w:rFonts w:asciiTheme="majorHAnsi" w:hAnsiTheme="majorHAnsi" w:cstheme="majorHAnsi"/>
          <w:sz w:val="24"/>
          <w:szCs w:val="24"/>
        </w:rPr>
      </w:pPr>
    </w:p>
    <w:p w:rsidR="001F66B7" w:rsidRPr="00A61A31" w:rsidRDefault="001F66B7" w:rsidP="00A61A31">
      <w:pPr>
        <w:tabs>
          <w:tab w:val="center" w:pos="4680"/>
        </w:tabs>
        <w:rPr>
          <w:rFonts w:asciiTheme="majorHAnsi" w:hAnsiTheme="majorHAnsi" w:cstheme="majorHAnsi"/>
          <w:sz w:val="24"/>
          <w:szCs w:val="24"/>
        </w:rPr>
      </w:pPr>
    </w:p>
    <w:sectPr w:rsidR="001F66B7" w:rsidRPr="00A61A31" w:rsidSect="00171F76">
      <w:pgSz w:w="12240" w:h="15840"/>
      <w:pgMar w:top="1440" w:right="758" w:bottom="1440"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Open Sans">
    <w:altName w:val="Arial"/>
    <w:charset w:val="00"/>
    <w:family w:val="swiss"/>
    <w:pitch w:val="variable"/>
    <w:sig w:usb0="00000001" w:usb1="4000205B" w:usb2="00000028"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03838"/>
    <w:multiLevelType w:val="hybridMultilevel"/>
    <w:tmpl w:val="17E2B4EA"/>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1A0052"/>
    <w:multiLevelType w:val="hybridMultilevel"/>
    <w:tmpl w:val="F106F7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653"/>
    <w:rsid w:val="000F0BE1"/>
    <w:rsid w:val="00106439"/>
    <w:rsid w:val="0015654B"/>
    <w:rsid w:val="00171F76"/>
    <w:rsid w:val="001F66B7"/>
    <w:rsid w:val="0028691C"/>
    <w:rsid w:val="002B2A7E"/>
    <w:rsid w:val="002F40C9"/>
    <w:rsid w:val="005D4607"/>
    <w:rsid w:val="006C5C1A"/>
    <w:rsid w:val="007C6C46"/>
    <w:rsid w:val="00A6020F"/>
    <w:rsid w:val="00A61A31"/>
    <w:rsid w:val="00AF681A"/>
    <w:rsid w:val="00B10D93"/>
    <w:rsid w:val="00B86FF2"/>
    <w:rsid w:val="00C469CD"/>
    <w:rsid w:val="00C96B70"/>
    <w:rsid w:val="00D55A0E"/>
    <w:rsid w:val="00EC0653"/>
    <w:rsid w:val="00EC2E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D14782-C310-4DC1-8209-09879889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654B"/>
    <w:pPr>
      <w:ind w:left="720"/>
      <w:contextualSpacing/>
    </w:pPr>
  </w:style>
  <w:style w:type="character" w:styleId="Hyperlink">
    <w:name w:val="Hyperlink"/>
    <w:basedOn w:val="a0"/>
    <w:uiPriority w:val="99"/>
    <w:unhideWhenUsed/>
    <w:rsid w:val="00171F7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betterhealth.vic.gov.au/health/conditionsandtreatments/urinary-tract-infections-uti" TargetMode="External"/><Relationship Id="rId5" Type="http://schemas.openxmlformats.org/officeDocument/2006/relationships/image" Target="media/image1.png"/><Relationship Id="rId10" Type="http://schemas.openxmlformats.org/officeDocument/2006/relationships/hyperlink" Target="https://vpfw.com/blog/7-reasons-why-womales-get-more-utis-than-males/" TargetMode="External"/><Relationship Id="rId4" Type="http://schemas.openxmlformats.org/officeDocument/2006/relationships/webSettings" Target="webSettings.xml"/><Relationship Id="rId9" Type="http://schemas.openxmlformats.org/officeDocument/2006/relationships/image" Target="media/image5.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8</Pages>
  <Words>1265</Words>
  <Characters>7217</Characters>
  <Application>Microsoft Office Word</Application>
  <DocSecurity>0</DocSecurity>
  <Lines>60</Lines>
  <Paragraphs>16</Paragraphs>
  <ScaleCrop>false</ScaleCrop>
  <HeadingPairs>
    <vt:vector size="2" baseType="variant">
      <vt:variant>
        <vt:lpstr>العنوان</vt:lpstr>
      </vt:variant>
      <vt:variant>
        <vt:i4>1</vt:i4>
      </vt:variant>
    </vt:vector>
  </HeadingPairs>
  <TitlesOfParts>
    <vt:vector size="1" baseType="lpstr">
      <vt:lpstr/>
    </vt:vector>
  </TitlesOfParts>
  <Company>Microsoft (C)</Company>
  <LinksUpToDate>false</LinksUpToDate>
  <CharactersWithSpaces>8466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DR.Ahmed Saker 2O14</dc:creator>
  <cp:keywords/>
  <dc:description/>
  <cp:lastModifiedBy>DR.Ahmed Saker 2O14</cp:lastModifiedBy>
  <cp:revision>11</cp:revision>
  <dcterms:created xsi:type="dcterms:W3CDTF">2022-06-18T18:53:00Z</dcterms:created>
  <dcterms:modified xsi:type="dcterms:W3CDTF">2022-06-20T16:46:00Z</dcterms:modified>
  <cp:contentStatus/>
</cp:coreProperties>
</file>