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E73C41" w14:textId="6D7FC844" w:rsidR="002C6CE6" w:rsidRDefault="002C6CE6" w:rsidP="002C6CE6">
      <w:pPr>
        <w:jc w:val="center"/>
        <w:rPr>
          <w:rFonts w:asciiTheme="majorBidi" w:hAnsiTheme="majorBidi" w:cstheme="majorBidi"/>
          <w:sz w:val="32"/>
          <w:szCs w:val="32"/>
          <w:lang w:val="en-GB"/>
        </w:rPr>
      </w:pPr>
      <w:r>
        <w:rPr>
          <w:rFonts w:asciiTheme="majorBidi" w:hAnsiTheme="majorBidi" w:cstheme="majorBidi"/>
          <w:noProof/>
          <w:sz w:val="32"/>
          <w:szCs w:val="32"/>
        </w:rPr>
        <w:drawing>
          <wp:anchor distT="0" distB="0" distL="114300" distR="114300" simplePos="0" relativeHeight="251658240" behindDoc="0" locked="0" layoutInCell="1" allowOverlap="1" wp14:anchorId="654076D7" wp14:editId="3AB9C9BA">
            <wp:simplePos x="0" y="0"/>
            <wp:positionH relativeFrom="column">
              <wp:posOffset>-567690</wp:posOffset>
            </wp:positionH>
            <wp:positionV relativeFrom="paragraph">
              <wp:posOffset>0</wp:posOffset>
            </wp:positionV>
            <wp:extent cx="6502400" cy="188976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02400" cy="1889760"/>
                    </a:xfrm>
                    <a:prstGeom prst="rect">
                      <a:avLst/>
                    </a:prstGeom>
                    <a:noFill/>
                  </pic:spPr>
                </pic:pic>
              </a:graphicData>
            </a:graphic>
            <wp14:sizeRelH relativeFrom="margin">
              <wp14:pctWidth>0</wp14:pctWidth>
            </wp14:sizeRelH>
          </wp:anchor>
        </w:drawing>
      </w:r>
    </w:p>
    <w:p w14:paraId="0ACF445D" w14:textId="49FF609B" w:rsidR="003A0284" w:rsidRPr="00967B92" w:rsidRDefault="00E14D68" w:rsidP="003A0284">
      <w:pPr>
        <w:jc w:val="right"/>
        <w:rPr>
          <w:rFonts w:asciiTheme="majorBidi" w:hAnsiTheme="majorBidi" w:cstheme="majorBidi"/>
          <w:sz w:val="20"/>
          <w:szCs w:val="20"/>
          <w:rtl/>
        </w:rPr>
      </w:pPr>
      <w:r w:rsidRPr="00967B92">
        <w:rPr>
          <w:rFonts w:asciiTheme="majorBidi" w:hAnsiTheme="majorBidi" w:cstheme="majorBidi"/>
          <w:sz w:val="32"/>
          <w:szCs w:val="32"/>
          <w:rtl/>
          <w:lang w:val="en-GB"/>
        </w:rPr>
        <w:t xml:space="preserve"> </w:t>
      </w:r>
    </w:p>
    <w:p w14:paraId="4C7E5DA1" w14:textId="77777777" w:rsidR="003A0284" w:rsidRDefault="003A0284" w:rsidP="003A0284">
      <w:pPr>
        <w:jc w:val="right"/>
        <w:rPr>
          <w:rtl/>
        </w:rPr>
      </w:pPr>
    </w:p>
    <w:p w14:paraId="26DACC05" w14:textId="77777777" w:rsidR="003A0284" w:rsidRDefault="003A0284" w:rsidP="003A0284">
      <w:pPr>
        <w:jc w:val="right"/>
      </w:pPr>
    </w:p>
    <w:p w14:paraId="1A913509" w14:textId="21C17E94" w:rsidR="00980F57" w:rsidRPr="00980F57" w:rsidRDefault="00980F57" w:rsidP="00980F57">
      <w:pPr>
        <w:rPr>
          <w:sz w:val="44"/>
          <w:szCs w:val="44"/>
          <w:rtl/>
        </w:rPr>
      </w:pPr>
    </w:p>
    <w:p w14:paraId="52E62914" w14:textId="09D3BCD1" w:rsidR="003A0284" w:rsidRPr="00980F57" w:rsidRDefault="004120F0" w:rsidP="00980F57">
      <w:pPr>
        <w:jc w:val="center"/>
        <w:rPr>
          <w:rFonts w:cstheme="minorHAnsi"/>
          <w:sz w:val="44"/>
          <w:szCs w:val="44"/>
          <w:rtl/>
        </w:rPr>
      </w:pPr>
      <w:r w:rsidRPr="00D23675">
        <w:rPr>
          <w:rFonts w:asciiTheme="majorBidi" w:hAnsiTheme="majorBidi" w:cstheme="majorBidi"/>
          <w:sz w:val="36"/>
          <w:szCs w:val="36"/>
          <w:lang w:val="en-GB"/>
        </w:rPr>
        <w:t>Incidence rate of asymptomatic bacteriuria</w:t>
      </w:r>
      <w:r w:rsidR="00837D2A" w:rsidRPr="00D23675">
        <w:rPr>
          <w:rFonts w:asciiTheme="majorBidi" w:hAnsiTheme="majorBidi" w:cstheme="majorBidi"/>
          <w:sz w:val="36"/>
          <w:szCs w:val="36"/>
          <w:lang w:val="en-GB"/>
        </w:rPr>
        <w:t xml:space="preserve"> a</w:t>
      </w:r>
      <w:r w:rsidR="00B70696">
        <w:rPr>
          <w:rFonts w:asciiTheme="majorBidi" w:hAnsiTheme="majorBidi" w:cstheme="majorBidi"/>
          <w:sz w:val="36"/>
          <w:szCs w:val="36"/>
          <w:lang w:val="en-GB"/>
        </w:rPr>
        <w:t>mong LIMU students</w:t>
      </w:r>
    </w:p>
    <w:p w14:paraId="62C2CAFE" w14:textId="77777777" w:rsidR="00895DAE" w:rsidRDefault="00895DAE" w:rsidP="00895DAE">
      <w:pPr>
        <w:jc w:val="right"/>
        <w:rPr>
          <w:sz w:val="36"/>
          <w:szCs w:val="36"/>
        </w:rPr>
      </w:pPr>
      <w:r>
        <w:rPr>
          <w:sz w:val="36"/>
          <w:szCs w:val="36"/>
        </w:rPr>
        <w:t xml:space="preserve">                             </w:t>
      </w:r>
    </w:p>
    <w:p w14:paraId="65F24D3C" w14:textId="05F4E129" w:rsidR="00895DAE" w:rsidRPr="00586E04" w:rsidRDefault="00895DAE" w:rsidP="00E12232">
      <w:pPr>
        <w:jc w:val="center"/>
        <w:rPr>
          <w:rFonts w:asciiTheme="majorBidi" w:hAnsiTheme="majorBidi" w:cstheme="majorBidi"/>
          <w:sz w:val="28"/>
          <w:szCs w:val="28"/>
          <w:rtl/>
        </w:rPr>
      </w:pPr>
      <w:r w:rsidRPr="00D23675">
        <w:rPr>
          <w:rFonts w:asciiTheme="majorBidi" w:hAnsiTheme="majorBidi" w:cstheme="majorBidi"/>
          <w:b/>
          <w:bCs/>
          <w:sz w:val="32"/>
          <w:szCs w:val="32"/>
        </w:rPr>
        <w:t>By</w:t>
      </w:r>
      <w:r w:rsidRPr="00D23675">
        <w:rPr>
          <w:rFonts w:asciiTheme="majorBidi" w:hAnsiTheme="majorBidi" w:cstheme="majorBidi"/>
          <w:sz w:val="32"/>
          <w:szCs w:val="32"/>
        </w:rPr>
        <w:t xml:space="preserve">: </w:t>
      </w:r>
      <w:r w:rsidR="008716FF" w:rsidRPr="00D23675">
        <w:rPr>
          <w:rFonts w:asciiTheme="majorBidi" w:hAnsiTheme="majorBidi" w:cstheme="majorBidi"/>
          <w:sz w:val="32"/>
          <w:szCs w:val="32"/>
          <w:lang w:bidi="ar-LY"/>
        </w:rPr>
        <w:t>Aseel</w:t>
      </w:r>
      <w:r w:rsidR="00EF601F" w:rsidRPr="00D23675">
        <w:rPr>
          <w:rFonts w:asciiTheme="majorBidi" w:hAnsiTheme="majorBidi" w:cstheme="majorBidi"/>
          <w:sz w:val="32"/>
          <w:szCs w:val="32"/>
          <w:lang w:bidi="ar-LY"/>
        </w:rPr>
        <w:t xml:space="preserve"> </w:t>
      </w:r>
      <w:r w:rsidR="008716FF" w:rsidRPr="00D23675">
        <w:rPr>
          <w:rFonts w:asciiTheme="majorBidi" w:hAnsiTheme="majorBidi" w:cstheme="majorBidi"/>
          <w:sz w:val="32"/>
          <w:szCs w:val="32"/>
          <w:lang w:bidi="ar-LY"/>
        </w:rPr>
        <w:t>El</w:t>
      </w:r>
      <w:r w:rsidR="008716FF">
        <w:rPr>
          <w:rFonts w:asciiTheme="majorBidi" w:hAnsiTheme="majorBidi" w:cstheme="majorBidi"/>
          <w:sz w:val="32"/>
          <w:szCs w:val="32"/>
          <w:lang w:bidi="ar-LY"/>
        </w:rPr>
        <w:t>z</w:t>
      </w:r>
      <w:r w:rsidR="008716FF" w:rsidRPr="00D23675">
        <w:rPr>
          <w:rFonts w:asciiTheme="majorBidi" w:hAnsiTheme="majorBidi" w:cstheme="majorBidi"/>
          <w:sz w:val="32"/>
          <w:szCs w:val="32"/>
          <w:lang w:bidi="ar-LY"/>
        </w:rPr>
        <w:t>way</w:t>
      </w:r>
      <w:r w:rsidR="002C6CE6" w:rsidRPr="00D23675">
        <w:rPr>
          <w:rFonts w:asciiTheme="majorBidi" w:hAnsiTheme="majorBidi" w:cstheme="majorBidi"/>
          <w:sz w:val="32"/>
          <w:szCs w:val="32"/>
          <w:lang w:bidi="ar-LY"/>
        </w:rPr>
        <w:t xml:space="preserve"> 2415</w:t>
      </w:r>
      <w:r w:rsidR="00CF676B" w:rsidRPr="00D23675">
        <w:rPr>
          <w:rFonts w:asciiTheme="majorBidi" w:hAnsiTheme="majorBidi" w:cstheme="majorBidi"/>
          <w:sz w:val="32"/>
          <w:szCs w:val="32"/>
          <w:lang w:bidi="ar-LY"/>
        </w:rPr>
        <w:t xml:space="preserve"> </w:t>
      </w:r>
      <w:r w:rsidRPr="00D23675">
        <w:rPr>
          <w:rFonts w:asciiTheme="majorBidi" w:hAnsiTheme="majorBidi" w:cstheme="majorBidi"/>
          <w:sz w:val="32"/>
          <w:szCs w:val="32"/>
        </w:rPr>
        <w:t xml:space="preserve">   </w:t>
      </w:r>
      <w:r w:rsidR="004120F0" w:rsidRPr="00D23675">
        <w:rPr>
          <w:rFonts w:asciiTheme="majorBidi" w:hAnsiTheme="majorBidi" w:cstheme="majorBidi"/>
          <w:sz w:val="32"/>
          <w:szCs w:val="32"/>
        </w:rPr>
        <w:t>3</w:t>
      </w:r>
      <w:r w:rsidR="00FB2AD8" w:rsidRPr="00D23675">
        <w:rPr>
          <w:rFonts w:asciiTheme="majorBidi" w:hAnsiTheme="majorBidi" w:cstheme="majorBidi"/>
          <w:sz w:val="32"/>
          <w:szCs w:val="32"/>
          <w:vertAlign w:val="superscript"/>
        </w:rPr>
        <w:t>r</w:t>
      </w:r>
      <w:r w:rsidR="00586E04" w:rsidRPr="00D23675">
        <w:rPr>
          <w:rFonts w:asciiTheme="majorBidi" w:hAnsiTheme="majorBidi" w:cstheme="majorBidi"/>
          <w:sz w:val="32"/>
          <w:szCs w:val="32"/>
          <w:vertAlign w:val="superscript"/>
        </w:rPr>
        <w:t>d</w:t>
      </w:r>
      <w:r w:rsidR="00586E04" w:rsidRPr="00D23675">
        <w:rPr>
          <w:rFonts w:asciiTheme="majorBidi" w:hAnsiTheme="majorBidi" w:cstheme="majorBidi"/>
          <w:sz w:val="32"/>
          <w:szCs w:val="32"/>
        </w:rPr>
        <w:t xml:space="preserve"> year medical science</w:t>
      </w:r>
    </w:p>
    <w:p w14:paraId="1B89E445" w14:textId="56600D6B" w:rsidR="00586E04" w:rsidRDefault="00895DAE" w:rsidP="00E12232">
      <w:pPr>
        <w:jc w:val="center"/>
        <w:rPr>
          <w:rFonts w:asciiTheme="majorBidi" w:hAnsiTheme="majorBidi" w:cstheme="majorBidi"/>
          <w:sz w:val="28"/>
          <w:szCs w:val="28"/>
        </w:rPr>
      </w:pPr>
      <w:r w:rsidRPr="00586E04">
        <w:rPr>
          <w:rFonts w:asciiTheme="majorBidi" w:hAnsiTheme="majorBidi" w:cstheme="majorBidi"/>
          <w:sz w:val="28"/>
          <w:szCs w:val="28"/>
        </w:rPr>
        <w:t>Supervisor</w:t>
      </w:r>
      <w:r w:rsidR="00D23675">
        <w:rPr>
          <w:rFonts w:asciiTheme="majorBidi" w:hAnsiTheme="majorBidi" w:cstheme="majorBidi"/>
          <w:sz w:val="28"/>
          <w:szCs w:val="28"/>
        </w:rPr>
        <w:t>: Khadiga Muftah Mansour</w:t>
      </w:r>
    </w:p>
    <w:p w14:paraId="60125BB2" w14:textId="3DEFB137" w:rsidR="00E12232" w:rsidRDefault="00E12232" w:rsidP="00E12232">
      <w:pPr>
        <w:jc w:val="center"/>
        <w:rPr>
          <w:rFonts w:asciiTheme="majorBidi" w:hAnsiTheme="majorBidi" w:cstheme="majorBidi"/>
          <w:sz w:val="28"/>
          <w:szCs w:val="28"/>
        </w:rPr>
      </w:pPr>
    </w:p>
    <w:p w14:paraId="25660357" w14:textId="38A5E365" w:rsidR="00E12232" w:rsidRDefault="00E12232" w:rsidP="00E12232">
      <w:pPr>
        <w:jc w:val="center"/>
        <w:rPr>
          <w:rFonts w:asciiTheme="majorBidi" w:hAnsiTheme="majorBidi" w:cstheme="majorBidi"/>
          <w:sz w:val="28"/>
          <w:szCs w:val="28"/>
        </w:rPr>
      </w:pPr>
      <w:r>
        <w:rPr>
          <w:rFonts w:asciiTheme="majorBidi" w:hAnsiTheme="majorBidi" w:cstheme="majorBidi"/>
          <w:sz w:val="28"/>
          <w:szCs w:val="28"/>
        </w:rPr>
        <w:t xml:space="preserve">Assist by : Ahmed Alshareef </w:t>
      </w:r>
      <w:proofErr w:type="spellStart"/>
      <w:r>
        <w:rPr>
          <w:rFonts w:asciiTheme="majorBidi" w:hAnsiTheme="majorBidi" w:cstheme="majorBidi"/>
          <w:sz w:val="28"/>
          <w:szCs w:val="28"/>
        </w:rPr>
        <w:t>Alsonossui</w:t>
      </w:r>
      <w:proofErr w:type="spellEnd"/>
    </w:p>
    <w:p w14:paraId="634DA8FC" w14:textId="77777777" w:rsidR="00E12232" w:rsidRDefault="00E12232" w:rsidP="00E12232">
      <w:pPr>
        <w:jc w:val="center"/>
        <w:rPr>
          <w:rFonts w:asciiTheme="majorBidi" w:hAnsiTheme="majorBidi" w:cstheme="majorBidi"/>
          <w:sz w:val="28"/>
          <w:szCs w:val="28"/>
          <w:rtl/>
        </w:rPr>
      </w:pPr>
      <w:r w:rsidRPr="00586E04">
        <w:rPr>
          <w:rFonts w:asciiTheme="majorBidi" w:hAnsiTheme="majorBidi" w:cstheme="majorBidi"/>
          <w:sz w:val="28"/>
          <w:szCs w:val="28"/>
        </w:rPr>
        <w:t xml:space="preserve">Date of submission: </w:t>
      </w:r>
      <w:r>
        <w:rPr>
          <w:rFonts w:asciiTheme="majorBidi" w:hAnsiTheme="majorBidi" w:cstheme="majorBidi"/>
          <w:sz w:val="28"/>
          <w:szCs w:val="28"/>
        </w:rPr>
        <w:t xml:space="preserve"> 20/6/2022</w:t>
      </w:r>
    </w:p>
    <w:p w14:paraId="0988E1DE" w14:textId="77777777" w:rsidR="00E12232" w:rsidRPr="00E12232" w:rsidRDefault="00E12232" w:rsidP="00E12232">
      <w:pPr>
        <w:jc w:val="center"/>
        <w:rPr>
          <w:rFonts w:asciiTheme="majorBidi" w:hAnsiTheme="majorBidi" w:cstheme="majorBidi"/>
          <w:b/>
          <w:bCs/>
          <w:sz w:val="28"/>
          <w:szCs w:val="28"/>
        </w:rPr>
      </w:pPr>
    </w:p>
    <w:p w14:paraId="7D0F0D72" w14:textId="77777777" w:rsidR="00E12232" w:rsidRPr="00586E04" w:rsidRDefault="00E12232" w:rsidP="00586E04">
      <w:pPr>
        <w:jc w:val="right"/>
        <w:rPr>
          <w:rFonts w:asciiTheme="majorBidi" w:hAnsiTheme="majorBidi" w:cstheme="majorBidi"/>
          <w:sz w:val="28"/>
          <w:szCs w:val="28"/>
        </w:rPr>
      </w:pPr>
    </w:p>
    <w:p w14:paraId="1406ED02" w14:textId="581B4745" w:rsidR="00586E04" w:rsidRPr="00586E04" w:rsidRDefault="00586E04" w:rsidP="00D23675">
      <w:pPr>
        <w:jc w:val="right"/>
        <w:rPr>
          <w:rFonts w:asciiTheme="majorBidi" w:hAnsiTheme="majorBidi" w:cstheme="majorBidi"/>
          <w:sz w:val="28"/>
          <w:szCs w:val="28"/>
        </w:rPr>
      </w:pPr>
      <w:r w:rsidRPr="00586E04">
        <w:rPr>
          <w:rFonts w:asciiTheme="majorBidi" w:hAnsiTheme="majorBidi" w:cstheme="majorBidi"/>
          <w:sz w:val="28"/>
          <w:szCs w:val="28"/>
        </w:rPr>
        <w:t xml:space="preserve">          </w:t>
      </w:r>
      <w:r>
        <w:rPr>
          <w:rFonts w:asciiTheme="majorBidi" w:hAnsiTheme="majorBidi" w:cstheme="majorBidi"/>
          <w:sz w:val="28"/>
          <w:szCs w:val="28"/>
        </w:rPr>
        <w:t xml:space="preserve">                       </w:t>
      </w:r>
    </w:p>
    <w:p w14:paraId="68BF1335" w14:textId="77777777" w:rsidR="00895DAE" w:rsidRPr="00895DAE" w:rsidRDefault="00895DAE" w:rsidP="00895DAE">
      <w:pPr>
        <w:jc w:val="right"/>
        <w:rPr>
          <w:rFonts w:asciiTheme="majorBidi" w:hAnsiTheme="majorBidi" w:cstheme="majorBidi"/>
          <w:sz w:val="32"/>
          <w:szCs w:val="32"/>
          <w:rtl/>
        </w:rPr>
      </w:pPr>
      <w:r>
        <w:rPr>
          <w:rFonts w:asciiTheme="majorBidi" w:hAnsiTheme="majorBidi" w:cstheme="majorBidi" w:hint="cs"/>
          <w:sz w:val="32"/>
          <w:szCs w:val="32"/>
          <w:rtl/>
        </w:rPr>
        <w:t xml:space="preserve">   </w:t>
      </w:r>
    </w:p>
    <w:p w14:paraId="0550BBEA" w14:textId="77777777" w:rsidR="00895DAE" w:rsidRDefault="00895DAE" w:rsidP="00895DAE">
      <w:pPr>
        <w:jc w:val="right"/>
        <w:rPr>
          <w:rFonts w:asciiTheme="majorBidi" w:hAnsiTheme="majorBidi" w:cstheme="majorBidi"/>
          <w:sz w:val="36"/>
          <w:szCs w:val="36"/>
          <w:rtl/>
        </w:rPr>
      </w:pPr>
    </w:p>
    <w:p w14:paraId="0545A374" w14:textId="77777777" w:rsidR="00586E04" w:rsidRDefault="00586E04" w:rsidP="00895DAE">
      <w:pPr>
        <w:jc w:val="right"/>
        <w:rPr>
          <w:rFonts w:asciiTheme="majorBidi" w:hAnsiTheme="majorBidi" w:cstheme="majorBidi"/>
          <w:sz w:val="36"/>
          <w:szCs w:val="36"/>
          <w:rtl/>
        </w:rPr>
      </w:pPr>
    </w:p>
    <w:p w14:paraId="15B880A2" w14:textId="77777777" w:rsidR="00586E04" w:rsidRDefault="00586E04" w:rsidP="005E168B">
      <w:pPr>
        <w:jc w:val="center"/>
        <w:rPr>
          <w:rFonts w:asciiTheme="majorBidi" w:hAnsiTheme="majorBidi" w:cstheme="majorBidi"/>
          <w:sz w:val="36"/>
          <w:szCs w:val="36"/>
          <w:rtl/>
        </w:rPr>
      </w:pPr>
    </w:p>
    <w:p w14:paraId="637E40D2" w14:textId="77777777" w:rsidR="00586E04" w:rsidRDefault="00586E04" w:rsidP="009877B7">
      <w:pPr>
        <w:rPr>
          <w:rFonts w:asciiTheme="majorBidi" w:hAnsiTheme="majorBidi" w:cstheme="majorBidi"/>
          <w:sz w:val="36"/>
          <w:szCs w:val="36"/>
        </w:rPr>
      </w:pPr>
    </w:p>
    <w:p w14:paraId="34663608" w14:textId="77777777" w:rsidR="00EF601F" w:rsidRDefault="00EF601F" w:rsidP="00A36748">
      <w:pPr>
        <w:jc w:val="right"/>
        <w:rPr>
          <w:rFonts w:asciiTheme="majorBidi" w:eastAsia="Times New Roman" w:hAnsiTheme="majorBidi" w:cstheme="majorBidi"/>
          <w:b/>
          <w:bCs/>
          <w:sz w:val="32"/>
          <w:szCs w:val="32"/>
          <w:rtl/>
        </w:rPr>
      </w:pPr>
      <w:bookmarkStart w:id="0" w:name="_Hlk3030201"/>
    </w:p>
    <w:p w14:paraId="1D564735" w14:textId="77777777" w:rsidR="006972BA" w:rsidRPr="00831EFA" w:rsidRDefault="00586E04" w:rsidP="006972BA">
      <w:pPr>
        <w:jc w:val="right"/>
        <w:rPr>
          <w:rFonts w:asciiTheme="majorBidi" w:hAnsiTheme="majorBidi" w:cstheme="majorBidi"/>
          <w:sz w:val="24"/>
          <w:szCs w:val="24"/>
        </w:rPr>
      </w:pPr>
      <w:r w:rsidRPr="00831EFA">
        <w:rPr>
          <w:rFonts w:asciiTheme="majorBidi" w:eastAsia="Times New Roman" w:hAnsiTheme="majorBidi" w:cstheme="majorBidi"/>
          <w:b/>
          <w:bCs/>
          <w:sz w:val="28"/>
          <w:szCs w:val="28"/>
        </w:rPr>
        <w:t>Abstract</w:t>
      </w:r>
    </w:p>
    <w:p w14:paraId="0B2B0A78" w14:textId="573AF2A0" w:rsidR="003E3EF1" w:rsidRPr="003E3EF1" w:rsidRDefault="006972BA" w:rsidP="00B70696">
      <w:pPr>
        <w:jc w:val="right"/>
        <w:rPr>
          <w:rFonts w:asciiTheme="majorBidi" w:hAnsiTheme="majorBidi" w:cstheme="majorBidi"/>
          <w:sz w:val="24"/>
          <w:szCs w:val="24"/>
        </w:rPr>
      </w:pPr>
      <w:r w:rsidRPr="00831EFA">
        <w:rPr>
          <w:rFonts w:asciiTheme="majorBidi" w:hAnsiTheme="majorBidi" w:cstheme="majorBidi"/>
          <w:sz w:val="24"/>
          <w:szCs w:val="24"/>
        </w:rPr>
        <w:t xml:space="preserve">Bacteriuria, or the presence of bacteria in urine, is linked to both asymptomatic and symptomatic urinary tract infections, and it underpins a lot of the microbial colonization dynamics in the urinary tract. </w:t>
      </w:r>
      <w:r w:rsidR="00B70696" w:rsidRPr="00831EFA">
        <w:rPr>
          <w:rFonts w:asciiTheme="majorBidi" w:hAnsiTheme="majorBidi" w:cstheme="majorBidi"/>
          <w:sz w:val="24"/>
          <w:szCs w:val="24"/>
        </w:rPr>
        <w:t>Bacteriuria</w:t>
      </w:r>
      <w:r w:rsidRPr="00831EFA">
        <w:rPr>
          <w:rFonts w:asciiTheme="majorBidi" w:hAnsiTheme="majorBidi" w:cstheme="majorBidi"/>
          <w:sz w:val="24"/>
          <w:szCs w:val="24"/>
        </w:rPr>
        <w:t xml:space="preserve"> is prevalent in a wide range of patient categories, including healthy people, institutionalized elderly, pregnant women, and immune-compromised patients. Furthermore, determining the significance </w:t>
      </w:r>
      <w:r w:rsidR="00B70696">
        <w:rPr>
          <w:rFonts w:asciiTheme="majorBidi" w:hAnsiTheme="majorBidi" w:cstheme="majorBidi"/>
          <w:sz w:val="24"/>
          <w:szCs w:val="24"/>
        </w:rPr>
        <w:t xml:space="preserve">of </w:t>
      </w:r>
      <w:r w:rsidRPr="00831EFA">
        <w:rPr>
          <w:rFonts w:asciiTheme="majorBidi" w:hAnsiTheme="majorBidi" w:cstheme="majorBidi"/>
          <w:sz w:val="24"/>
          <w:szCs w:val="24"/>
        </w:rPr>
        <w:t>bacteriuria' in infected persons is a diagnostic difficulty, partially due to the diversity of causative microorganisms, and necessitates careful evaluation of the numerous etiologies of bacteriuria in different populations and situations. Recent molecular discoveries have revealed how specific bacterial features enable organisms to flourish</w:t>
      </w:r>
      <w:r w:rsidR="00B70696">
        <w:rPr>
          <w:rFonts w:asciiTheme="majorBidi" w:hAnsiTheme="majorBidi" w:cstheme="majorBidi"/>
          <w:sz w:val="24"/>
          <w:szCs w:val="24"/>
        </w:rPr>
        <w:t xml:space="preserve"> </w:t>
      </w:r>
      <w:r w:rsidRPr="00831EFA">
        <w:rPr>
          <w:rFonts w:asciiTheme="majorBidi" w:hAnsiTheme="majorBidi" w:cstheme="majorBidi"/>
          <w:sz w:val="24"/>
          <w:szCs w:val="24"/>
        </w:rPr>
        <w:t>in human urine, which is likely to influence the progression of bacteriuria in</w:t>
      </w:r>
      <w:r w:rsidR="00B70696">
        <w:rPr>
          <w:rFonts w:asciiTheme="majorBidi" w:hAnsiTheme="majorBidi" w:cstheme="majorBidi"/>
          <w:sz w:val="24"/>
          <w:szCs w:val="24"/>
        </w:rPr>
        <w:t xml:space="preserve"> </w:t>
      </w:r>
      <w:r w:rsidR="003E3EF1" w:rsidRPr="003E3EF1">
        <w:rPr>
          <w:rFonts w:asciiTheme="majorBidi" w:hAnsiTheme="majorBidi" w:cstheme="majorBidi"/>
          <w:sz w:val="24"/>
          <w:szCs w:val="24"/>
        </w:rPr>
        <w:t>some people as a fitness adaptation</w:t>
      </w:r>
      <w:r w:rsidR="003E3EF1">
        <w:rPr>
          <w:rFonts w:asciiTheme="majorBidi" w:hAnsiTheme="majorBidi" w:cstheme="majorBidi"/>
          <w:sz w:val="24"/>
          <w:szCs w:val="24"/>
        </w:rPr>
        <w:t>.</w:t>
      </w:r>
    </w:p>
    <w:p w14:paraId="5173492C" w14:textId="0D3D4A54" w:rsidR="003E3EF1" w:rsidRPr="003E3EF1" w:rsidRDefault="003E3EF1" w:rsidP="003E3EF1">
      <w:pPr>
        <w:jc w:val="right"/>
        <w:rPr>
          <w:rFonts w:asciiTheme="majorBidi" w:hAnsiTheme="majorBidi" w:cstheme="majorBidi"/>
          <w:sz w:val="24"/>
          <w:szCs w:val="24"/>
        </w:rPr>
      </w:pPr>
    </w:p>
    <w:p w14:paraId="07749E54" w14:textId="77777777" w:rsidR="003E3EF1" w:rsidRPr="006972BA" w:rsidRDefault="003E3EF1" w:rsidP="003E3EF1">
      <w:pPr>
        <w:jc w:val="both"/>
        <w:rPr>
          <w:rFonts w:asciiTheme="majorBidi" w:hAnsiTheme="majorBidi" w:cstheme="majorBidi"/>
          <w:sz w:val="28"/>
          <w:szCs w:val="28"/>
        </w:rPr>
      </w:pPr>
    </w:p>
    <w:p w14:paraId="472AB603" w14:textId="77777777" w:rsidR="00012EBA" w:rsidRDefault="00012EBA" w:rsidP="00012EBA">
      <w:pPr>
        <w:bidi w:val="0"/>
        <w:spacing w:after="160"/>
        <w:rPr>
          <w:rFonts w:asciiTheme="majorBidi" w:eastAsia="Times New Roman" w:hAnsiTheme="majorBidi" w:cstheme="majorBidi"/>
          <w:b/>
          <w:bCs/>
          <w:sz w:val="32"/>
          <w:szCs w:val="32"/>
        </w:rPr>
      </w:pPr>
    </w:p>
    <w:p w14:paraId="1E16BCE6" w14:textId="77777777" w:rsidR="00012EBA" w:rsidRDefault="00012EBA" w:rsidP="00012EBA">
      <w:pPr>
        <w:bidi w:val="0"/>
        <w:spacing w:after="160"/>
        <w:rPr>
          <w:rFonts w:asciiTheme="majorBidi" w:eastAsia="Times New Roman" w:hAnsiTheme="majorBidi" w:cstheme="majorBidi"/>
          <w:b/>
          <w:bCs/>
          <w:sz w:val="32"/>
          <w:szCs w:val="32"/>
        </w:rPr>
      </w:pPr>
    </w:p>
    <w:p w14:paraId="2A68C65C" w14:textId="77777777" w:rsidR="00012EBA" w:rsidRDefault="00012EBA" w:rsidP="00012EBA">
      <w:pPr>
        <w:bidi w:val="0"/>
        <w:spacing w:after="160"/>
        <w:rPr>
          <w:rFonts w:asciiTheme="majorBidi" w:eastAsia="Times New Roman" w:hAnsiTheme="majorBidi" w:cstheme="majorBidi"/>
          <w:b/>
          <w:bCs/>
          <w:sz w:val="32"/>
          <w:szCs w:val="32"/>
        </w:rPr>
      </w:pPr>
    </w:p>
    <w:p w14:paraId="48A3E64C" w14:textId="77777777" w:rsidR="00012EBA" w:rsidRDefault="00012EBA" w:rsidP="00012EBA">
      <w:pPr>
        <w:bidi w:val="0"/>
        <w:spacing w:after="160"/>
        <w:rPr>
          <w:rFonts w:asciiTheme="majorBidi" w:eastAsia="Times New Roman" w:hAnsiTheme="majorBidi" w:cstheme="majorBidi"/>
          <w:b/>
          <w:bCs/>
          <w:sz w:val="32"/>
          <w:szCs w:val="32"/>
        </w:rPr>
      </w:pPr>
    </w:p>
    <w:p w14:paraId="2DEDFE2B" w14:textId="77777777" w:rsidR="00012EBA" w:rsidRDefault="00012EBA" w:rsidP="00012EBA">
      <w:pPr>
        <w:bidi w:val="0"/>
        <w:spacing w:after="160"/>
        <w:rPr>
          <w:rFonts w:asciiTheme="majorBidi" w:eastAsia="Times New Roman" w:hAnsiTheme="majorBidi" w:cstheme="majorBidi"/>
          <w:b/>
          <w:bCs/>
          <w:sz w:val="32"/>
          <w:szCs w:val="32"/>
        </w:rPr>
      </w:pPr>
    </w:p>
    <w:p w14:paraId="12F32112" w14:textId="77777777" w:rsidR="00012EBA" w:rsidRDefault="00012EBA" w:rsidP="00012EBA">
      <w:pPr>
        <w:bidi w:val="0"/>
        <w:spacing w:after="160"/>
        <w:rPr>
          <w:rFonts w:asciiTheme="majorBidi" w:eastAsia="Times New Roman" w:hAnsiTheme="majorBidi" w:cstheme="majorBidi"/>
          <w:b/>
          <w:bCs/>
          <w:sz w:val="32"/>
          <w:szCs w:val="32"/>
        </w:rPr>
      </w:pPr>
    </w:p>
    <w:p w14:paraId="393EF44A" w14:textId="77777777" w:rsidR="00012EBA" w:rsidRDefault="00012EBA" w:rsidP="00012EBA">
      <w:pPr>
        <w:bidi w:val="0"/>
        <w:spacing w:after="160"/>
        <w:rPr>
          <w:rFonts w:asciiTheme="majorBidi" w:eastAsia="Times New Roman" w:hAnsiTheme="majorBidi" w:cstheme="majorBidi"/>
          <w:b/>
          <w:bCs/>
          <w:sz w:val="32"/>
          <w:szCs w:val="32"/>
        </w:rPr>
      </w:pPr>
    </w:p>
    <w:p w14:paraId="7623D05F" w14:textId="77777777" w:rsidR="00012EBA" w:rsidRDefault="00012EBA" w:rsidP="00012EBA">
      <w:pPr>
        <w:bidi w:val="0"/>
        <w:spacing w:after="160"/>
        <w:rPr>
          <w:rFonts w:asciiTheme="majorBidi" w:eastAsia="Times New Roman" w:hAnsiTheme="majorBidi" w:cstheme="majorBidi"/>
          <w:b/>
          <w:bCs/>
          <w:sz w:val="32"/>
          <w:szCs w:val="32"/>
        </w:rPr>
      </w:pPr>
    </w:p>
    <w:p w14:paraId="608C86D8" w14:textId="77777777" w:rsidR="00012EBA" w:rsidRDefault="00012EBA" w:rsidP="00012EBA">
      <w:pPr>
        <w:bidi w:val="0"/>
        <w:spacing w:after="160"/>
        <w:rPr>
          <w:rFonts w:asciiTheme="majorBidi" w:eastAsia="Times New Roman" w:hAnsiTheme="majorBidi" w:cstheme="majorBidi"/>
          <w:b/>
          <w:bCs/>
          <w:sz w:val="32"/>
          <w:szCs w:val="32"/>
        </w:rPr>
      </w:pPr>
    </w:p>
    <w:p w14:paraId="0C35E5BF" w14:textId="77777777" w:rsidR="002011B3" w:rsidRDefault="002011B3" w:rsidP="00012EBA">
      <w:pPr>
        <w:bidi w:val="0"/>
        <w:spacing w:after="160"/>
        <w:rPr>
          <w:rFonts w:asciiTheme="majorBidi" w:eastAsia="Times New Roman" w:hAnsiTheme="majorBidi" w:cstheme="majorBidi"/>
          <w:b/>
          <w:bCs/>
          <w:sz w:val="32"/>
          <w:szCs w:val="32"/>
        </w:rPr>
      </w:pPr>
    </w:p>
    <w:p w14:paraId="43A3DA03" w14:textId="465028B1" w:rsidR="00586E04" w:rsidRPr="00012EBA" w:rsidRDefault="005E168B" w:rsidP="002011B3">
      <w:pPr>
        <w:bidi w:val="0"/>
        <w:spacing w:after="160"/>
        <w:rPr>
          <w:rFonts w:asciiTheme="majorBidi" w:eastAsia="Times New Roman" w:hAnsiTheme="majorBidi" w:cstheme="majorBidi"/>
          <w:b/>
          <w:bCs/>
          <w:color w:val="44546A" w:themeColor="text2"/>
          <w:sz w:val="28"/>
          <w:szCs w:val="28"/>
        </w:rPr>
      </w:pPr>
      <w:r w:rsidRPr="00012EBA">
        <w:rPr>
          <w:rFonts w:asciiTheme="majorBidi" w:eastAsia="Times New Roman" w:hAnsiTheme="majorBidi" w:cstheme="majorBidi"/>
          <w:b/>
          <w:bCs/>
          <w:sz w:val="28"/>
          <w:szCs w:val="28"/>
        </w:rPr>
        <w:t>I</w:t>
      </w:r>
      <w:r w:rsidR="00586E04" w:rsidRPr="00012EBA">
        <w:rPr>
          <w:rFonts w:asciiTheme="majorBidi" w:eastAsia="Times New Roman" w:hAnsiTheme="majorBidi" w:cstheme="majorBidi"/>
          <w:b/>
          <w:bCs/>
          <w:sz w:val="28"/>
          <w:szCs w:val="28"/>
        </w:rPr>
        <w:t>ntroduction</w:t>
      </w:r>
    </w:p>
    <w:p w14:paraId="267AEA21" w14:textId="77777777" w:rsidR="006972BA" w:rsidRDefault="006972BA" w:rsidP="00EF601F">
      <w:pPr>
        <w:bidi w:val="0"/>
        <w:spacing w:after="160"/>
        <w:jc w:val="both"/>
        <w:rPr>
          <w:rFonts w:asciiTheme="majorBidi" w:hAnsiTheme="majorBidi" w:cstheme="majorBidi"/>
          <w:color w:val="000000"/>
          <w:sz w:val="24"/>
          <w:szCs w:val="24"/>
          <w:shd w:val="clear" w:color="auto" w:fill="FFFFFF"/>
        </w:rPr>
      </w:pPr>
      <w:bookmarkStart w:id="1" w:name="_Hlk106427345"/>
      <w:bookmarkStart w:id="2" w:name="_Hlk3030246"/>
      <w:r w:rsidRPr="006972BA">
        <w:rPr>
          <w:rFonts w:asciiTheme="majorBidi" w:hAnsiTheme="majorBidi" w:cstheme="majorBidi"/>
          <w:color w:val="000000"/>
          <w:sz w:val="24"/>
          <w:szCs w:val="24"/>
          <w:shd w:val="clear" w:color="auto" w:fill="FFFFFF"/>
        </w:rPr>
        <w:t>Bacteriuria refers to the presence of bacteria in the urine, which can be symptomatic or asymptomatic. A patient with asymptomatic bacteriuria has one or more organisms colonized in their urine sample but no symptoms of illness. Symptomatic bacteriuria is caused by a single bacterium infecting the urinary system.</w:t>
      </w:r>
    </w:p>
    <w:bookmarkEnd w:id="1"/>
    <w:p w14:paraId="7FFBCD5F" w14:textId="33173D84" w:rsidR="00C42DF3" w:rsidRPr="003E3EF1" w:rsidRDefault="006972BA" w:rsidP="006972BA">
      <w:pPr>
        <w:bidi w:val="0"/>
        <w:spacing w:after="160"/>
        <w:jc w:val="both"/>
        <w:rPr>
          <w:rFonts w:asciiTheme="majorBidi" w:hAnsiTheme="majorBidi" w:cstheme="majorBidi"/>
          <w:color w:val="000000"/>
          <w:sz w:val="24"/>
          <w:szCs w:val="24"/>
          <w:shd w:val="clear" w:color="auto" w:fill="FFFFFF"/>
          <w:vertAlign w:val="superscript"/>
        </w:rPr>
      </w:pPr>
      <w:r w:rsidRPr="006972BA">
        <w:rPr>
          <w:rFonts w:asciiTheme="majorBidi" w:hAnsiTheme="majorBidi" w:cstheme="majorBidi"/>
          <w:color w:val="000000"/>
          <w:sz w:val="24"/>
          <w:szCs w:val="24"/>
          <w:shd w:val="clear" w:color="auto" w:fill="FFFFFF"/>
        </w:rPr>
        <w:t>Asymptomatic bacteriuria is bacteriuria without obvious symptoms, defined as the presence of more than or equal to 10</w:t>
      </w:r>
      <w:r w:rsidRPr="00B70696">
        <w:rPr>
          <w:rFonts w:asciiTheme="majorBidi" w:hAnsiTheme="majorBidi" w:cstheme="majorBidi"/>
          <w:color w:val="000000"/>
          <w:sz w:val="24"/>
          <w:szCs w:val="24"/>
          <w:shd w:val="clear" w:color="auto" w:fill="FFFFFF"/>
          <w:vertAlign w:val="superscript"/>
        </w:rPr>
        <w:t>5</w:t>
      </w:r>
      <w:r w:rsidRPr="006972BA">
        <w:rPr>
          <w:rFonts w:asciiTheme="majorBidi" w:hAnsiTheme="majorBidi" w:cstheme="majorBidi"/>
          <w:color w:val="000000"/>
          <w:sz w:val="24"/>
          <w:szCs w:val="24"/>
          <w:shd w:val="clear" w:color="auto" w:fill="FFFFFF"/>
        </w:rPr>
        <w:t xml:space="preserve"> </w:t>
      </w:r>
      <w:proofErr w:type="spellStart"/>
      <w:r w:rsidRPr="006972BA">
        <w:rPr>
          <w:rFonts w:asciiTheme="majorBidi" w:hAnsiTheme="majorBidi" w:cstheme="majorBidi"/>
          <w:color w:val="000000"/>
          <w:sz w:val="24"/>
          <w:szCs w:val="24"/>
          <w:shd w:val="clear" w:color="auto" w:fill="FFFFFF"/>
        </w:rPr>
        <w:t>cfu</w:t>
      </w:r>
      <w:proofErr w:type="spellEnd"/>
      <w:r w:rsidRPr="006972BA">
        <w:rPr>
          <w:rFonts w:asciiTheme="majorBidi" w:hAnsiTheme="majorBidi" w:cstheme="majorBidi"/>
          <w:color w:val="000000"/>
          <w:sz w:val="24"/>
          <w:szCs w:val="24"/>
          <w:shd w:val="clear" w:color="auto" w:fill="FFFFFF"/>
        </w:rPr>
        <w:t>/mL of one or more organisms on two consecutive urine specimens and the lack of symptoms attributed to urinary infection for clinical reasons. Although some researchers use the word colonization to describe the presence of bacteria without evidence of a host response, it has not been proved to have any clinical significance in the older population and is thus not used here. Some researchers additionally distinguish bacteriuria from urine infection based on the presence of a host response, which is frequently shown by pyuria. As previously mentioned, asymptomatic bacteriuria in the elderly almost invariably results in signs of a host response.</w:t>
      </w:r>
      <w:r w:rsidR="003E3EF1">
        <w:rPr>
          <w:rFonts w:asciiTheme="majorBidi" w:hAnsiTheme="majorBidi" w:cstheme="majorBidi"/>
          <w:color w:val="000000"/>
          <w:sz w:val="24"/>
          <w:szCs w:val="24"/>
          <w:shd w:val="clear" w:color="auto" w:fill="FFFFFF"/>
          <w:vertAlign w:val="superscript"/>
        </w:rPr>
        <w:t>1</w:t>
      </w:r>
    </w:p>
    <w:p w14:paraId="3D07A7C0" w14:textId="77777777" w:rsidR="006972BA" w:rsidRPr="006972BA" w:rsidRDefault="006972BA" w:rsidP="006972BA">
      <w:pPr>
        <w:autoSpaceDE w:val="0"/>
        <w:autoSpaceDN w:val="0"/>
        <w:bidi w:val="0"/>
        <w:adjustRightInd w:val="0"/>
        <w:spacing w:after="0"/>
        <w:jc w:val="both"/>
        <w:rPr>
          <w:rFonts w:asciiTheme="majorBidi" w:hAnsiTheme="majorBidi" w:cstheme="majorBidi"/>
          <w:color w:val="000000"/>
          <w:sz w:val="24"/>
          <w:szCs w:val="24"/>
          <w:shd w:val="clear" w:color="auto" w:fill="FFFFFF"/>
        </w:rPr>
      </w:pPr>
      <w:r w:rsidRPr="006972BA">
        <w:rPr>
          <w:rFonts w:asciiTheme="majorBidi" w:hAnsiTheme="majorBidi" w:cstheme="majorBidi"/>
          <w:color w:val="000000"/>
          <w:sz w:val="24"/>
          <w:szCs w:val="24"/>
          <w:shd w:val="clear" w:color="auto" w:fill="FFFFFF"/>
        </w:rPr>
        <w:t>Over the next few decades, the share of old people in our population will skyrocket. Understanding the medical issues that this population faces is becoming increasingly important.</w:t>
      </w:r>
    </w:p>
    <w:p w14:paraId="422D44EE" w14:textId="69BB554D" w:rsidR="004120F0" w:rsidRDefault="006972BA" w:rsidP="006972BA">
      <w:pPr>
        <w:autoSpaceDE w:val="0"/>
        <w:autoSpaceDN w:val="0"/>
        <w:bidi w:val="0"/>
        <w:adjustRightInd w:val="0"/>
        <w:spacing w:after="0"/>
        <w:jc w:val="both"/>
        <w:rPr>
          <w:rFonts w:asciiTheme="majorBidi" w:hAnsiTheme="majorBidi" w:cstheme="majorBidi"/>
          <w:color w:val="000000"/>
          <w:sz w:val="24"/>
          <w:szCs w:val="24"/>
          <w:shd w:val="clear" w:color="auto" w:fill="FFFFFF"/>
        </w:rPr>
      </w:pPr>
      <w:r w:rsidRPr="006972BA">
        <w:rPr>
          <w:rFonts w:asciiTheme="majorBidi" w:hAnsiTheme="majorBidi" w:cstheme="majorBidi"/>
          <w:color w:val="000000"/>
          <w:sz w:val="24"/>
          <w:szCs w:val="24"/>
          <w:shd w:val="clear" w:color="auto" w:fill="FFFFFF"/>
        </w:rPr>
        <w:t>In clinical practice, asymptomatic bacteriuria is fairly prevalent. While asymptomatic bacteriuria is uncommon in newborns and toddlers, it becomes more common as they become older. In women and men aged 65 to 80 years, the incidence can be as high as 15% or more, and it can be as high as 40% to 50% beyond that. Most people with asymptomatic bacteriuria will never acquire symptomatic urinary tract infections, and asymptomatic bacteriuria will have no negative repercussions.</w:t>
      </w:r>
    </w:p>
    <w:p w14:paraId="6F5AD8B2" w14:textId="04286224" w:rsidR="004120F0" w:rsidRPr="003E3EF1" w:rsidRDefault="004120F0" w:rsidP="00EF601F">
      <w:pPr>
        <w:autoSpaceDE w:val="0"/>
        <w:autoSpaceDN w:val="0"/>
        <w:bidi w:val="0"/>
        <w:adjustRightInd w:val="0"/>
        <w:spacing w:after="0"/>
        <w:jc w:val="both"/>
        <w:rPr>
          <w:rFonts w:asciiTheme="majorBidi" w:hAnsiTheme="majorBidi" w:cstheme="majorBidi"/>
          <w:color w:val="000000"/>
          <w:sz w:val="24"/>
          <w:szCs w:val="24"/>
          <w:shd w:val="clear" w:color="auto" w:fill="FFFFFF"/>
          <w:vertAlign w:val="superscript"/>
        </w:rPr>
      </w:pPr>
      <w:r w:rsidRPr="004120F0">
        <w:rPr>
          <w:rFonts w:asciiTheme="majorBidi" w:hAnsiTheme="majorBidi" w:cstheme="majorBidi"/>
          <w:color w:val="000000"/>
          <w:sz w:val="24"/>
          <w:szCs w:val="24"/>
          <w:shd w:val="clear" w:color="auto" w:fill="FFFFFF"/>
        </w:rPr>
        <w:t>Urinary tract infection (UTI) is a collective term that describes any infection involving any part of the urinary tract, namely the kidneys, ureters, bladder and urethra. The urinary tract can be divided into the upper (kidneys and ureters) and lower tract (bladder and urethra).</w:t>
      </w:r>
      <w:r w:rsidR="003E3EF1">
        <w:rPr>
          <w:rFonts w:asciiTheme="majorBidi" w:hAnsiTheme="majorBidi" w:cstheme="majorBidi"/>
          <w:color w:val="000000"/>
          <w:sz w:val="24"/>
          <w:szCs w:val="24"/>
          <w:shd w:val="clear" w:color="auto" w:fill="FFFFFF"/>
          <w:vertAlign w:val="superscript"/>
        </w:rPr>
        <w:t>5</w:t>
      </w:r>
    </w:p>
    <w:p w14:paraId="13582F16" w14:textId="77777777" w:rsidR="00C42DF3" w:rsidRDefault="00C42DF3" w:rsidP="00C42DF3">
      <w:pPr>
        <w:autoSpaceDE w:val="0"/>
        <w:autoSpaceDN w:val="0"/>
        <w:bidi w:val="0"/>
        <w:adjustRightInd w:val="0"/>
        <w:spacing w:after="0"/>
        <w:jc w:val="both"/>
        <w:rPr>
          <w:rFonts w:asciiTheme="majorBidi" w:hAnsiTheme="majorBidi" w:cstheme="majorBidi"/>
          <w:color w:val="000000"/>
          <w:sz w:val="24"/>
          <w:szCs w:val="24"/>
          <w:shd w:val="clear" w:color="auto" w:fill="FFFFFF"/>
        </w:rPr>
      </w:pPr>
    </w:p>
    <w:p w14:paraId="22A2302A" w14:textId="5837519C" w:rsidR="00831EFA" w:rsidRPr="00831EFA" w:rsidRDefault="008A367D" w:rsidP="00831EFA">
      <w:pPr>
        <w:autoSpaceDE w:val="0"/>
        <w:autoSpaceDN w:val="0"/>
        <w:bidi w:val="0"/>
        <w:adjustRightInd w:val="0"/>
        <w:spacing w:after="0"/>
        <w:jc w:val="both"/>
        <w:rPr>
          <w:rFonts w:asciiTheme="majorBidi" w:hAnsiTheme="majorBidi" w:cstheme="majorBidi"/>
          <w:color w:val="000000"/>
          <w:sz w:val="24"/>
          <w:szCs w:val="24"/>
        </w:rPr>
      </w:pPr>
      <w:r w:rsidRPr="00012EBA">
        <w:rPr>
          <w:rFonts w:asciiTheme="majorBidi" w:hAnsiTheme="majorBidi" w:cstheme="majorBidi"/>
          <w:color w:val="000000"/>
          <w:sz w:val="24"/>
          <w:szCs w:val="24"/>
        </w:rPr>
        <w:t xml:space="preserve">Aim of study to show </w:t>
      </w:r>
      <w:r w:rsidR="004120F0">
        <w:rPr>
          <w:rFonts w:asciiTheme="majorBidi" w:hAnsiTheme="majorBidi" w:cstheme="majorBidi"/>
          <w:color w:val="000000"/>
          <w:sz w:val="24"/>
          <w:szCs w:val="24"/>
        </w:rPr>
        <w:t xml:space="preserve">incident rate of asymptomatic </w:t>
      </w:r>
      <w:r w:rsidR="00EF601F">
        <w:rPr>
          <w:rFonts w:asciiTheme="majorBidi" w:hAnsiTheme="majorBidi" w:cstheme="majorBidi"/>
          <w:color w:val="000000"/>
          <w:sz w:val="24"/>
          <w:szCs w:val="24"/>
        </w:rPr>
        <w:t>bacteriuria.</w:t>
      </w:r>
      <w:r w:rsidRPr="00012EBA">
        <w:rPr>
          <w:rFonts w:asciiTheme="majorBidi" w:hAnsiTheme="majorBidi" w:cstheme="majorBidi"/>
          <w:color w:val="000000"/>
          <w:sz w:val="24"/>
          <w:szCs w:val="24"/>
        </w:rPr>
        <w:t xml:space="preserve">  </w:t>
      </w:r>
    </w:p>
    <w:p w14:paraId="18A1C34C" w14:textId="77777777" w:rsidR="009877B7" w:rsidRDefault="009877B7" w:rsidP="009877B7">
      <w:pPr>
        <w:autoSpaceDE w:val="0"/>
        <w:autoSpaceDN w:val="0"/>
        <w:bidi w:val="0"/>
        <w:adjustRightInd w:val="0"/>
        <w:spacing w:after="0"/>
        <w:jc w:val="both"/>
        <w:rPr>
          <w:rFonts w:asciiTheme="majorBidi" w:eastAsia="Times New Roman" w:hAnsiTheme="majorBidi" w:cstheme="majorBidi"/>
          <w:b/>
          <w:bCs/>
          <w:sz w:val="28"/>
          <w:szCs w:val="28"/>
        </w:rPr>
      </w:pPr>
    </w:p>
    <w:p w14:paraId="1C7BA0E0" w14:textId="0BFA33CC" w:rsidR="00107145" w:rsidRPr="00883081" w:rsidRDefault="005D4AE9" w:rsidP="009877B7">
      <w:pPr>
        <w:autoSpaceDE w:val="0"/>
        <w:autoSpaceDN w:val="0"/>
        <w:bidi w:val="0"/>
        <w:adjustRightInd w:val="0"/>
        <w:spacing w:after="0"/>
        <w:jc w:val="both"/>
        <w:rPr>
          <w:rFonts w:asciiTheme="majorBidi" w:eastAsia="Times New Roman" w:hAnsiTheme="majorBidi" w:cstheme="majorBidi"/>
          <w:b/>
          <w:bCs/>
          <w:sz w:val="28"/>
          <w:szCs w:val="28"/>
        </w:rPr>
      </w:pPr>
      <w:r w:rsidRPr="00883081">
        <w:rPr>
          <w:rFonts w:asciiTheme="majorBidi" w:eastAsia="Times New Roman" w:hAnsiTheme="majorBidi" w:cstheme="majorBidi"/>
          <w:b/>
          <w:bCs/>
          <w:sz w:val="28"/>
          <w:szCs w:val="28"/>
        </w:rPr>
        <w:t xml:space="preserve">Methods and material </w:t>
      </w:r>
    </w:p>
    <w:p w14:paraId="0E8EA363" w14:textId="77777777" w:rsidR="00883081" w:rsidRDefault="00883081" w:rsidP="003E3EF1">
      <w:pPr>
        <w:autoSpaceDE w:val="0"/>
        <w:autoSpaceDN w:val="0"/>
        <w:bidi w:val="0"/>
        <w:adjustRightInd w:val="0"/>
        <w:spacing w:after="0"/>
        <w:rPr>
          <w:rFonts w:asciiTheme="majorBidi" w:hAnsiTheme="majorBidi" w:cstheme="majorBidi"/>
          <w:color w:val="000000"/>
        </w:rPr>
      </w:pPr>
    </w:p>
    <w:p w14:paraId="0DC8DE1E" w14:textId="7EB738A9" w:rsidR="00837D2A" w:rsidRPr="003E3EF1" w:rsidRDefault="00837D2A" w:rsidP="008716FF">
      <w:pPr>
        <w:jc w:val="right"/>
        <w:rPr>
          <w:rFonts w:asciiTheme="majorBidi" w:hAnsiTheme="majorBidi" w:cstheme="majorBidi"/>
          <w:sz w:val="24"/>
          <w:szCs w:val="24"/>
        </w:rPr>
      </w:pPr>
      <w:r w:rsidRPr="003E3EF1">
        <w:rPr>
          <w:rFonts w:asciiTheme="majorBidi" w:hAnsiTheme="majorBidi" w:cstheme="majorBidi"/>
          <w:sz w:val="24"/>
          <w:szCs w:val="24"/>
        </w:rPr>
        <w:t>We t</w:t>
      </w:r>
      <w:r w:rsidR="008716FF">
        <w:rPr>
          <w:rFonts w:asciiTheme="majorBidi" w:hAnsiTheme="majorBidi" w:cstheme="majorBidi"/>
          <w:sz w:val="24"/>
          <w:szCs w:val="24"/>
        </w:rPr>
        <w:t xml:space="preserve">ook </w:t>
      </w:r>
      <w:r w:rsidRPr="003E3EF1">
        <w:rPr>
          <w:rFonts w:asciiTheme="majorBidi" w:hAnsiTheme="majorBidi" w:cstheme="majorBidi"/>
          <w:sz w:val="24"/>
          <w:szCs w:val="24"/>
        </w:rPr>
        <w:t xml:space="preserve">a sample of urine from </w:t>
      </w:r>
      <w:r w:rsidR="00B70696">
        <w:rPr>
          <w:rFonts w:asciiTheme="majorBidi" w:hAnsiTheme="majorBidi" w:cstheme="majorBidi"/>
          <w:sz w:val="24"/>
          <w:szCs w:val="24"/>
        </w:rPr>
        <w:t>24</w:t>
      </w:r>
      <w:r w:rsidRPr="003E3EF1">
        <w:rPr>
          <w:rFonts w:asciiTheme="majorBidi" w:hAnsiTheme="majorBidi" w:cstheme="majorBidi"/>
          <w:sz w:val="24"/>
          <w:szCs w:val="24"/>
        </w:rPr>
        <w:t xml:space="preserve"> participant</w:t>
      </w:r>
      <w:r w:rsidR="008716FF">
        <w:rPr>
          <w:rFonts w:asciiTheme="majorBidi" w:hAnsiTheme="majorBidi" w:cstheme="majorBidi"/>
          <w:sz w:val="24"/>
          <w:szCs w:val="24"/>
        </w:rPr>
        <w:t>s</w:t>
      </w:r>
      <w:r w:rsidRPr="003E3EF1">
        <w:rPr>
          <w:rFonts w:asciiTheme="majorBidi" w:hAnsiTheme="majorBidi" w:cstheme="majorBidi"/>
          <w:sz w:val="24"/>
          <w:szCs w:val="24"/>
        </w:rPr>
        <w:t xml:space="preserve"> (</w:t>
      </w:r>
      <w:r w:rsidR="00B70696">
        <w:rPr>
          <w:rFonts w:asciiTheme="majorBidi" w:hAnsiTheme="majorBidi" w:cstheme="majorBidi"/>
          <w:sz w:val="24"/>
          <w:szCs w:val="24"/>
        </w:rPr>
        <w:t>12</w:t>
      </w:r>
      <w:r w:rsidRPr="003E3EF1">
        <w:rPr>
          <w:rFonts w:asciiTheme="majorBidi" w:hAnsiTheme="majorBidi" w:cstheme="majorBidi"/>
          <w:sz w:val="24"/>
          <w:szCs w:val="24"/>
        </w:rPr>
        <w:t xml:space="preserve"> female and </w:t>
      </w:r>
      <w:r w:rsidR="00B70696">
        <w:rPr>
          <w:rFonts w:asciiTheme="majorBidi" w:hAnsiTheme="majorBidi" w:cstheme="majorBidi"/>
          <w:sz w:val="24"/>
          <w:szCs w:val="24"/>
        </w:rPr>
        <w:t>12</w:t>
      </w:r>
      <w:r w:rsidRPr="003E3EF1">
        <w:rPr>
          <w:rFonts w:asciiTheme="majorBidi" w:hAnsiTheme="majorBidi" w:cstheme="majorBidi"/>
          <w:sz w:val="24"/>
          <w:szCs w:val="24"/>
        </w:rPr>
        <w:t xml:space="preserve"> male)</w:t>
      </w:r>
      <w:r w:rsidR="008716FF">
        <w:rPr>
          <w:rFonts w:asciiTheme="majorBidi" w:hAnsiTheme="majorBidi" w:cstheme="majorBidi"/>
          <w:sz w:val="24"/>
          <w:szCs w:val="24"/>
        </w:rPr>
        <w:t>,</w:t>
      </w:r>
      <w:r w:rsidRPr="003E3EF1">
        <w:rPr>
          <w:rFonts w:asciiTheme="majorBidi" w:hAnsiTheme="majorBidi" w:cstheme="majorBidi"/>
          <w:sz w:val="24"/>
          <w:szCs w:val="24"/>
        </w:rPr>
        <w:t xml:space="preserve"> flame</w:t>
      </w:r>
      <w:r w:rsidR="008716FF">
        <w:rPr>
          <w:rFonts w:asciiTheme="majorBidi" w:hAnsiTheme="majorBidi" w:cstheme="majorBidi"/>
          <w:sz w:val="24"/>
          <w:szCs w:val="24"/>
        </w:rPr>
        <w:t>s</w:t>
      </w:r>
      <w:r w:rsidRPr="003E3EF1">
        <w:rPr>
          <w:rFonts w:asciiTheme="majorBidi" w:hAnsiTheme="majorBidi" w:cstheme="majorBidi"/>
          <w:sz w:val="24"/>
          <w:szCs w:val="24"/>
        </w:rPr>
        <w:t xml:space="preserve"> a calibrated wire loop, and </w:t>
      </w:r>
      <w:r w:rsidR="008716FF">
        <w:rPr>
          <w:rFonts w:asciiTheme="majorBidi" w:hAnsiTheme="majorBidi" w:cstheme="majorBidi"/>
          <w:sz w:val="24"/>
          <w:szCs w:val="24"/>
        </w:rPr>
        <w:t>mixed</w:t>
      </w:r>
      <w:r w:rsidRPr="003E3EF1">
        <w:rPr>
          <w:rFonts w:asciiTheme="majorBidi" w:hAnsiTheme="majorBidi" w:cstheme="majorBidi"/>
          <w:sz w:val="24"/>
          <w:szCs w:val="24"/>
        </w:rPr>
        <w:t xml:space="preserve"> the urine</w:t>
      </w:r>
      <w:r w:rsidR="008716FF">
        <w:rPr>
          <w:rFonts w:asciiTheme="majorBidi" w:hAnsiTheme="majorBidi" w:cstheme="majorBidi"/>
          <w:sz w:val="24"/>
          <w:szCs w:val="24"/>
        </w:rPr>
        <w:t>, and then</w:t>
      </w:r>
      <w:r w:rsidRPr="003E3EF1">
        <w:rPr>
          <w:rFonts w:asciiTheme="majorBidi" w:hAnsiTheme="majorBidi" w:cstheme="majorBidi"/>
          <w:sz w:val="24"/>
          <w:szCs w:val="24"/>
        </w:rPr>
        <w:t xml:space="preserve"> </w:t>
      </w:r>
      <w:r w:rsidR="008716FF" w:rsidRPr="003E3EF1">
        <w:rPr>
          <w:rFonts w:asciiTheme="majorBidi" w:hAnsiTheme="majorBidi" w:cstheme="majorBidi"/>
          <w:sz w:val="24"/>
          <w:szCs w:val="24"/>
        </w:rPr>
        <w:t>insert</w:t>
      </w:r>
      <w:r w:rsidR="008716FF">
        <w:rPr>
          <w:rFonts w:asciiTheme="majorBidi" w:hAnsiTheme="majorBidi" w:cstheme="majorBidi"/>
          <w:sz w:val="24"/>
          <w:szCs w:val="24"/>
        </w:rPr>
        <w:t>ed</w:t>
      </w:r>
      <w:r w:rsidRPr="003E3EF1">
        <w:rPr>
          <w:rFonts w:asciiTheme="majorBidi" w:hAnsiTheme="majorBidi" w:cstheme="majorBidi"/>
          <w:sz w:val="24"/>
          <w:szCs w:val="24"/>
        </w:rPr>
        <w:t xml:space="preserve"> the loop vertically into </w:t>
      </w:r>
      <w:r w:rsidR="008716FF">
        <w:rPr>
          <w:rFonts w:asciiTheme="majorBidi" w:hAnsiTheme="majorBidi" w:cstheme="majorBidi"/>
          <w:sz w:val="24"/>
          <w:szCs w:val="24"/>
        </w:rPr>
        <w:t xml:space="preserve">the urine to allow it to adhere to the loop. </w:t>
      </w:r>
      <w:r w:rsidR="008716FF">
        <w:rPr>
          <w:rFonts w:asciiTheme="majorBidi" w:hAnsiTheme="majorBidi" w:cstheme="majorBidi"/>
          <w:sz w:val="24"/>
          <w:szCs w:val="24"/>
        </w:rPr>
        <w:t xml:space="preserve">We </w:t>
      </w:r>
      <w:r w:rsidR="008716FF" w:rsidRPr="003E3EF1">
        <w:rPr>
          <w:rFonts w:asciiTheme="majorBidi" w:hAnsiTheme="majorBidi" w:cstheme="majorBidi"/>
          <w:sz w:val="24"/>
          <w:szCs w:val="24"/>
        </w:rPr>
        <w:t xml:space="preserve">spread the urine over the surface of the agar </w:t>
      </w:r>
      <w:r w:rsidR="008716FF">
        <w:rPr>
          <w:rFonts w:asciiTheme="majorBidi" w:hAnsiTheme="majorBidi" w:cstheme="majorBidi"/>
          <w:sz w:val="24"/>
          <w:szCs w:val="24"/>
        </w:rPr>
        <w:t>plate</w:t>
      </w:r>
      <w:r w:rsidRPr="003E3EF1">
        <w:rPr>
          <w:rFonts w:asciiTheme="majorBidi" w:hAnsiTheme="majorBidi" w:cstheme="majorBidi"/>
          <w:sz w:val="24"/>
          <w:szCs w:val="24"/>
          <w:rtl/>
        </w:rPr>
        <w:t xml:space="preserve">. </w:t>
      </w:r>
    </w:p>
    <w:p w14:paraId="5E1EBDA3" w14:textId="78C6F556" w:rsidR="008A367D" w:rsidRPr="003E3EF1" w:rsidRDefault="00837D2A" w:rsidP="003E3EF1">
      <w:pPr>
        <w:jc w:val="right"/>
        <w:rPr>
          <w:rFonts w:asciiTheme="majorBidi" w:hAnsiTheme="majorBidi" w:cstheme="majorBidi"/>
          <w:sz w:val="24"/>
          <w:szCs w:val="24"/>
        </w:rPr>
      </w:pPr>
      <w:r w:rsidRPr="003E3EF1">
        <w:rPr>
          <w:rFonts w:asciiTheme="majorBidi" w:hAnsiTheme="majorBidi" w:cstheme="majorBidi"/>
          <w:sz w:val="24"/>
          <w:szCs w:val="24"/>
        </w:rPr>
        <w:t>Then incubate for 24hr at 37 C in air</w:t>
      </w:r>
      <w:r w:rsidR="008716FF">
        <w:rPr>
          <w:rFonts w:asciiTheme="majorBidi" w:hAnsiTheme="majorBidi" w:cstheme="majorBidi"/>
          <w:sz w:val="24"/>
          <w:szCs w:val="24"/>
        </w:rPr>
        <w:t xml:space="preserve">. </w:t>
      </w:r>
      <w:r w:rsidRPr="003E3EF1">
        <w:rPr>
          <w:rFonts w:asciiTheme="majorBidi" w:hAnsiTheme="majorBidi" w:cstheme="majorBidi"/>
          <w:sz w:val="24"/>
          <w:szCs w:val="24"/>
        </w:rPr>
        <w:t>Colonies are counted on each plate. The number of CFUs is multiplied by 1000(if a 0.001 ml loop used) or by 100 (if a 0.01 ml loop was used) to determine the number of microorganisms per ml in the original specimen</w:t>
      </w:r>
      <w:r w:rsidRPr="003E3EF1">
        <w:rPr>
          <w:rFonts w:asciiTheme="majorBidi" w:hAnsiTheme="majorBidi" w:cstheme="majorBidi"/>
          <w:sz w:val="24"/>
          <w:szCs w:val="24"/>
          <w:rtl/>
        </w:rPr>
        <w:t>.</w:t>
      </w:r>
      <w:r w:rsidRPr="003E3EF1">
        <w:rPr>
          <w:rFonts w:asciiTheme="majorBidi" w:hAnsiTheme="majorBidi" w:cstheme="majorBidi"/>
          <w:sz w:val="24"/>
          <w:szCs w:val="24"/>
        </w:rPr>
        <w:t xml:space="preserve"> Then we analysis the data using SPSS.</w:t>
      </w:r>
    </w:p>
    <w:p w14:paraId="1A95E8F1" w14:textId="36233985" w:rsidR="00373D8B" w:rsidRPr="003E3EF1" w:rsidRDefault="00373D8B" w:rsidP="003E3EF1">
      <w:pPr>
        <w:jc w:val="right"/>
        <w:rPr>
          <w:rFonts w:asciiTheme="majorBidi" w:hAnsiTheme="majorBidi" w:cstheme="majorBidi"/>
          <w:sz w:val="24"/>
          <w:szCs w:val="24"/>
        </w:rPr>
      </w:pPr>
      <w:r w:rsidRPr="003E3EF1">
        <w:rPr>
          <w:rFonts w:asciiTheme="majorBidi" w:hAnsiTheme="majorBidi" w:cstheme="majorBidi"/>
          <w:sz w:val="24"/>
          <w:szCs w:val="24"/>
        </w:rPr>
        <w:t xml:space="preserve">Pearson Chi-Square test, a test for independence </w:t>
      </w:r>
    </w:p>
    <w:p w14:paraId="04161A74" w14:textId="3D7E6CDD" w:rsidR="00373D8B" w:rsidRPr="003E3EF1" w:rsidRDefault="00373D8B" w:rsidP="003E3EF1">
      <w:pPr>
        <w:jc w:val="right"/>
        <w:rPr>
          <w:rFonts w:asciiTheme="majorBidi" w:hAnsiTheme="majorBidi" w:cstheme="majorBidi"/>
          <w:sz w:val="24"/>
          <w:szCs w:val="24"/>
        </w:rPr>
      </w:pPr>
      <w:r w:rsidRPr="003E3EF1">
        <w:rPr>
          <w:rFonts w:asciiTheme="majorBidi" w:hAnsiTheme="majorBidi" w:cstheme="majorBidi"/>
          <w:sz w:val="24"/>
          <w:szCs w:val="24"/>
        </w:rPr>
        <w:t>Is used to examine the relationship between two qualitative variables.</w:t>
      </w:r>
    </w:p>
    <w:p w14:paraId="5F0190C2" w14:textId="098B3BB6" w:rsidR="00373D8B" w:rsidRPr="003E3EF1" w:rsidRDefault="00373D8B" w:rsidP="003E3EF1">
      <w:pPr>
        <w:jc w:val="right"/>
        <w:rPr>
          <w:rFonts w:asciiTheme="majorBidi" w:hAnsiTheme="majorBidi" w:cstheme="majorBidi"/>
          <w:sz w:val="24"/>
          <w:szCs w:val="24"/>
        </w:rPr>
      </w:pPr>
      <w:r w:rsidRPr="003E3EF1">
        <w:rPr>
          <w:rFonts w:asciiTheme="majorBidi" w:hAnsiTheme="majorBidi" w:cstheme="majorBidi"/>
          <w:sz w:val="24"/>
          <w:szCs w:val="24"/>
        </w:rPr>
        <w:t xml:space="preserve">The null hypothesis: There is no association (relationship) between the two </w:t>
      </w:r>
    </w:p>
    <w:p w14:paraId="5A1B3A4B" w14:textId="77777777" w:rsidR="00373D8B" w:rsidRPr="003E3EF1" w:rsidRDefault="00373D8B" w:rsidP="003E3EF1">
      <w:pPr>
        <w:jc w:val="right"/>
        <w:rPr>
          <w:rFonts w:asciiTheme="majorBidi" w:hAnsiTheme="majorBidi" w:cstheme="majorBidi"/>
          <w:sz w:val="24"/>
          <w:szCs w:val="24"/>
        </w:rPr>
      </w:pPr>
      <w:r w:rsidRPr="003E3EF1">
        <w:rPr>
          <w:rFonts w:asciiTheme="majorBidi" w:hAnsiTheme="majorBidi" w:cstheme="majorBidi"/>
          <w:sz w:val="24"/>
          <w:szCs w:val="24"/>
        </w:rPr>
        <w:t>variables</w:t>
      </w:r>
    </w:p>
    <w:p w14:paraId="3F213C79" w14:textId="24C08A6D" w:rsidR="00373D8B" w:rsidRPr="003E3EF1" w:rsidRDefault="00373D8B" w:rsidP="003E3EF1">
      <w:pPr>
        <w:jc w:val="right"/>
        <w:rPr>
          <w:rFonts w:asciiTheme="majorBidi" w:hAnsiTheme="majorBidi" w:cstheme="majorBidi"/>
          <w:sz w:val="24"/>
          <w:szCs w:val="24"/>
        </w:rPr>
      </w:pPr>
      <w:r w:rsidRPr="003E3EF1">
        <w:rPr>
          <w:rFonts w:asciiTheme="majorBidi" w:hAnsiTheme="majorBidi" w:cstheme="majorBidi"/>
          <w:sz w:val="24"/>
          <w:szCs w:val="24"/>
        </w:rPr>
        <w:t>The alternative hypothesis: The two variables are associated</w:t>
      </w:r>
    </w:p>
    <w:p w14:paraId="1EFE588F" w14:textId="77777777" w:rsidR="00837D2A" w:rsidRDefault="00837D2A" w:rsidP="00837D2A">
      <w:pPr>
        <w:bidi w:val="0"/>
        <w:spacing w:after="160" w:line="240" w:lineRule="auto"/>
        <w:rPr>
          <w:rFonts w:asciiTheme="majorBidi" w:eastAsia="Times New Roman" w:hAnsiTheme="majorBidi" w:cstheme="majorBidi"/>
          <w:b/>
          <w:bCs/>
          <w:sz w:val="32"/>
          <w:szCs w:val="32"/>
        </w:rPr>
      </w:pPr>
    </w:p>
    <w:p w14:paraId="64D3C7CB" w14:textId="2748FF8E" w:rsidR="00565962" w:rsidRDefault="00572928" w:rsidP="00837D2A">
      <w:pPr>
        <w:bidi w:val="0"/>
        <w:spacing w:after="160" w:line="240" w:lineRule="auto"/>
        <w:rPr>
          <w:rFonts w:asciiTheme="majorBidi" w:eastAsia="Times New Roman" w:hAnsiTheme="majorBidi" w:cstheme="majorBidi"/>
          <w:b/>
          <w:bCs/>
          <w:sz w:val="28"/>
          <w:szCs w:val="28"/>
        </w:rPr>
      </w:pPr>
      <w:r w:rsidRPr="00883081">
        <w:rPr>
          <w:rFonts w:asciiTheme="majorBidi" w:eastAsia="Times New Roman" w:hAnsiTheme="majorBidi" w:cstheme="majorBidi"/>
          <w:b/>
          <w:bCs/>
          <w:sz w:val="28"/>
          <w:szCs w:val="28"/>
        </w:rPr>
        <w:t>Resul</w:t>
      </w:r>
      <w:r w:rsidR="00837D2A" w:rsidRPr="00883081">
        <w:rPr>
          <w:rFonts w:asciiTheme="majorBidi" w:eastAsia="Times New Roman" w:hAnsiTheme="majorBidi" w:cstheme="majorBidi"/>
          <w:b/>
          <w:bCs/>
          <w:sz w:val="28"/>
          <w:szCs w:val="28"/>
        </w:rPr>
        <w:t>t</w:t>
      </w:r>
    </w:p>
    <w:p w14:paraId="6AB76ADF" w14:textId="0D35E695" w:rsidR="00E12232" w:rsidRDefault="00E12232" w:rsidP="00E12232">
      <w:pPr>
        <w:bidi w:val="0"/>
        <w:spacing w:after="160" w:line="240" w:lineRule="auto"/>
        <w:rPr>
          <w:rFonts w:asciiTheme="majorBidi" w:eastAsia="Times New Roman" w:hAnsiTheme="majorBidi" w:cstheme="majorBidi"/>
          <w:b/>
          <w:bCs/>
          <w:sz w:val="28"/>
          <w:szCs w:val="28"/>
        </w:rPr>
      </w:pPr>
    </w:p>
    <w:p w14:paraId="198BCF2C" w14:textId="072E00EA" w:rsidR="00E12232" w:rsidRPr="00883081" w:rsidRDefault="008716FF" w:rsidP="00E12232">
      <w:pPr>
        <w:bidi w:val="0"/>
        <w:spacing w:after="160" w:line="240" w:lineRule="auto"/>
        <w:rPr>
          <w:rFonts w:asciiTheme="majorBidi" w:eastAsia="Times New Roman" w:hAnsiTheme="majorBidi" w:cstheme="majorBidi"/>
          <w:b/>
          <w:bCs/>
          <w:sz w:val="28"/>
          <w:szCs w:val="28"/>
          <w:rtl/>
        </w:rPr>
      </w:pPr>
      <w:r w:rsidRPr="00837D2A">
        <w:rPr>
          <w:rFonts w:asciiTheme="majorBidi" w:eastAsia="Times New Roman" w:hAnsiTheme="majorBidi" w:cs="Times New Roman"/>
          <w:b/>
          <w:bCs/>
          <w:noProof/>
          <w:sz w:val="32"/>
          <w:szCs w:val="32"/>
          <w:rtl/>
        </w:rPr>
        <w:drawing>
          <wp:anchor distT="0" distB="0" distL="114300" distR="114300" simplePos="0" relativeHeight="251659264" behindDoc="1" locked="0" layoutInCell="1" allowOverlap="1" wp14:anchorId="04EC3FB7" wp14:editId="0AE5C6A9">
            <wp:simplePos x="0" y="0"/>
            <wp:positionH relativeFrom="margin">
              <wp:align>center</wp:align>
            </wp:positionH>
            <wp:positionV relativeFrom="paragraph">
              <wp:posOffset>4115435</wp:posOffset>
            </wp:positionV>
            <wp:extent cx="5922010" cy="1682632"/>
            <wp:effectExtent l="0" t="0" r="2540" b="0"/>
            <wp:wrapTight wrapText="bothSides">
              <wp:wrapPolygon edited="0">
                <wp:start x="0" y="0"/>
                <wp:lineTo x="0" y="21282"/>
                <wp:lineTo x="21540" y="21282"/>
                <wp:lineTo x="21540" y="0"/>
                <wp:lineTo x="0" y="0"/>
              </wp:wrapPolygon>
            </wp:wrapTight>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922010" cy="1682632"/>
                    </a:xfrm>
                    <a:prstGeom prst="rect">
                      <a:avLst/>
                    </a:prstGeom>
                  </pic:spPr>
                </pic:pic>
              </a:graphicData>
            </a:graphic>
          </wp:anchor>
        </w:drawing>
      </w:r>
      <w:r w:rsidR="00E12232">
        <w:rPr>
          <w:noProof/>
        </w:rPr>
        <w:drawing>
          <wp:inline distT="0" distB="0" distL="0" distR="0" wp14:anchorId="1435F4DC" wp14:editId="4C443669">
            <wp:extent cx="8873068" cy="3981450"/>
            <wp:effectExtent l="0" t="0" r="4445"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8892034" cy="3989960"/>
                    </a:xfrm>
                    <a:prstGeom prst="rect">
                      <a:avLst/>
                    </a:prstGeom>
                  </pic:spPr>
                </pic:pic>
              </a:graphicData>
            </a:graphic>
          </wp:inline>
        </w:drawing>
      </w:r>
    </w:p>
    <w:p w14:paraId="63851993" w14:textId="3BE2CF0D" w:rsidR="00565962" w:rsidRPr="00565962" w:rsidRDefault="00565962" w:rsidP="004120F0">
      <w:pPr>
        <w:spacing w:after="160" w:line="240" w:lineRule="auto"/>
        <w:jc w:val="right"/>
        <w:rPr>
          <w:rFonts w:asciiTheme="majorBidi" w:eastAsia="Times New Roman" w:hAnsiTheme="majorBidi" w:cstheme="majorBidi"/>
          <w:b/>
          <w:bCs/>
          <w:sz w:val="32"/>
          <w:szCs w:val="32"/>
        </w:rPr>
      </w:pPr>
    </w:p>
    <w:bookmarkEnd w:id="2"/>
    <w:p w14:paraId="7F5735EC" w14:textId="77777777" w:rsidR="00D7472E" w:rsidRPr="00831EFA" w:rsidRDefault="00D7472E" w:rsidP="00D7472E">
      <w:pPr>
        <w:bidi w:val="0"/>
        <w:spacing w:after="160" w:line="300" w:lineRule="auto"/>
        <w:jc w:val="both"/>
        <w:rPr>
          <w:rFonts w:asciiTheme="majorBidi" w:eastAsia="Times New Roman" w:hAnsiTheme="majorBidi" w:cstheme="majorBidi"/>
          <w:sz w:val="24"/>
          <w:szCs w:val="24"/>
        </w:rPr>
      </w:pPr>
      <w:r w:rsidRPr="00831EFA">
        <w:rPr>
          <w:rFonts w:asciiTheme="majorBidi" w:eastAsia="Times New Roman" w:hAnsiTheme="majorBidi" w:cstheme="majorBidi"/>
          <w:sz w:val="24"/>
          <w:szCs w:val="24"/>
        </w:rPr>
        <w:t xml:space="preserve">P-Value = 0.013 that means it’s ≤ 0.05. </w:t>
      </w:r>
    </w:p>
    <w:p w14:paraId="0DD5DD25" w14:textId="77777777" w:rsidR="00D7472E" w:rsidRPr="00831EFA" w:rsidRDefault="00D7472E" w:rsidP="00D7472E">
      <w:pPr>
        <w:bidi w:val="0"/>
        <w:spacing w:after="160" w:line="300" w:lineRule="auto"/>
        <w:jc w:val="both"/>
        <w:rPr>
          <w:rFonts w:asciiTheme="majorBidi" w:eastAsia="Times New Roman" w:hAnsiTheme="majorBidi" w:cstheme="majorBidi"/>
          <w:b/>
          <w:bCs/>
          <w:sz w:val="24"/>
          <w:szCs w:val="24"/>
        </w:rPr>
      </w:pPr>
      <w:r w:rsidRPr="00831EFA">
        <w:rPr>
          <w:rFonts w:asciiTheme="majorBidi" w:eastAsia="Times New Roman" w:hAnsiTheme="majorBidi" w:cstheme="majorBidi"/>
          <w:sz w:val="24"/>
          <w:szCs w:val="24"/>
        </w:rPr>
        <w:t>Decision: We reject the null hypothesis</w:t>
      </w:r>
    </w:p>
    <w:p w14:paraId="0188197A" w14:textId="60917BED" w:rsidR="00586E04" w:rsidRDefault="009550AB" w:rsidP="00D7472E">
      <w:pPr>
        <w:bidi w:val="0"/>
        <w:spacing w:after="160" w:line="300" w:lineRule="auto"/>
        <w:jc w:val="both"/>
        <w:rPr>
          <w:rFonts w:asciiTheme="majorBidi" w:eastAsia="Times New Roman" w:hAnsiTheme="majorBidi" w:cstheme="majorBidi"/>
          <w:b/>
          <w:bCs/>
          <w:sz w:val="28"/>
          <w:szCs w:val="28"/>
        </w:rPr>
      </w:pPr>
      <w:r w:rsidRPr="00012EBA">
        <w:rPr>
          <w:rFonts w:asciiTheme="majorBidi" w:eastAsia="Times New Roman" w:hAnsiTheme="majorBidi" w:cstheme="majorBidi"/>
          <w:b/>
          <w:bCs/>
          <w:sz w:val="28"/>
          <w:szCs w:val="28"/>
        </w:rPr>
        <w:t xml:space="preserve">Discussion </w:t>
      </w:r>
      <w:r w:rsidR="00586E04" w:rsidRPr="00012EBA">
        <w:rPr>
          <w:rFonts w:asciiTheme="majorBidi" w:eastAsia="Times New Roman" w:hAnsiTheme="majorBidi" w:cstheme="majorBidi"/>
          <w:b/>
          <w:bCs/>
          <w:sz w:val="28"/>
          <w:szCs w:val="28"/>
        </w:rPr>
        <w:t xml:space="preserve"> </w:t>
      </w:r>
    </w:p>
    <w:p w14:paraId="25B001A3" w14:textId="77777777" w:rsidR="008716FF" w:rsidRDefault="006972BA" w:rsidP="009877B7">
      <w:pPr>
        <w:bidi w:val="0"/>
        <w:spacing w:after="160" w:line="240" w:lineRule="auto"/>
        <w:jc w:val="both"/>
        <w:rPr>
          <w:rFonts w:asciiTheme="majorBidi" w:eastAsia="Times New Roman" w:hAnsiTheme="majorBidi" w:cstheme="majorBidi"/>
          <w:sz w:val="24"/>
          <w:szCs w:val="24"/>
        </w:rPr>
      </w:pPr>
      <w:r w:rsidRPr="00831EFA">
        <w:rPr>
          <w:rFonts w:asciiTheme="majorBidi" w:eastAsia="Times New Roman" w:hAnsiTheme="majorBidi" w:cstheme="majorBidi"/>
          <w:sz w:val="24"/>
          <w:szCs w:val="24"/>
        </w:rPr>
        <w:t xml:space="preserve">As revealed in this study, considerable bacteria overgrowth was found in a urine sample from a college student, indicating that asymptomatic bacteriuria is prevalent, with frequency varied according to age, sex, sexual activity, and the existence of genitourinary disorders. </w:t>
      </w:r>
    </w:p>
    <w:p w14:paraId="4F5FABDA" w14:textId="300407E7" w:rsidR="006972BA" w:rsidRPr="00831EFA" w:rsidRDefault="008716FF" w:rsidP="008716FF">
      <w:pPr>
        <w:bidi w:val="0"/>
        <w:spacing w:after="160" w:line="240" w:lineRule="auto"/>
        <w:jc w:val="both"/>
        <w:rPr>
          <w:rFonts w:asciiTheme="majorBidi" w:eastAsia="Times New Roman" w:hAnsiTheme="majorBidi" w:cstheme="majorBidi"/>
          <w:sz w:val="24"/>
          <w:szCs w:val="24"/>
        </w:rPr>
      </w:pPr>
      <w:r w:rsidRPr="00831EFA">
        <w:rPr>
          <w:rFonts w:asciiTheme="majorBidi" w:eastAsia="Times New Roman" w:hAnsiTheme="majorBidi" w:cstheme="majorBidi"/>
          <w:sz w:val="24"/>
          <w:szCs w:val="24"/>
        </w:rPr>
        <w:t>Bacteriuria</w:t>
      </w:r>
      <w:r w:rsidR="006972BA" w:rsidRPr="00831EFA">
        <w:rPr>
          <w:rFonts w:asciiTheme="majorBidi" w:eastAsia="Times New Roman" w:hAnsiTheme="majorBidi" w:cstheme="majorBidi"/>
          <w:sz w:val="24"/>
          <w:szCs w:val="24"/>
        </w:rPr>
        <w:t xml:space="preserve"> is increasingly common in healthy women as they become older, rising from around 1% in girls aged five to fourteen to more than 20% in women aged 80 and up living in the community. The most prevalent bacterium recovered from individuals with asymptomatic bacteriuria is Escherichia coli. Enterobacteriaceae, Pseudomonas aeruginosa, Enterococcus species, and group B streptococcus are among the organisms that can cause infection.</w:t>
      </w:r>
    </w:p>
    <w:p w14:paraId="5817F89E" w14:textId="54D16294" w:rsidR="00D7472E" w:rsidRPr="003E3EF1" w:rsidRDefault="00D7472E" w:rsidP="00D7472E">
      <w:pPr>
        <w:bidi w:val="0"/>
        <w:spacing w:after="160" w:line="240" w:lineRule="auto"/>
        <w:jc w:val="both"/>
        <w:rPr>
          <w:rFonts w:asciiTheme="majorBidi" w:eastAsia="Times New Roman" w:hAnsiTheme="majorBidi" w:cstheme="majorBidi"/>
          <w:sz w:val="24"/>
          <w:szCs w:val="24"/>
          <w:vertAlign w:val="superscript"/>
        </w:rPr>
      </w:pPr>
      <w:bookmarkStart w:id="3" w:name="_Hlk106427394"/>
      <w:r w:rsidRPr="00831EFA">
        <w:rPr>
          <w:rFonts w:asciiTheme="majorBidi" w:eastAsia="Times New Roman" w:hAnsiTheme="majorBidi" w:cstheme="majorBidi"/>
          <w:sz w:val="24"/>
          <w:szCs w:val="24"/>
        </w:rPr>
        <w:t xml:space="preserve">Patient characteristics will impact the organisms isolated in individuals with asymptomatic bacteriuria: healthy people are more likely to have E. coli, whereas a nursing home resident with a catheter is more likely to have multidrug–resistant </w:t>
      </w:r>
      <w:proofErr w:type="spellStart"/>
      <w:r w:rsidRPr="00831EFA">
        <w:rPr>
          <w:rFonts w:asciiTheme="majorBidi" w:eastAsia="Times New Roman" w:hAnsiTheme="majorBidi" w:cstheme="majorBidi"/>
          <w:sz w:val="24"/>
          <w:szCs w:val="24"/>
        </w:rPr>
        <w:t>polymicrobic</w:t>
      </w:r>
      <w:proofErr w:type="spellEnd"/>
      <w:r w:rsidRPr="00831EFA">
        <w:rPr>
          <w:rFonts w:asciiTheme="majorBidi" w:eastAsia="Times New Roman" w:hAnsiTheme="majorBidi" w:cstheme="majorBidi"/>
          <w:sz w:val="24"/>
          <w:szCs w:val="24"/>
        </w:rPr>
        <w:t xml:space="preserve"> flora (e.g.,</w:t>
      </w:r>
      <w:r w:rsidR="008716FF">
        <w:rPr>
          <w:rFonts w:asciiTheme="majorBidi" w:eastAsia="Times New Roman" w:hAnsiTheme="majorBidi" w:cstheme="majorBidi"/>
          <w:sz w:val="24"/>
          <w:szCs w:val="24"/>
        </w:rPr>
        <w:t xml:space="preserve"> </w:t>
      </w:r>
      <w:r w:rsidRPr="00831EFA">
        <w:rPr>
          <w:rFonts w:asciiTheme="majorBidi" w:eastAsia="Times New Roman" w:hAnsiTheme="majorBidi" w:cstheme="majorBidi"/>
          <w:sz w:val="24"/>
          <w:szCs w:val="24"/>
        </w:rPr>
        <w:t>P. aeruginosa). Men are susceptible to Enterococcus species and gram-negative bacilli.</w:t>
      </w:r>
      <w:r w:rsidR="003E3EF1">
        <w:rPr>
          <w:rFonts w:asciiTheme="majorBidi" w:eastAsia="Times New Roman" w:hAnsiTheme="majorBidi" w:cstheme="majorBidi"/>
          <w:sz w:val="24"/>
          <w:szCs w:val="24"/>
          <w:vertAlign w:val="superscript"/>
        </w:rPr>
        <w:t>3</w:t>
      </w:r>
    </w:p>
    <w:p w14:paraId="06D41FA6" w14:textId="77777777" w:rsidR="00D7472E" w:rsidRPr="00831EFA" w:rsidRDefault="00D7472E" w:rsidP="00D7472E">
      <w:pPr>
        <w:bidi w:val="0"/>
        <w:spacing w:after="160" w:line="240" w:lineRule="auto"/>
        <w:jc w:val="both"/>
        <w:rPr>
          <w:rFonts w:asciiTheme="majorBidi" w:eastAsia="Times New Roman" w:hAnsiTheme="majorBidi" w:cstheme="majorBidi"/>
          <w:sz w:val="24"/>
          <w:szCs w:val="24"/>
        </w:rPr>
      </w:pPr>
      <w:r w:rsidRPr="00831EFA">
        <w:rPr>
          <w:rFonts w:asciiTheme="majorBidi" w:eastAsia="Times New Roman" w:hAnsiTheme="majorBidi" w:cstheme="majorBidi"/>
          <w:sz w:val="24"/>
          <w:szCs w:val="24"/>
        </w:rPr>
        <w:t>In clinical practice, asymptomatic bacteriuria is fairly prevalent. While asymptomatic bacteriuria is uncommon in newborns and toddlers, it becomes more common as they become older. In women and men aged 65 to 80 years, the incidence can be as high as 15% or more, and it can be as high as 40% to 50% beyond that</w:t>
      </w:r>
      <w:bookmarkEnd w:id="3"/>
      <w:r w:rsidRPr="00831EFA">
        <w:rPr>
          <w:rFonts w:asciiTheme="majorBidi" w:eastAsia="Times New Roman" w:hAnsiTheme="majorBidi" w:cstheme="majorBidi"/>
          <w:sz w:val="24"/>
          <w:szCs w:val="24"/>
        </w:rPr>
        <w:t xml:space="preserve"> . The majority of people with asymptomatic bacteriuria will never acquire symptomatic urinary tract infections, and asymptomatic bacteriuria will have no negative repercussions.</w:t>
      </w:r>
    </w:p>
    <w:p w14:paraId="6AC02137" w14:textId="5767DBBA" w:rsidR="00D7472E" w:rsidRPr="003E3EF1" w:rsidRDefault="00D7472E" w:rsidP="00D7472E">
      <w:pPr>
        <w:bidi w:val="0"/>
        <w:spacing w:after="160" w:line="240" w:lineRule="auto"/>
        <w:jc w:val="both"/>
        <w:rPr>
          <w:rFonts w:asciiTheme="majorBidi" w:eastAsia="Times New Roman" w:hAnsiTheme="majorBidi" w:cstheme="majorBidi"/>
          <w:sz w:val="24"/>
          <w:szCs w:val="24"/>
          <w:vertAlign w:val="superscript"/>
        </w:rPr>
      </w:pPr>
      <w:r w:rsidRPr="00831EFA">
        <w:rPr>
          <w:rFonts w:asciiTheme="majorBidi" w:eastAsia="Times New Roman" w:hAnsiTheme="majorBidi" w:cstheme="majorBidi"/>
          <w:sz w:val="24"/>
          <w:szCs w:val="24"/>
        </w:rPr>
        <w:t>ASB affects fewer than 1% of full-term babies and 3% of preterm babies. Because these young children may have minimal signs and symptoms in the face of an infection, detecting bacteriuria in these otherwise asymptomatic children is critical, as ASB may be a signal of underlying genitourinary illness. Given these concerns, these children should be treated with antibiotics and scanned to rule out any congenital problems that might be causing bacterial colonization. ASB affects 0.8 percent of preschool girls and a far smaller percentage of preschool boys.</w:t>
      </w:r>
      <w:r w:rsidR="003E3EF1">
        <w:rPr>
          <w:rFonts w:asciiTheme="majorBidi" w:eastAsia="Times New Roman" w:hAnsiTheme="majorBidi" w:cstheme="majorBidi"/>
          <w:sz w:val="24"/>
          <w:szCs w:val="24"/>
          <w:vertAlign w:val="superscript"/>
        </w:rPr>
        <w:t>2</w:t>
      </w:r>
    </w:p>
    <w:p w14:paraId="3C9C81CF" w14:textId="77777777" w:rsidR="00D7472E" w:rsidRPr="00831EFA" w:rsidRDefault="00D7472E" w:rsidP="00D7472E">
      <w:pPr>
        <w:bidi w:val="0"/>
        <w:spacing w:after="160" w:line="240" w:lineRule="auto"/>
        <w:jc w:val="both"/>
        <w:rPr>
          <w:rFonts w:asciiTheme="majorBidi" w:eastAsia="Times New Roman" w:hAnsiTheme="majorBidi" w:cstheme="majorBidi"/>
          <w:sz w:val="24"/>
          <w:szCs w:val="24"/>
        </w:rPr>
      </w:pPr>
      <w:r w:rsidRPr="00831EFA">
        <w:rPr>
          <w:rFonts w:asciiTheme="majorBidi" w:eastAsia="Times New Roman" w:hAnsiTheme="majorBidi" w:cstheme="majorBidi"/>
          <w:sz w:val="24"/>
          <w:szCs w:val="24"/>
        </w:rPr>
        <w:t>Antibiotics are not needed to remove germs in children in this age group who do not have genitourinary abnormalities since they do not appear to be at risk for recurring symptomatic infections, renal injury, or reduced renal development.</w:t>
      </w:r>
    </w:p>
    <w:p w14:paraId="5B2CB272" w14:textId="77777777" w:rsidR="00D7472E" w:rsidRPr="00831EFA" w:rsidRDefault="00D7472E" w:rsidP="00D7472E">
      <w:pPr>
        <w:bidi w:val="0"/>
        <w:spacing w:after="160" w:line="240" w:lineRule="auto"/>
        <w:jc w:val="both"/>
        <w:rPr>
          <w:rFonts w:asciiTheme="majorBidi" w:eastAsia="Times New Roman" w:hAnsiTheme="majorBidi" w:cstheme="majorBidi"/>
          <w:sz w:val="24"/>
          <w:szCs w:val="24"/>
        </w:rPr>
      </w:pPr>
      <w:r w:rsidRPr="00831EFA">
        <w:rPr>
          <w:rFonts w:asciiTheme="majorBidi" w:eastAsia="Times New Roman" w:hAnsiTheme="majorBidi" w:cstheme="majorBidi"/>
          <w:sz w:val="24"/>
          <w:szCs w:val="24"/>
        </w:rPr>
        <w:t>The annual incidence of ASB in school-aged girls ranges from 1% to 2%, with around 5% of all school-aged girls experiencing it.</w:t>
      </w:r>
    </w:p>
    <w:p w14:paraId="0F36C95D" w14:textId="466545B6" w:rsidR="006E2B47" w:rsidRPr="003E3EF1" w:rsidRDefault="00D7472E" w:rsidP="00D7472E">
      <w:pPr>
        <w:bidi w:val="0"/>
        <w:spacing w:after="160" w:line="240" w:lineRule="auto"/>
        <w:jc w:val="both"/>
        <w:rPr>
          <w:rFonts w:asciiTheme="majorBidi" w:eastAsia="Times New Roman" w:hAnsiTheme="majorBidi" w:cstheme="majorBidi"/>
          <w:sz w:val="24"/>
          <w:szCs w:val="24"/>
          <w:vertAlign w:val="superscript"/>
        </w:rPr>
      </w:pPr>
      <w:r w:rsidRPr="00831EFA">
        <w:rPr>
          <w:rFonts w:asciiTheme="majorBidi" w:eastAsia="Times New Roman" w:hAnsiTheme="majorBidi" w:cstheme="majorBidi"/>
          <w:sz w:val="24"/>
          <w:szCs w:val="24"/>
        </w:rPr>
        <w:t>Routine antibiotic therapy is not indicated in these individuals since it is unlikely to prevent further asymptomatic or symptomatic bacteriuria, and untreated individuals appear to be at minimal risk of having long-term consequences associated to the bacteriuria. In addition, frequent prophylactic medications may cause changes in their microbiome and increasing antibiotic resistance in these people.</w:t>
      </w:r>
      <w:r w:rsidR="003E3EF1">
        <w:rPr>
          <w:rFonts w:asciiTheme="majorBidi" w:eastAsia="Times New Roman" w:hAnsiTheme="majorBidi" w:cstheme="majorBidi"/>
          <w:sz w:val="24"/>
          <w:szCs w:val="24"/>
          <w:vertAlign w:val="superscript"/>
        </w:rPr>
        <w:t>1</w:t>
      </w:r>
    </w:p>
    <w:p w14:paraId="4E201F2A" w14:textId="77777777" w:rsidR="003E3EF1" w:rsidRDefault="00544AF0" w:rsidP="00831EFA">
      <w:pPr>
        <w:bidi w:val="0"/>
        <w:spacing w:after="160" w:line="300" w:lineRule="auto"/>
        <w:jc w:val="both"/>
        <w:rPr>
          <w:rFonts w:asciiTheme="majorBidi" w:hAnsiTheme="majorBidi" w:cstheme="majorBidi"/>
          <w:b/>
          <w:bCs/>
          <w:color w:val="000000"/>
          <w:sz w:val="32"/>
          <w:szCs w:val="32"/>
        </w:rPr>
      </w:pPr>
      <w:r w:rsidRPr="00831EFA">
        <w:rPr>
          <w:rFonts w:asciiTheme="majorBidi" w:hAnsiTheme="majorBidi" w:cstheme="majorBidi"/>
          <w:b/>
          <w:bCs/>
          <w:color w:val="000000"/>
          <w:sz w:val="28"/>
          <w:szCs w:val="28"/>
        </w:rPr>
        <w:t>C</w:t>
      </w:r>
      <w:r w:rsidR="00F06F5B" w:rsidRPr="00831EFA">
        <w:rPr>
          <w:rFonts w:asciiTheme="majorBidi" w:hAnsiTheme="majorBidi" w:cstheme="majorBidi"/>
          <w:b/>
          <w:bCs/>
          <w:color w:val="000000"/>
          <w:sz w:val="28"/>
          <w:szCs w:val="28"/>
        </w:rPr>
        <w:t>onclusion</w:t>
      </w:r>
      <w:r w:rsidR="00831EFA">
        <w:rPr>
          <w:rFonts w:asciiTheme="majorBidi" w:hAnsiTheme="majorBidi" w:cstheme="majorBidi"/>
          <w:b/>
          <w:bCs/>
          <w:color w:val="000000"/>
          <w:sz w:val="32"/>
          <w:szCs w:val="32"/>
        </w:rPr>
        <w:t xml:space="preserve"> </w:t>
      </w:r>
    </w:p>
    <w:p w14:paraId="1F27AB54" w14:textId="4158718A" w:rsidR="007B6FE6" w:rsidRPr="00831EFA" w:rsidRDefault="00D7472E" w:rsidP="003E3EF1">
      <w:pPr>
        <w:bidi w:val="0"/>
        <w:spacing w:after="160" w:line="300" w:lineRule="auto"/>
        <w:jc w:val="both"/>
        <w:rPr>
          <w:rFonts w:asciiTheme="majorBidi" w:hAnsiTheme="majorBidi" w:cstheme="majorBidi"/>
          <w:b/>
          <w:bCs/>
          <w:color w:val="000000"/>
          <w:sz w:val="32"/>
          <w:szCs w:val="32"/>
        </w:rPr>
      </w:pPr>
      <w:r w:rsidRPr="00831EFA">
        <w:rPr>
          <w:rFonts w:asciiTheme="majorBidi" w:hAnsiTheme="majorBidi" w:cstheme="majorBidi"/>
          <w:color w:val="000000"/>
          <w:sz w:val="24"/>
          <w:szCs w:val="24"/>
        </w:rPr>
        <w:t>In clinical practice, asymptomatic bacteriuria (bacteriuria without obvious symptoms) is fairly prevalent. While asymptomatic bacteriuria is uncommon in newborns and toddlers, it becomes more common as they become older. In women and men aged 65 to 80 years, the incidence can be as high as 15% or more, and it can be as high as 40% to 50% beyond that. Most people with asymptomatic bacteriuria will never acquire symptomatic urinary tract infections, and asymptomatic bacteriuria will have no negative repercussions. According to a study conducted among college students, there is a considerable amount of bacteria proliferation in urine cultures.</w:t>
      </w:r>
      <w:r w:rsidR="003E3EF1">
        <w:rPr>
          <w:rFonts w:asciiTheme="majorBidi" w:hAnsiTheme="majorBidi" w:cstheme="majorBidi"/>
          <w:color w:val="000000"/>
          <w:sz w:val="24"/>
          <w:szCs w:val="24"/>
          <w:vertAlign w:val="superscript"/>
        </w:rPr>
        <w:t>4</w:t>
      </w:r>
      <w:r w:rsidR="00CF05BB">
        <w:rPr>
          <w:rFonts w:asciiTheme="majorBidi" w:hAnsiTheme="majorBidi" w:cstheme="majorBidi"/>
          <w:color w:val="000000"/>
          <w:sz w:val="26"/>
          <w:szCs w:val="26"/>
        </w:rPr>
        <w:t xml:space="preserve">                            </w:t>
      </w:r>
    </w:p>
    <w:p w14:paraId="37FF53F3" w14:textId="194E8234" w:rsidR="00586E04" w:rsidRDefault="00586E04" w:rsidP="002011B3">
      <w:pPr>
        <w:autoSpaceDE w:val="0"/>
        <w:autoSpaceDN w:val="0"/>
        <w:bidi w:val="0"/>
        <w:adjustRightInd w:val="0"/>
        <w:spacing w:after="0" w:line="240" w:lineRule="auto"/>
        <w:jc w:val="both"/>
        <w:rPr>
          <w:rFonts w:asciiTheme="majorBidi" w:eastAsia="Times New Roman" w:hAnsiTheme="majorBidi" w:cstheme="majorBidi"/>
          <w:b/>
          <w:bCs/>
          <w:sz w:val="32"/>
          <w:szCs w:val="32"/>
        </w:rPr>
      </w:pPr>
      <w:r w:rsidRPr="00831EFA">
        <w:rPr>
          <w:rFonts w:asciiTheme="majorBidi" w:eastAsia="Times New Roman" w:hAnsiTheme="majorBidi" w:cstheme="majorBidi"/>
          <w:b/>
          <w:bCs/>
          <w:sz w:val="28"/>
          <w:szCs w:val="28"/>
        </w:rPr>
        <w:t>References</w:t>
      </w:r>
      <w:r w:rsidRPr="00AB7618">
        <w:rPr>
          <w:rFonts w:asciiTheme="majorBidi" w:eastAsia="Times New Roman" w:hAnsiTheme="majorBidi" w:cstheme="majorBidi"/>
          <w:b/>
          <w:bCs/>
          <w:sz w:val="32"/>
          <w:szCs w:val="32"/>
        </w:rPr>
        <w:t xml:space="preserve"> </w:t>
      </w:r>
    </w:p>
    <w:p w14:paraId="6401C973" w14:textId="77777777" w:rsidR="00831EFA" w:rsidRDefault="00831EFA" w:rsidP="00831EFA">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53C3713B" w14:textId="0BDBD6DA" w:rsidR="009877B7" w:rsidRPr="009877B7" w:rsidRDefault="009877B7" w:rsidP="00D23675">
      <w:pPr>
        <w:pStyle w:val="ListParagraph"/>
        <w:numPr>
          <w:ilvl w:val="0"/>
          <w:numId w:val="4"/>
        </w:numPr>
        <w:autoSpaceDE w:val="0"/>
        <w:autoSpaceDN w:val="0"/>
        <w:bidi w:val="0"/>
        <w:adjustRightInd w:val="0"/>
        <w:spacing w:after="0"/>
        <w:jc w:val="both"/>
        <w:rPr>
          <w:rFonts w:asciiTheme="majorBidi" w:hAnsiTheme="majorBidi" w:cstheme="majorBidi"/>
          <w:color w:val="000000"/>
          <w:sz w:val="24"/>
          <w:szCs w:val="24"/>
        </w:rPr>
      </w:pPr>
      <w:r w:rsidRPr="009877B7">
        <w:rPr>
          <w:rFonts w:asciiTheme="majorBidi" w:hAnsiTheme="majorBidi" w:cstheme="majorBidi"/>
          <w:color w:val="000000"/>
          <w:sz w:val="24"/>
          <w:szCs w:val="24"/>
        </w:rPr>
        <w:t>Colgan R, Nicolle LE, McGlone A, Hooton TM. Asymptomatic bacteriuria in adults. Am Fam Physician. 2006;74(6):985-990</w:t>
      </w:r>
      <w:r w:rsidRPr="009877B7">
        <w:rPr>
          <w:rFonts w:asciiTheme="majorBidi" w:hAnsiTheme="majorBidi" w:cs="Times New Roman"/>
          <w:color w:val="000000"/>
          <w:sz w:val="24"/>
          <w:szCs w:val="24"/>
          <w:rtl/>
        </w:rPr>
        <w:t xml:space="preserve">. </w:t>
      </w:r>
    </w:p>
    <w:p w14:paraId="0BCE2AB0" w14:textId="77777777" w:rsidR="009877B7" w:rsidRPr="009877B7" w:rsidRDefault="009877B7" w:rsidP="00D23675">
      <w:pPr>
        <w:pStyle w:val="ListParagraph"/>
        <w:autoSpaceDE w:val="0"/>
        <w:autoSpaceDN w:val="0"/>
        <w:bidi w:val="0"/>
        <w:adjustRightInd w:val="0"/>
        <w:spacing w:after="0"/>
        <w:jc w:val="both"/>
        <w:rPr>
          <w:rFonts w:asciiTheme="majorBidi" w:hAnsiTheme="majorBidi" w:cstheme="majorBidi"/>
          <w:color w:val="000000"/>
          <w:sz w:val="24"/>
          <w:szCs w:val="24"/>
        </w:rPr>
      </w:pPr>
    </w:p>
    <w:p w14:paraId="5A83C8CA" w14:textId="77777777" w:rsidR="009877B7" w:rsidRDefault="009877B7" w:rsidP="00D23675">
      <w:pPr>
        <w:pStyle w:val="ListParagraph"/>
        <w:numPr>
          <w:ilvl w:val="0"/>
          <w:numId w:val="4"/>
        </w:numPr>
        <w:autoSpaceDE w:val="0"/>
        <w:autoSpaceDN w:val="0"/>
        <w:bidi w:val="0"/>
        <w:adjustRightInd w:val="0"/>
        <w:spacing w:after="0"/>
        <w:jc w:val="both"/>
        <w:rPr>
          <w:rFonts w:asciiTheme="majorBidi" w:hAnsiTheme="majorBidi" w:cstheme="majorBidi"/>
          <w:color w:val="000000"/>
          <w:sz w:val="24"/>
          <w:szCs w:val="24"/>
        </w:rPr>
      </w:pPr>
      <w:r w:rsidRPr="009877B7">
        <w:rPr>
          <w:rFonts w:asciiTheme="majorBidi" w:hAnsiTheme="majorBidi" w:cstheme="majorBidi"/>
          <w:color w:val="000000"/>
          <w:sz w:val="24"/>
          <w:szCs w:val="24"/>
        </w:rPr>
        <w:t xml:space="preserve">Crader MF, </w:t>
      </w:r>
      <w:proofErr w:type="spellStart"/>
      <w:r w:rsidRPr="009877B7">
        <w:rPr>
          <w:rFonts w:asciiTheme="majorBidi" w:hAnsiTheme="majorBidi" w:cstheme="majorBidi"/>
          <w:color w:val="000000"/>
          <w:sz w:val="24"/>
          <w:szCs w:val="24"/>
        </w:rPr>
        <w:t>Kharsa</w:t>
      </w:r>
      <w:proofErr w:type="spellEnd"/>
      <w:r w:rsidRPr="009877B7">
        <w:rPr>
          <w:rFonts w:asciiTheme="majorBidi" w:hAnsiTheme="majorBidi" w:cstheme="majorBidi"/>
          <w:color w:val="000000"/>
          <w:sz w:val="24"/>
          <w:szCs w:val="24"/>
        </w:rPr>
        <w:t xml:space="preserve"> A, Leslie SW. Bacteriuria. In: </w:t>
      </w:r>
      <w:proofErr w:type="spellStart"/>
      <w:r w:rsidRPr="009877B7">
        <w:rPr>
          <w:rFonts w:asciiTheme="majorBidi" w:hAnsiTheme="majorBidi" w:cstheme="majorBidi"/>
          <w:color w:val="000000"/>
          <w:sz w:val="24"/>
          <w:szCs w:val="24"/>
        </w:rPr>
        <w:t>StatPearls</w:t>
      </w:r>
      <w:proofErr w:type="spellEnd"/>
      <w:r w:rsidRPr="009877B7">
        <w:rPr>
          <w:rFonts w:asciiTheme="majorBidi" w:hAnsiTheme="majorBidi" w:cstheme="majorBidi"/>
          <w:color w:val="000000"/>
          <w:sz w:val="24"/>
          <w:szCs w:val="24"/>
        </w:rPr>
        <w:t xml:space="preserve">. Treasure Island (FL): </w:t>
      </w:r>
      <w:proofErr w:type="spellStart"/>
      <w:r w:rsidRPr="009877B7">
        <w:rPr>
          <w:rFonts w:asciiTheme="majorBidi" w:hAnsiTheme="majorBidi" w:cstheme="majorBidi"/>
          <w:color w:val="000000"/>
          <w:sz w:val="24"/>
          <w:szCs w:val="24"/>
        </w:rPr>
        <w:t>StatPearls</w:t>
      </w:r>
      <w:proofErr w:type="spellEnd"/>
      <w:r w:rsidRPr="009877B7">
        <w:rPr>
          <w:rFonts w:asciiTheme="majorBidi" w:hAnsiTheme="majorBidi" w:cstheme="majorBidi"/>
          <w:color w:val="000000"/>
          <w:sz w:val="24"/>
          <w:szCs w:val="24"/>
        </w:rPr>
        <w:t xml:space="preserve"> Publishing; November 27, 2021</w:t>
      </w:r>
    </w:p>
    <w:p w14:paraId="0CBAD191" w14:textId="77777777" w:rsidR="009877B7" w:rsidRPr="009877B7" w:rsidRDefault="009877B7" w:rsidP="00D23675">
      <w:pPr>
        <w:pStyle w:val="ListParagraph"/>
        <w:jc w:val="both"/>
        <w:rPr>
          <w:rFonts w:asciiTheme="majorBidi" w:hAnsiTheme="majorBidi" w:cstheme="majorBidi"/>
          <w:color w:val="000000"/>
          <w:sz w:val="24"/>
          <w:szCs w:val="24"/>
        </w:rPr>
      </w:pPr>
    </w:p>
    <w:p w14:paraId="2D9F2C7F" w14:textId="77777777" w:rsidR="009877B7" w:rsidRDefault="009877B7" w:rsidP="00D23675">
      <w:pPr>
        <w:pStyle w:val="ListParagraph"/>
        <w:numPr>
          <w:ilvl w:val="0"/>
          <w:numId w:val="4"/>
        </w:numPr>
        <w:autoSpaceDE w:val="0"/>
        <w:autoSpaceDN w:val="0"/>
        <w:bidi w:val="0"/>
        <w:adjustRightInd w:val="0"/>
        <w:spacing w:after="0"/>
        <w:jc w:val="both"/>
        <w:rPr>
          <w:rFonts w:asciiTheme="majorBidi" w:hAnsiTheme="majorBidi" w:cstheme="majorBidi"/>
          <w:color w:val="000000"/>
          <w:sz w:val="24"/>
          <w:szCs w:val="24"/>
        </w:rPr>
      </w:pPr>
      <w:r w:rsidRPr="009877B7">
        <w:rPr>
          <w:rFonts w:asciiTheme="majorBidi" w:hAnsiTheme="majorBidi" w:cstheme="majorBidi"/>
          <w:color w:val="000000"/>
          <w:sz w:val="24"/>
          <w:szCs w:val="24"/>
        </w:rPr>
        <w:t xml:space="preserve">Rowe TA, </w:t>
      </w:r>
      <w:proofErr w:type="spellStart"/>
      <w:r w:rsidRPr="009877B7">
        <w:rPr>
          <w:rFonts w:asciiTheme="majorBidi" w:hAnsiTheme="majorBidi" w:cstheme="majorBidi"/>
          <w:color w:val="000000"/>
          <w:sz w:val="24"/>
          <w:szCs w:val="24"/>
        </w:rPr>
        <w:t>Juthani</w:t>
      </w:r>
      <w:proofErr w:type="spellEnd"/>
      <w:r w:rsidRPr="009877B7">
        <w:rPr>
          <w:rFonts w:asciiTheme="majorBidi" w:hAnsiTheme="majorBidi" w:cstheme="majorBidi"/>
          <w:color w:val="000000"/>
          <w:sz w:val="24"/>
          <w:szCs w:val="24"/>
        </w:rPr>
        <w:t>-Mehta M. Urinary tract infection in older adults. Aging health. 2013;9(5):10.2217/ahe.13.38. doi:10.2217/ahe.13.38</w:t>
      </w:r>
    </w:p>
    <w:p w14:paraId="4E7ACC98" w14:textId="77777777" w:rsidR="009877B7" w:rsidRPr="009877B7" w:rsidRDefault="009877B7" w:rsidP="00D23675">
      <w:pPr>
        <w:pStyle w:val="ListParagraph"/>
        <w:jc w:val="both"/>
        <w:rPr>
          <w:rFonts w:asciiTheme="majorBidi" w:hAnsiTheme="majorBidi" w:cstheme="majorBidi"/>
          <w:color w:val="000000"/>
          <w:sz w:val="24"/>
          <w:szCs w:val="24"/>
        </w:rPr>
      </w:pPr>
    </w:p>
    <w:p w14:paraId="75537F0D" w14:textId="5419B815" w:rsidR="009877B7" w:rsidRPr="00831EFA" w:rsidRDefault="009877B7" w:rsidP="00D23675">
      <w:pPr>
        <w:pStyle w:val="ListParagraph"/>
        <w:numPr>
          <w:ilvl w:val="0"/>
          <w:numId w:val="4"/>
        </w:numPr>
        <w:autoSpaceDE w:val="0"/>
        <w:autoSpaceDN w:val="0"/>
        <w:bidi w:val="0"/>
        <w:adjustRightInd w:val="0"/>
        <w:spacing w:after="0"/>
        <w:jc w:val="both"/>
        <w:rPr>
          <w:rFonts w:asciiTheme="majorBidi" w:hAnsiTheme="majorBidi" w:cstheme="majorBidi"/>
          <w:color w:val="000000"/>
          <w:sz w:val="24"/>
          <w:szCs w:val="24"/>
        </w:rPr>
      </w:pPr>
      <w:r w:rsidRPr="009877B7">
        <w:rPr>
          <w:rFonts w:asciiTheme="majorBidi" w:hAnsiTheme="majorBidi" w:cstheme="majorBidi"/>
          <w:color w:val="000000"/>
          <w:sz w:val="24"/>
          <w:szCs w:val="24"/>
        </w:rPr>
        <w:t>Schaeffer EM. Infection and Inflammation of the Genitourinary Tract. J Urol. 2021;205(2):610. doi:10.1097/JU.0000000000001498</w:t>
      </w:r>
    </w:p>
    <w:p w14:paraId="4AF1AFE7" w14:textId="77777777" w:rsidR="003E3EF1" w:rsidRDefault="003E3EF1" w:rsidP="003E3EF1">
      <w:pPr>
        <w:pStyle w:val="ListParagraph"/>
        <w:autoSpaceDE w:val="0"/>
        <w:autoSpaceDN w:val="0"/>
        <w:bidi w:val="0"/>
        <w:adjustRightInd w:val="0"/>
        <w:spacing w:after="0"/>
        <w:jc w:val="both"/>
        <w:rPr>
          <w:rFonts w:asciiTheme="majorBidi" w:hAnsiTheme="majorBidi" w:cstheme="majorBidi"/>
          <w:color w:val="000000"/>
          <w:sz w:val="24"/>
          <w:szCs w:val="24"/>
        </w:rPr>
      </w:pPr>
    </w:p>
    <w:p w14:paraId="4C5D0AD9" w14:textId="75C613C7" w:rsidR="009877B7" w:rsidRPr="009877B7" w:rsidRDefault="009877B7" w:rsidP="003E3EF1">
      <w:pPr>
        <w:pStyle w:val="ListParagraph"/>
        <w:numPr>
          <w:ilvl w:val="0"/>
          <w:numId w:val="4"/>
        </w:numPr>
        <w:autoSpaceDE w:val="0"/>
        <w:autoSpaceDN w:val="0"/>
        <w:bidi w:val="0"/>
        <w:adjustRightInd w:val="0"/>
        <w:spacing w:after="0"/>
        <w:jc w:val="both"/>
        <w:rPr>
          <w:rFonts w:asciiTheme="majorBidi" w:hAnsiTheme="majorBidi" w:cstheme="majorBidi"/>
          <w:color w:val="000000"/>
          <w:sz w:val="24"/>
          <w:szCs w:val="24"/>
        </w:rPr>
      </w:pPr>
      <w:r w:rsidRPr="009877B7">
        <w:rPr>
          <w:rFonts w:asciiTheme="majorBidi" w:hAnsiTheme="majorBidi" w:cstheme="majorBidi"/>
          <w:color w:val="000000"/>
          <w:sz w:val="24"/>
          <w:szCs w:val="24"/>
        </w:rPr>
        <w:t xml:space="preserve">Bono MJ, </w:t>
      </w:r>
      <w:proofErr w:type="spellStart"/>
      <w:r w:rsidRPr="009877B7">
        <w:rPr>
          <w:rFonts w:asciiTheme="majorBidi" w:hAnsiTheme="majorBidi" w:cstheme="majorBidi"/>
          <w:color w:val="000000"/>
          <w:sz w:val="24"/>
          <w:szCs w:val="24"/>
        </w:rPr>
        <w:t>Reygaert</w:t>
      </w:r>
      <w:proofErr w:type="spellEnd"/>
      <w:r w:rsidRPr="009877B7">
        <w:rPr>
          <w:rFonts w:asciiTheme="majorBidi" w:hAnsiTheme="majorBidi" w:cstheme="majorBidi"/>
          <w:color w:val="000000"/>
          <w:sz w:val="24"/>
          <w:szCs w:val="24"/>
        </w:rPr>
        <w:t xml:space="preserve"> WC. Urinary Tract Infection. In: </w:t>
      </w:r>
      <w:proofErr w:type="spellStart"/>
      <w:r w:rsidRPr="009877B7">
        <w:rPr>
          <w:rFonts w:asciiTheme="majorBidi" w:hAnsiTheme="majorBidi" w:cstheme="majorBidi"/>
          <w:color w:val="000000"/>
          <w:sz w:val="24"/>
          <w:szCs w:val="24"/>
        </w:rPr>
        <w:t>StatPearls</w:t>
      </w:r>
      <w:proofErr w:type="spellEnd"/>
      <w:r w:rsidRPr="009877B7">
        <w:rPr>
          <w:rFonts w:asciiTheme="majorBidi" w:hAnsiTheme="majorBidi" w:cstheme="majorBidi"/>
          <w:color w:val="000000"/>
          <w:sz w:val="24"/>
          <w:szCs w:val="24"/>
        </w:rPr>
        <w:t xml:space="preserve">. Treasure Island (FL): </w:t>
      </w:r>
      <w:proofErr w:type="spellStart"/>
      <w:r w:rsidRPr="009877B7">
        <w:rPr>
          <w:rFonts w:asciiTheme="majorBidi" w:hAnsiTheme="majorBidi" w:cstheme="majorBidi"/>
          <w:color w:val="000000"/>
          <w:sz w:val="24"/>
          <w:szCs w:val="24"/>
        </w:rPr>
        <w:t>StatPearls</w:t>
      </w:r>
      <w:proofErr w:type="spellEnd"/>
      <w:r w:rsidRPr="009877B7">
        <w:rPr>
          <w:rFonts w:asciiTheme="majorBidi" w:hAnsiTheme="majorBidi" w:cstheme="majorBidi"/>
          <w:color w:val="000000"/>
          <w:sz w:val="24"/>
          <w:szCs w:val="24"/>
        </w:rPr>
        <w:t xml:space="preserve"> Publishing; June 23, 2021.</w:t>
      </w:r>
    </w:p>
    <w:p w14:paraId="3661A25E" w14:textId="77777777" w:rsidR="00AB7618" w:rsidRPr="00AB7618" w:rsidRDefault="00AB7618" w:rsidP="00AB7618">
      <w:pPr>
        <w:autoSpaceDE w:val="0"/>
        <w:autoSpaceDN w:val="0"/>
        <w:bidi w:val="0"/>
        <w:adjustRightInd w:val="0"/>
        <w:spacing w:after="0" w:line="240" w:lineRule="auto"/>
        <w:jc w:val="both"/>
        <w:rPr>
          <w:rFonts w:asciiTheme="majorBidi" w:hAnsiTheme="majorBidi" w:cstheme="majorBidi"/>
          <w:color w:val="000000"/>
          <w:sz w:val="24"/>
          <w:szCs w:val="24"/>
        </w:rPr>
      </w:pPr>
    </w:p>
    <w:bookmarkEnd w:id="0"/>
    <w:p w14:paraId="2BE79F7D" w14:textId="225AD661" w:rsidR="00900DD5" w:rsidRDefault="00900DD5" w:rsidP="00900DD5">
      <w:pPr>
        <w:pStyle w:val="ListParagraph"/>
        <w:bidi w:val="0"/>
        <w:spacing w:after="160" w:line="300" w:lineRule="auto"/>
        <w:jc w:val="both"/>
        <w:rPr>
          <w:rFonts w:asciiTheme="majorBidi" w:hAnsiTheme="majorBidi" w:cstheme="majorBidi"/>
          <w:sz w:val="26"/>
          <w:szCs w:val="26"/>
        </w:rPr>
      </w:pPr>
      <w:r>
        <w:rPr>
          <w:rFonts w:asciiTheme="majorBidi" w:hAnsiTheme="majorBidi" w:cstheme="majorBidi"/>
          <w:sz w:val="26"/>
          <w:szCs w:val="26"/>
        </w:rPr>
        <w:t xml:space="preserve">                       </w:t>
      </w:r>
    </w:p>
    <w:p w14:paraId="11DF097A" w14:textId="75B53AE1" w:rsidR="00900DD5" w:rsidRDefault="00900DD5" w:rsidP="00900DD5">
      <w:pPr>
        <w:pStyle w:val="ListParagraph"/>
        <w:bidi w:val="0"/>
        <w:spacing w:after="160" w:line="300" w:lineRule="auto"/>
        <w:jc w:val="both"/>
        <w:rPr>
          <w:rFonts w:asciiTheme="majorBidi" w:hAnsiTheme="majorBidi" w:cstheme="majorBidi"/>
          <w:sz w:val="26"/>
          <w:szCs w:val="26"/>
        </w:rPr>
      </w:pPr>
      <w:r>
        <w:rPr>
          <w:rFonts w:asciiTheme="majorBidi" w:hAnsiTheme="majorBidi" w:cstheme="majorBidi"/>
          <w:sz w:val="26"/>
          <w:szCs w:val="26"/>
        </w:rPr>
        <w:t xml:space="preserve">                                     </w:t>
      </w:r>
    </w:p>
    <w:p w14:paraId="44A0BA5B" w14:textId="4159B38F" w:rsidR="00900DD5" w:rsidRDefault="00900DD5" w:rsidP="00900DD5">
      <w:pPr>
        <w:bidi w:val="0"/>
        <w:spacing w:after="160" w:line="300" w:lineRule="auto"/>
        <w:jc w:val="both"/>
        <w:rPr>
          <w:rFonts w:asciiTheme="majorBidi" w:hAnsiTheme="majorBidi" w:cstheme="majorBidi"/>
          <w:sz w:val="26"/>
          <w:szCs w:val="26"/>
        </w:rPr>
      </w:pPr>
    </w:p>
    <w:p w14:paraId="294A5D53" w14:textId="24EB13F8" w:rsidR="00900DD5" w:rsidRDefault="00900DD5" w:rsidP="00900DD5">
      <w:pPr>
        <w:bidi w:val="0"/>
        <w:spacing w:after="160" w:line="300" w:lineRule="auto"/>
        <w:jc w:val="both"/>
        <w:rPr>
          <w:rFonts w:asciiTheme="majorBidi" w:hAnsiTheme="majorBidi" w:cstheme="majorBidi"/>
          <w:sz w:val="26"/>
          <w:szCs w:val="26"/>
        </w:rPr>
      </w:pPr>
    </w:p>
    <w:p w14:paraId="6FD51D32" w14:textId="1ED96029" w:rsidR="00900DD5" w:rsidRDefault="00900DD5" w:rsidP="00900DD5">
      <w:pPr>
        <w:bidi w:val="0"/>
        <w:spacing w:after="160" w:line="300" w:lineRule="auto"/>
        <w:jc w:val="both"/>
        <w:rPr>
          <w:rFonts w:asciiTheme="majorBidi" w:hAnsiTheme="majorBidi" w:cstheme="majorBidi"/>
          <w:sz w:val="26"/>
          <w:szCs w:val="26"/>
        </w:rPr>
      </w:pPr>
    </w:p>
    <w:p w14:paraId="22B61E9A" w14:textId="77777777" w:rsidR="00EE3A31" w:rsidRDefault="00EE3A31" w:rsidP="00EE3A31">
      <w:pPr>
        <w:bidi w:val="0"/>
        <w:spacing w:after="160" w:line="300" w:lineRule="auto"/>
        <w:jc w:val="both"/>
        <w:rPr>
          <w:rFonts w:asciiTheme="majorBidi" w:hAnsiTheme="majorBidi" w:cstheme="majorBidi"/>
          <w:sz w:val="26"/>
          <w:szCs w:val="26"/>
        </w:rPr>
      </w:pPr>
    </w:p>
    <w:p w14:paraId="40C477F0" w14:textId="4C3A050F" w:rsidR="00900DD5" w:rsidRDefault="00900DD5" w:rsidP="00900DD5">
      <w:pPr>
        <w:bidi w:val="0"/>
        <w:spacing w:after="160" w:line="300" w:lineRule="auto"/>
        <w:jc w:val="both"/>
        <w:rPr>
          <w:rFonts w:asciiTheme="majorBidi" w:hAnsiTheme="majorBidi" w:cstheme="majorBidi"/>
          <w:sz w:val="26"/>
          <w:szCs w:val="26"/>
        </w:rPr>
      </w:pPr>
    </w:p>
    <w:p w14:paraId="4E639051" w14:textId="5CA450DC" w:rsidR="00D948E2" w:rsidRDefault="00D948E2" w:rsidP="00AB7618">
      <w:pPr>
        <w:spacing w:after="160" w:line="300" w:lineRule="auto"/>
        <w:rPr>
          <w:rFonts w:ascii="Calibri" w:eastAsia="Times New Roman" w:hAnsi="Calibri" w:cs="Arial"/>
          <w:b/>
          <w:bCs/>
          <w:sz w:val="24"/>
          <w:szCs w:val="24"/>
          <w:rtl/>
        </w:rPr>
      </w:pPr>
    </w:p>
    <w:p w14:paraId="26BEF52B" w14:textId="5773F459" w:rsidR="00D948E2" w:rsidRPr="00586E04" w:rsidRDefault="00900DD5" w:rsidP="00D948E2">
      <w:pPr>
        <w:spacing w:after="160" w:line="300" w:lineRule="auto"/>
        <w:jc w:val="right"/>
        <w:rPr>
          <w:sz w:val="36"/>
          <w:szCs w:val="36"/>
          <w:rtl/>
        </w:rPr>
      </w:pPr>
      <w:r>
        <w:rPr>
          <w:rFonts w:hint="cs"/>
          <w:sz w:val="36"/>
          <w:szCs w:val="36"/>
          <w:rtl/>
        </w:rPr>
        <w:t xml:space="preserve">       </w:t>
      </w:r>
    </w:p>
    <w:sectPr w:rsidR="00D948E2" w:rsidRPr="00586E04" w:rsidSect="00CF676B">
      <w:footerReference w:type="default" r:id="rId11"/>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3701DE" w14:textId="77777777" w:rsidR="00564905" w:rsidRDefault="00564905" w:rsidP="00DA7D3B">
      <w:pPr>
        <w:spacing w:after="0" w:line="240" w:lineRule="auto"/>
      </w:pPr>
      <w:r>
        <w:separator/>
      </w:r>
    </w:p>
  </w:endnote>
  <w:endnote w:type="continuationSeparator" w:id="0">
    <w:p w14:paraId="1DC00D6A" w14:textId="77777777" w:rsidR="00564905" w:rsidRDefault="00564905"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5760942"/>
      <w:docPartObj>
        <w:docPartGallery w:val="Page Numbers (Bottom of Page)"/>
        <w:docPartUnique/>
      </w:docPartObj>
    </w:sdtPr>
    <w:sdtEndPr>
      <w:rPr>
        <w:noProof/>
      </w:rPr>
    </w:sdtEndPr>
    <w:sdtContent>
      <w:p w14:paraId="5B3DA21A" w14:textId="6FFDE63F" w:rsidR="00A36748" w:rsidRDefault="00A36748">
        <w:pPr>
          <w:pStyle w:val="Footer"/>
          <w:jc w:val="center"/>
        </w:pPr>
        <w:r>
          <w:fldChar w:fldCharType="begin"/>
        </w:r>
        <w:r>
          <w:instrText xml:space="preserve"> PAGE   \* MERGEFORMAT </w:instrText>
        </w:r>
        <w:r>
          <w:fldChar w:fldCharType="separate"/>
        </w:r>
        <w:r w:rsidR="00E12232">
          <w:rPr>
            <w:noProof/>
            <w:rtl/>
          </w:rPr>
          <w:t>6</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4CA1B2" w14:textId="77777777" w:rsidR="00564905" w:rsidRDefault="00564905" w:rsidP="00DA7D3B">
      <w:pPr>
        <w:spacing w:after="0" w:line="240" w:lineRule="auto"/>
      </w:pPr>
      <w:r>
        <w:separator/>
      </w:r>
    </w:p>
  </w:footnote>
  <w:footnote w:type="continuationSeparator" w:id="0">
    <w:p w14:paraId="065A0EC2" w14:textId="77777777" w:rsidR="00564905" w:rsidRDefault="00564905" w:rsidP="00DA7D3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524098"/>
    <w:multiLevelType w:val="hybridMultilevel"/>
    <w:tmpl w:val="A4B07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5A96159"/>
    <w:multiLevelType w:val="hybridMultilevel"/>
    <w:tmpl w:val="A4FCD8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28285848">
    <w:abstractNumId w:val="2"/>
  </w:num>
  <w:num w:numId="2" w16cid:durableId="760417801">
    <w:abstractNumId w:val="0"/>
  </w:num>
  <w:num w:numId="3" w16cid:durableId="859901133">
    <w:abstractNumId w:val="1"/>
  </w:num>
  <w:num w:numId="4" w16cid:durableId="14627655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4D68"/>
    <w:rsid w:val="00001D82"/>
    <w:rsid w:val="00006B35"/>
    <w:rsid w:val="00006FB3"/>
    <w:rsid w:val="00011833"/>
    <w:rsid w:val="00012EBA"/>
    <w:rsid w:val="000513F2"/>
    <w:rsid w:val="00052C76"/>
    <w:rsid w:val="00072EE6"/>
    <w:rsid w:val="0007424A"/>
    <w:rsid w:val="00077828"/>
    <w:rsid w:val="0008361D"/>
    <w:rsid w:val="000A146C"/>
    <w:rsid w:val="000A46D4"/>
    <w:rsid w:val="00107145"/>
    <w:rsid w:val="00140BCA"/>
    <w:rsid w:val="001468FF"/>
    <w:rsid w:val="001775B1"/>
    <w:rsid w:val="002011B3"/>
    <w:rsid w:val="002049C9"/>
    <w:rsid w:val="00222E8F"/>
    <w:rsid w:val="00263943"/>
    <w:rsid w:val="002809F9"/>
    <w:rsid w:val="00290BE8"/>
    <w:rsid w:val="002A5051"/>
    <w:rsid w:val="002B50E4"/>
    <w:rsid w:val="002C6CE6"/>
    <w:rsid w:val="002E7997"/>
    <w:rsid w:val="00334867"/>
    <w:rsid w:val="0033724B"/>
    <w:rsid w:val="00345320"/>
    <w:rsid w:val="00371381"/>
    <w:rsid w:val="00373D8B"/>
    <w:rsid w:val="003A0284"/>
    <w:rsid w:val="003D6369"/>
    <w:rsid w:val="003E3EF1"/>
    <w:rsid w:val="00402188"/>
    <w:rsid w:val="004120F0"/>
    <w:rsid w:val="00452ACC"/>
    <w:rsid w:val="00453609"/>
    <w:rsid w:val="00456C46"/>
    <w:rsid w:val="00471C6D"/>
    <w:rsid w:val="004740EE"/>
    <w:rsid w:val="00475CA0"/>
    <w:rsid w:val="004E3026"/>
    <w:rsid w:val="00507165"/>
    <w:rsid w:val="00511C9F"/>
    <w:rsid w:val="00541579"/>
    <w:rsid w:val="00544AF0"/>
    <w:rsid w:val="00564905"/>
    <w:rsid w:val="00565962"/>
    <w:rsid w:val="00572928"/>
    <w:rsid w:val="00586E04"/>
    <w:rsid w:val="00593811"/>
    <w:rsid w:val="005B49F9"/>
    <w:rsid w:val="005D4AE9"/>
    <w:rsid w:val="005E168B"/>
    <w:rsid w:val="00612B5B"/>
    <w:rsid w:val="00616B95"/>
    <w:rsid w:val="00643C91"/>
    <w:rsid w:val="006972BA"/>
    <w:rsid w:val="006E2B47"/>
    <w:rsid w:val="006F512A"/>
    <w:rsid w:val="006F666D"/>
    <w:rsid w:val="00707EFD"/>
    <w:rsid w:val="00726D65"/>
    <w:rsid w:val="007506CF"/>
    <w:rsid w:val="007B1AC8"/>
    <w:rsid w:val="007B6FE6"/>
    <w:rsid w:val="007E1D7A"/>
    <w:rsid w:val="00831EFA"/>
    <w:rsid w:val="00837D2A"/>
    <w:rsid w:val="008716FF"/>
    <w:rsid w:val="00883081"/>
    <w:rsid w:val="00895DAE"/>
    <w:rsid w:val="008A367D"/>
    <w:rsid w:val="008B3E7F"/>
    <w:rsid w:val="008F0C3E"/>
    <w:rsid w:val="00900BE8"/>
    <w:rsid w:val="00900DD5"/>
    <w:rsid w:val="00942CA7"/>
    <w:rsid w:val="009550AB"/>
    <w:rsid w:val="00967B92"/>
    <w:rsid w:val="00980F57"/>
    <w:rsid w:val="009877B7"/>
    <w:rsid w:val="009D6079"/>
    <w:rsid w:val="009D6978"/>
    <w:rsid w:val="009D7980"/>
    <w:rsid w:val="009F4384"/>
    <w:rsid w:val="00A36748"/>
    <w:rsid w:val="00A837F0"/>
    <w:rsid w:val="00A90D25"/>
    <w:rsid w:val="00A95905"/>
    <w:rsid w:val="00AA6CB1"/>
    <w:rsid w:val="00AB1482"/>
    <w:rsid w:val="00AB7618"/>
    <w:rsid w:val="00B1091A"/>
    <w:rsid w:val="00B40766"/>
    <w:rsid w:val="00B70696"/>
    <w:rsid w:val="00BB3EEF"/>
    <w:rsid w:val="00BB49CF"/>
    <w:rsid w:val="00BB7E4E"/>
    <w:rsid w:val="00BD5295"/>
    <w:rsid w:val="00C22563"/>
    <w:rsid w:val="00C42DF3"/>
    <w:rsid w:val="00C47CAB"/>
    <w:rsid w:val="00CA0B1A"/>
    <w:rsid w:val="00CB1A65"/>
    <w:rsid w:val="00CD0139"/>
    <w:rsid w:val="00CF05BB"/>
    <w:rsid w:val="00CF676B"/>
    <w:rsid w:val="00CF74C6"/>
    <w:rsid w:val="00D00C93"/>
    <w:rsid w:val="00D23675"/>
    <w:rsid w:val="00D3353C"/>
    <w:rsid w:val="00D7472E"/>
    <w:rsid w:val="00D81679"/>
    <w:rsid w:val="00D948E2"/>
    <w:rsid w:val="00DA7D3B"/>
    <w:rsid w:val="00DB39A2"/>
    <w:rsid w:val="00DC39EB"/>
    <w:rsid w:val="00DD0029"/>
    <w:rsid w:val="00E04E08"/>
    <w:rsid w:val="00E12232"/>
    <w:rsid w:val="00E14D68"/>
    <w:rsid w:val="00E3377B"/>
    <w:rsid w:val="00E476E1"/>
    <w:rsid w:val="00E8259C"/>
    <w:rsid w:val="00EA0356"/>
    <w:rsid w:val="00EA31BC"/>
    <w:rsid w:val="00EA6D58"/>
    <w:rsid w:val="00EB2C04"/>
    <w:rsid w:val="00EE3A31"/>
    <w:rsid w:val="00EF601F"/>
    <w:rsid w:val="00F06F5B"/>
    <w:rsid w:val="00F23CBD"/>
    <w:rsid w:val="00F32E45"/>
    <w:rsid w:val="00F54DCB"/>
    <w:rsid w:val="00FA7776"/>
    <w:rsid w:val="00FB2AD8"/>
    <w:rsid w:val="00FF48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15:chartTrackingRefBased/>
  <w15:docId w15:val="{32362B15-C4CD-4AE4-9D9F-636B9E2F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2EBA"/>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14D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14D68"/>
    <w:rPr>
      <w:rFonts w:ascii="Segoe UI" w:hAnsi="Segoe UI" w:cs="Segoe UI"/>
      <w:sz w:val="18"/>
      <w:szCs w:val="18"/>
    </w:rPr>
  </w:style>
  <w:style w:type="character" w:styleId="Hyperlink">
    <w:name w:val="Hyperlink"/>
    <w:basedOn w:val="DefaultParagraphFont"/>
    <w:uiPriority w:val="99"/>
    <w:semiHidden/>
    <w:unhideWhenUsed/>
    <w:rsid w:val="005E168B"/>
    <w:rPr>
      <w:color w:val="0000FF"/>
      <w:u w:val="single"/>
    </w:rPr>
  </w:style>
  <w:style w:type="paragraph" w:styleId="Header">
    <w:name w:val="header"/>
    <w:basedOn w:val="Normal"/>
    <w:link w:val="HeaderChar"/>
    <w:uiPriority w:val="99"/>
    <w:unhideWhenUsed/>
    <w:rsid w:val="00DA7D3B"/>
    <w:pPr>
      <w:tabs>
        <w:tab w:val="center" w:pos="4153"/>
        <w:tab w:val="right" w:pos="8306"/>
      </w:tabs>
      <w:spacing w:after="0" w:line="240" w:lineRule="auto"/>
    </w:pPr>
  </w:style>
  <w:style w:type="character" w:customStyle="1" w:styleId="HeaderChar">
    <w:name w:val="Header Char"/>
    <w:basedOn w:val="DefaultParagraphFont"/>
    <w:link w:val="Header"/>
    <w:uiPriority w:val="99"/>
    <w:rsid w:val="00DA7D3B"/>
  </w:style>
  <w:style w:type="paragraph" w:styleId="Footer">
    <w:name w:val="footer"/>
    <w:basedOn w:val="Normal"/>
    <w:link w:val="FooterChar"/>
    <w:uiPriority w:val="99"/>
    <w:unhideWhenUsed/>
    <w:rsid w:val="00DA7D3B"/>
    <w:pPr>
      <w:tabs>
        <w:tab w:val="center" w:pos="4153"/>
        <w:tab w:val="right" w:pos="8306"/>
      </w:tabs>
      <w:spacing w:after="0" w:line="240" w:lineRule="auto"/>
    </w:pPr>
  </w:style>
  <w:style w:type="character" w:customStyle="1" w:styleId="FooterChar">
    <w:name w:val="Footer Char"/>
    <w:basedOn w:val="DefaultParagraphFont"/>
    <w:link w:val="Footer"/>
    <w:uiPriority w:val="99"/>
    <w:rsid w:val="00DA7D3B"/>
  </w:style>
  <w:style w:type="character" w:customStyle="1" w:styleId="ref-journal">
    <w:name w:val="ref-journal"/>
    <w:basedOn w:val="DefaultParagraphFont"/>
    <w:rsid w:val="00371381"/>
  </w:style>
  <w:style w:type="character" w:styleId="Emphasis">
    <w:name w:val="Emphasis"/>
    <w:basedOn w:val="DefaultParagraphFont"/>
    <w:uiPriority w:val="20"/>
    <w:qFormat/>
    <w:rsid w:val="00371381"/>
    <w:rPr>
      <w:i/>
      <w:iCs/>
    </w:rPr>
  </w:style>
  <w:style w:type="character" w:customStyle="1" w:styleId="ref-vol">
    <w:name w:val="ref-vol"/>
    <w:basedOn w:val="DefaultParagraphFont"/>
    <w:rsid w:val="00371381"/>
  </w:style>
  <w:style w:type="paragraph" w:styleId="ListParagraph">
    <w:name w:val="List Paragraph"/>
    <w:basedOn w:val="Normal"/>
    <w:uiPriority w:val="34"/>
    <w:qFormat/>
    <w:rsid w:val="00371381"/>
    <w:pPr>
      <w:ind w:left="720"/>
      <w:contextualSpacing/>
    </w:pPr>
  </w:style>
  <w:style w:type="character" w:customStyle="1" w:styleId="ref-title">
    <w:name w:val="ref-title"/>
    <w:basedOn w:val="DefaultParagraphFont"/>
    <w:rsid w:val="00371381"/>
  </w:style>
  <w:style w:type="character" w:customStyle="1" w:styleId="element-citation">
    <w:name w:val="element-citation"/>
    <w:basedOn w:val="DefaultParagraphFont"/>
    <w:rsid w:val="00EA6D58"/>
  </w:style>
  <w:style w:type="character" w:customStyle="1" w:styleId="nowrap">
    <w:name w:val="nowrap"/>
    <w:basedOn w:val="DefaultParagraphFont"/>
    <w:rsid w:val="00EA6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7C24B3-29BE-44EB-875B-9A3D4EC09F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6</Pages>
  <Words>1280</Words>
  <Characters>7299</Characters>
  <Application>Microsoft Office Word</Application>
  <DocSecurity>0</DocSecurity>
  <Lines>60</Lines>
  <Paragraphs>17</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8562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Aisha S.</cp:lastModifiedBy>
  <cp:revision>5</cp:revision>
  <cp:lastPrinted>2019-03-09T11:37:00Z</cp:lastPrinted>
  <dcterms:created xsi:type="dcterms:W3CDTF">2022-06-20T09:31:00Z</dcterms:created>
  <dcterms:modified xsi:type="dcterms:W3CDTF">2022-06-20T15:43:00Z</dcterms:modified>
</cp:coreProperties>
</file>