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1F01" w:rsidRDefault="000424A9">
      <w:r>
        <w:rPr>
          <w:noProof/>
        </w:rPr>
        <w:t xml:space="preserve">    </w:t>
      </w:r>
      <w:r w:rsidR="005C260A">
        <w:rPr>
          <w:noProof/>
        </w:rPr>
        <w:t xml:space="preserve"> </w:t>
      </w:r>
      <w:r w:rsidR="00773847">
        <w:rPr>
          <w:noProof/>
        </w:rPr>
        <w:t xml:space="preserve">  </w:t>
      </w:r>
      <w:r w:rsidR="00F31F01">
        <w:rPr>
          <w:noProof/>
        </w:rPr>
        <w:drawing>
          <wp:inline distT="0" distB="0" distL="0" distR="0" wp14:anchorId="1512D165" wp14:editId="4A4708AA">
            <wp:extent cx="5668964" cy="1076325"/>
            <wp:effectExtent l="0" t="0" r="8255" b="0"/>
            <wp:docPr id="5" name="Picture 3">
              <a:extLst xmlns:a="http://schemas.openxmlformats.org/drawingml/2006/main">
                <a:ext uri="{FF2B5EF4-FFF2-40B4-BE49-F238E27FC236}">
                  <a16:creationId xmlns:lc="http://schemas.openxmlformats.org/drawingml/2006/lockedCanvas" xmlns:a16="http://schemas.microsoft.com/office/drawing/2014/main" xmlns:p="http://schemas.openxmlformats.org/presentationml/2006/main" xmlns="" xmlns:w="http://schemas.openxmlformats.org/wordprocessingml/2006/main" xmlns:w10="urn:schemas-microsoft-com:office:word" xmlns:v="urn:schemas-microsoft-com:vml" xmlns:o="urn:schemas-microsoft-com:office:office" id="{4B44D5D4-C2A4-3146-A6E1-990100A99A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a:extLst>
                        <a:ext uri="{FF2B5EF4-FFF2-40B4-BE49-F238E27FC236}">
                          <a16:creationId xmlns:lc="http://schemas.openxmlformats.org/drawingml/2006/lockedCanvas" xmlns:a16="http://schemas.microsoft.com/office/drawing/2014/main" xmlns:p="http://schemas.openxmlformats.org/presentationml/2006/main" xmlns="" xmlns:w="http://schemas.openxmlformats.org/wordprocessingml/2006/main" xmlns:w10="urn:schemas-microsoft-com:office:word" xmlns:v="urn:schemas-microsoft-com:vml" xmlns:o="urn:schemas-microsoft-com:office:office" id="{4B44D5D4-C2A4-3146-A6E1-990100A99AED}"/>
                        </a:ext>
                      </a:extLst>
                    </pic:cNvPr>
                    <pic:cNvPicPr>
                      <a:picLocks noChangeAspect="1"/>
                    </pic:cNvPicPr>
                  </pic:nvPicPr>
                  <pic:blipFill>
                    <a:blip r:embed="rId6"/>
                    <a:stretch>
                      <a:fillRect/>
                    </a:stretch>
                  </pic:blipFill>
                  <pic:spPr>
                    <a:xfrm>
                      <a:off x="0" y="0"/>
                      <a:ext cx="5670558" cy="1076628"/>
                    </a:xfrm>
                    <a:prstGeom prst="rect">
                      <a:avLst/>
                    </a:prstGeom>
                  </pic:spPr>
                </pic:pic>
              </a:graphicData>
            </a:graphic>
          </wp:inline>
        </w:drawing>
      </w:r>
    </w:p>
    <w:p w:rsidR="00F31F01" w:rsidRPr="00F31F01" w:rsidRDefault="00F31F01" w:rsidP="00F31F01"/>
    <w:p w:rsidR="00F31F01" w:rsidRPr="00773847" w:rsidRDefault="00F31F01" w:rsidP="00F31F01">
      <w:pPr>
        <w:rPr>
          <w:b/>
          <w:bCs/>
        </w:rPr>
      </w:pPr>
    </w:p>
    <w:p w:rsidR="007C2D63" w:rsidRPr="00B24D1B" w:rsidRDefault="00F31F01" w:rsidP="00F31F01">
      <w:pPr>
        <w:jc w:val="center"/>
        <w:rPr>
          <w:b/>
          <w:bCs/>
          <w:sz w:val="40"/>
          <w:szCs w:val="40"/>
        </w:rPr>
      </w:pPr>
      <w:r w:rsidRPr="00B24D1B">
        <w:rPr>
          <w:rFonts w:asciiTheme="majorHAnsi" w:eastAsiaTheme="majorEastAsia" w:hAnsi="Calibri Light" w:cstheme="majorBidi"/>
          <w:b/>
          <w:bCs/>
          <w:color w:val="000000" w:themeColor="text1"/>
          <w:kern w:val="24"/>
          <w:sz w:val="40"/>
          <w:szCs w:val="40"/>
          <w:lang w:val="en-GB"/>
        </w:rPr>
        <w:t>Scientific Lab report</w:t>
      </w:r>
    </w:p>
    <w:p w:rsidR="00F31F01" w:rsidRPr="00B24D1B" w:rsidRDefault="00F31F01" w:rsidP="00F31F01">
      <w:pPr>
        <w:pStyle w:val="a3"/>
        <w:spacing w:before="200" w:beforeAutospacing="0" w:after="0" w:afterAutospacing="0" w:line="216" w:lineRule="auto"/>
        <w:jc w:val="center"/>
        <w:rPr>
          <w:b/>
          <w:bCs/>
          <w:sz w:val="40"/>
          <w:szCs w:val="40"/>
        </w:rPr>
      </w:pPr>
      <w:r w:rsidRPr="00B24D1B">
        <w:rPr>
          <w:rFonts w:ascii="Calibri" w:hAnsi="Calibri" w:cs="Calibri"/>
          <w:b/>
          <w:bCs/>
          <w:color w:val="000000"/>
          <w:kern w:val="24"/>
          <w:sz w:val="40"/>
          <w:szCs w:val="40"/>
          <w:lang w:val="en-GB"/>
        </w:rPr>
        <w:t xml:space="preserve">Y2 med </w:t>
      </w:r>
    </w:p>
    <w:p w:rsidR="00F31F01" w:rsidRPr="00B24D1B" w:rsidRDefault="00F31F01" w:rsidP="00F31F01">
      <w:pPr>
        <w:pStyle w:val="a3"/>
        <w:spacing w:before="200" w:beforeAutospacing="0" w:after="0" w:afterAutospacing="0" w:line="216" w:lineRule="auto"/>
        <w:jc w:val="center"/>
        <w:rPr>
          <w:b/>
          <w:bCs/>
          <w:sz w:val="40"/>
          <w:szCs w:val="40"/>
          <w:rtl/>
        </w:rPr>
      </w:pPr>
      <w:r w:rsidRPr="00B24D1B">
        <w:rPr>
          <w:rFonts w:ascii="Calibri" w:hAnsi="Calibri" w:cs="Calibri"/>
          <w:b/>
          <w:bCs/>
          <w:color w:val="000000"/>
          <w:kern w:val="24"/>
          <w:sz w:val="40"/>
          <w:szCs w:val="40"/>
          <w:lang w:val="en-GB"/>
        </w:rPr>
        <w:t>2021-2022</w:t>
      </w:r>
    </w:p>
    <w:p w:rsidR="00E97624" w:rsidRDefault="00F31F01" w:rsidP="00F31F01">
      <w:pPr>
        <w:spacing w:before="100" w:beforeAutospacing="1" w:after="100" w:afterAutospacing="1" w:line="360" w:lineRule="auto"/>
        <w:jc w:val="center"/>
        <w:outlineLvl w:val="0"/>
        <w:rPr>
          <w:rFonts w:asciiTheme="majorBidi" w:eastAsia="Times New Roman" w:hAnsiTheme="majorBidi" w:cstheme="majorBidi"/>
          <w:b/>
          <w:bCs/>
          <w:kern w:val="36"/>
          <w:sz w:val="36"/>
          <w:szCs w:val="36"/>
        </w:rPr>
      </w:pPr>
      <w:r w:rsidRPr="00B24D1B">
        <w:rPr>
          <w:rFonts w:asciiTheme="majorBidi" w:eastAsia="Times New Roman" w:hAnsiTheme="majorBidi" w:cstheme="majorBidi"/>
          <w:b/>
          <w:bCs/>
          <w:kern w:val="36"/>
          <w:sz w:val="40"/>
          <w:szCs w:val="40"/>
        </w:rPr>
        <w:t>Student name:Reem Khale</w:t>
      </w:r>
      <w:r w:rsidRPr="00B24D1B">
        <w:rPr>
          <w:rFonts w:asciiTheme="majorBidi" w:eastAsia="Times New Roman" w:hAnsiTheme="majorBidi" w:cstheme="majorBidi"/>
          <w:b/>
          <w:bCs/>
          <w:kern w:val="36"/>
          <w:sz w:val="36"/>
          <w:szCs w:val="36"/>
        </w:rPr>
        <w:t xml:space="preserve">d </w:t>
      </w:r>
    </w:p>
    <w:p w:rsidR="00E97624" w:rsidRDefault="00E97624" w:rsidP="00F31F01">
      <w:pPr>
        <w:spacing w:before="100" w:beforeAutospacing="1" w:after="100" w:afterAutospacing="1" w:line="360" w:lineRule="auto"/>
        <w:jc w:val="center"/>
        <w:outlineLvl w:val="0"/>
        <w:rPr>
          <w:rFonts w:asciiTheme="majorBidi" w:eastAsia="Times New Roman" w:hAnsiTheme="majorBidi" w:cstheme="majorBidi"/>
          <w:b/>
          <w:bCs/>
          <w:kern w:val="36"/>
          <w:sz w:val="36"/>
          <w:szCs w:val="36"/>
        </w:rPr>
      </w:pPr>
      <w:r>
        <w:rPr>
          <w:rFonts w:asciiTheme="majorBidi" w:eastAsia="Times New Roman" w:hAnsiTheme="majorBidi" w:cstheme="majorBidi"/>
          <w:b/>
          <w:bCs/>
          <w:kern w:val="36"/>
          <w:sz w:val="36"/>
          <w:szCs w:val="36"/>
        </w:rPr>
        <w:t>Student number:-2896</w:t>
      </w:r>
    </w:p>
    <w:p w:rsidR="00E97624" w:rsidRPr="00E97624" w:rsidRDefault="00E97624" w:rsidP="00E97624">
      <w:pPr>
        <w:spacing w:before="100" w:beforeAutospacing="1" w:after="100" w:afterAutospacing="1" w:line="360" w:lineRule="auto"/>
        <w:jc w:val="right"/>
        <w:outlineLvl w:val="0"/>
        <w:rPr>
          <w:rFonts w:asciiTheme="majorBidi" w:eastAsia="Times New Roman" w:hAnsiTheme="majorBidi" w:cstheme="majorBidi"/>
          <w:b/>
          <w:bCs/>
          <w:kern w:val="36"/>
          <w:sz w:val="36"/>
          <w:szCs w:val="36"/>
          <w:rtl/>
        </w:rPr>
      </w:pPr>
      <w:r w:rsidRPr="00E97624">
        <w:rPr>
          <w:rFonts w:asciiTheme="majorBidi" w:eastAsia="Times New Roman" w:hAnsiTheme="majorBidi" w:cstheme="majorBidi"/>
          <w:b/>
          <w:bCs/>
          <w:kern w:val="36"/>
          <w:sz w:val="36"/>
          <w:szCs w:val="36"/>
        </w:rPr>
        <w:t>Supervisors:  Dr.Iman Fergani</w:t>
      </w:r>
    </w:p>
    <w:p w:rsidR="00E97624" w:rsidRPr="00E97624" w:rsidRDefault="00E97624" w:rsidP="00E97624">
      <w:pPr>
        <w:spacing w:before="100" w:beforeAutospacing="1" w:after="100" w:afterAutospacing="1" w:line="360" w:lineRule="auto"/>
        <w:jc w:val="right"/>
        <w:outlineLvl w:val="0"/>
        <w:rPr>
          <w:rFonts w:asciiTheme="majorBidi" w:eastAsia="Times New Roman" w:hAnsiTheme="majorBidi" w:cstheme="majorBidi" w:hint="cs"/>
          <w:b/>
          <w:bCs/>
          <w:kern w:val="36"/>
          <w:sz w:val="36"/>
          <w:szCs w:val="36"/>
          <w:rtl/>
        </w:rPr>
      </w:pPr>
      <w:r w:rsidRPr="00E97624">
        <w:rPr>
          <w:rFonts w:asciiTheme="majorBidi" w:eastAsia="Times New Roman" w:hAnsiTheme="majorBidi" w:cstheme="majorBidi"/>
          <w:b/>
          <w:bCs/>
          <w:kern w:val="36"/>
          <w:sz w:val="36"/>
          <w:szCs w:val="36"/>
        </w:rPr>
        <w:t>Assistant by</w:t>
      </w:r>
      <w:r>
        <w:rPr>
          <w:rFonts w:asciiTheme="majorBidi" w:eastAsia="Times New Roman" w:hAnsiTheme="majorBidi" w:cstheme="majorBidi"/>
          <w:b/>
          <w:bCs/>
          <w:kern w:val="36"/>
          <w:sz w:val="36"/>
          <w:szCs w:val="36"/>
        </w:rPr>
        <w:t>:-</w:t>
      </w:r>
    </w:p>
    <w:p w:rsidR="00E97624" w:rsidRPr="00E97624" w:rsidRDefault="00E97624" w:rsidP="00E97624">
      <w:pPr>
        <w:spacing w:before="100" w:beforeAutospacing="1" w:after="100" w:afterAutospacing="1" w:line="360" w:lineRule="auto"/>
        <w:jc w:val="right"/>
        <w:outlineLvl w:val="0"/>
        <w:rPr>
          <w:rFonts w:asciiTheme="majorBidi" w:eastAsia="Times New Roman" w:hAnsiTheme="majorBidi" w:cstheme="majorBidi"/>
          <w:b/>
          <w:bCs/>
          <w:kern w:val="36"/>
          <w:sz w:val="36"/>
          <w:szCs w:val="36"/>
          <w:rtl/>
        </w:rPr>
      </w:pPr>
      <w:r w:rsidRPr="00E97624">
        <w:rPr>
          <w:rFonts w:asciiTheme="majorBidi" w:eastAsia="Times New Roman" w:hAnsiTheme="majorBidi" w:cs="Times New Roman" w:hint="cs"/>
          <w:b/>
          <w:bCs/>
          <w:kern w:val="36"/>
          <w:sz w:val="36"/>
          <w:szCs w:val="36"/>
          <w:rtl/>
        </w:rPr>
        <w:t>أ</w:t>
      </w:r>
      <w:r w:rsidRPr="00E97624">
        <w:rPr>
          <w:rFonts w:asciiTheme="majorBidi" w:eastAsia="Times New Roman" w:hAnsiTheme="majorBidi" w:cs="Times New Roman"/>
          <w:b/>
          <w:bCs/>
          <w:kern w:val="36"/>
          <w:sz w:val="36"/>
          <w:szCs w:val="36"/>
          <w:rtl/>
        </w:rPr>
        <w:t xml:space="preserve">. </w:t>
      </w:r>
      <w:r w:rsidRPr="00E97624">
        <w:rPr>
          <w:rFonts w:asciiTheme="majorBidi" w:eastAsia="Times New Roman" w:hAnsiTheme="majorBidi" w:cs="Times New Roman" w:hint="cs"/>
          <w:b/>
          <w:bCs/>
          <w:kern w:val="36"/>
          <w:sz w:val="36"/>
          <w:szCs w:val="36"/>
          <w:rtl/>
        </w:rPr>
        <w:t>ناجي</w:t>
      </w:r>
      <w:r w:rsidRPr="00E97624">
        <w:rPr>
          <w:rFonts w:asciiTheme="majorBidi" w:eastAsia="Times New Roman" w:hAnsiTheme="majorBidi" w:cs="Times New Roman"/>
          <w:b/>
          <w:bCs/>
          <w:kern w:val="36"/>
          <w:sz w:val="36"/>
          <w:szCs w:val="36"/>
          <w:rtl/>
        </w:rPr>
        <w:t xml:space="preserve"> </w:t>
      </w:r>
      <w:r w:rsidRPr="00E97624">
        <w:rPr>
          <w:rFonts w:asciiTheme="majorBidi" w:eastAsia="Times New Roman" w:hAnsiTheme="majorBidi" w:cs="Times New Roman" w:hint="cs"/>
          <w:b/>
          <w:bCs/>
          <w:kern w:val="36"/>
          <w:sz w:val="36"/>
          <w:szCs w:val="36"/>
          <w:rtl/>
        </w:rPr>
        <w:t>الحمري</w:t>
      </w:r>
      <w:r w:rsidRPr="00E97624">
        <w:rPr>
          <w:rFonts w:asciiTheme="majorBidi" w:eastAsia="Times New Roman" w:hAnsiTheme="majorBidi" w:cs="Times New Roman"/>
          <w:b/>
          <w:bCs/>
          <w:kern w:val="36"/>
          <w:sz w:val="36"/>
          <w:szCs w:val="36"/>
          <w:rtl/>
        </w:rPr>
        <w:t xml:space="preserve"> -</w:t>
      </w:r>
    </w:p>
    <w:p w:rsidR="00E97624" w:rsidRPr="00E97624" w:rsidRDefault="00E97624" w:rsidP="00E97624">
      <w:pPr>
        <w:spacing w:before="100" w:beforeAutospacing="1" w:after="100" w:afterAutospacing="1" w:line="360" w:lineRule="auto"/>
        <w:jc w:val="right"/>
        <w:outlineLvl w:val="0"/>
        <w:rPr>
          <w:rFonts w:asciiTheme="majorBidi" w:eastAsia="Times New Roman" w:hAnsiTheme="majorBidi" w:cstheme="majorBidi"/>
          <w:b/>
          <w:bCs/>
          <w:kern w:val="36"/>
          <w:sz w:val="36"/>
          <w:szCs w:val="36"/>
          <w:rtl/>
        </w:rPr>
      </w:pPr>
      <w:r w:rsidRPr="00E97624">
        <w:rPr>
          <w:rFonts w:asciiTheme="majorBidi" w:eastAsia="Times New Roman" w:hAnsiTheme="majorBidi" w:cs="Times New Roman" w:hint="cs"/>
          <w:b/>
          <w:bCs/>
          <w:kern w:val="36"/>
          <w:sz w:val="36"/>
          <w:szCs w:val="36"/>
          <w:rtl/>
        </w:rPr>
        <w:t>أ</w:t>
      </w:r>
      <w:r w:rsidRPr="00E97624">
        <w:rPr>
          <w:rFonts w:asciiTheme="majorBidi" w:eastAsia="Times New Roman" w:hAnsiTheme="majorBidi" w:cs="Times New Roman"/>
          <w:b/>
          <w:bCs/>
          <w:kern w:val="36"/>
          <w:sz w:val="36"/>
          <w:szCs w:val="36"/>
          <w:rtl/>
        </w:rPr>
        <w:t xml:space="preserve">. </w:t>
      </w:r>
      <w:r w:rsidRPr="00E97624">
        <w:rPr>
          <w:rFonts w:asciiTheme="majorBidi" w:eastAsia="Times New Roman" w:hAnsiTheme="majorBidi" w:cs="Times New Roman" w:hint="cs"/>
          <w:b/>
          <w:bCs/>
          <w:kern w:val="36"/>
          <w:sz w:val="36"/>
          <w:szCs w:val="36"/>
          <w:rtl/>
        </w:rPr>
        <w:t>أسماء</w:t>
      </w:r>
      <w:r w:rsidRPr="00E97624">
        <w:rPr>
          <w:rFonts w:asciiTheme="majorBidi" w:eastAsia="Times New Roman" w:hAnsiTheme="majorBidi" w:cs="Times New Roman"/>
          <w:b/>
          <w:bCs/>
          <w:kern w:val="36"/>
          <w:sz w:val="36"/>
          <w:szCs w:val="36"/>
          <w:rtl/>
        </w:rPr>
        <w:t xml:space="preserve"> </w:t>
      </w:r>
      <w:r w:rsidRPr="00E97624">
        <w:rPr>
          <w:rFonts w:asciiTheme="majorBidi" w:eastAsia="Times New Roman" w:hAnsiTheme="majorBidi" w:cs="Times New Roman" w:hint="cs"/>
          <w:b/>
          <w:bCs/>
          <w:kern w:val="36"/>
          <w:sz w:val="36"/>
          <w:szCs w:val="36"/>
          <w:rtl/>
        </w:rPr>
        <w:t>الكوافي</w:t>
      </w:r>
      <w:r w:rsidRPr="00E97624">
        <w:rPr>
          <w:rFonts w:asciiTheme="majorBidi" w:eastAsia="Times New Roman" w:hAnsiTheme="majorBidi" w:cs="Times New Roman"/>
          <w:b/>
          <w:bCs/>
          <w:kern w:val="36"/>
          <w:sz w:val="36"/>
          <w:szCs w:val="36"/>
          <w:rtl/>
        </w:rPr>
        <w:t xml:space="preserve"> -</w:t>
      </w:r>
    </w:p>
    <w:p w:rsidR="00E97624" w:rsidRPr="00E97624" w:rsidRDefault="00E97624" w:rsidP="00E97624">
      <w:pPr>
        <w:spacing w:before="100" w:beforeAutospacing="1" w:after="100" w:afterAutospacing="1" w:line="360" w:lineRule="auto"/>
        <w:outlineLvl w:val="0"/>
        <w:rPr>
          <w:rFonts w:asciiTheme="majorBidi" w:eastAsia="Times New Roman" w:hAnsiTheme="majorBidi" w:cstheme="majorBidi"/>
          <w:b/>
          <w:bCs/>
          <w:kern w:val="36"/>
          <w:sz w:val="36"/>
          <w:szCs w:val="36"/>
          <w:rtl/>
        </w:rPr>
      </w:pPr>
      <w:r w:rsidRPr="00E97624">
        <w:rPr>
          <w:rFonts w:asciiTheme="majorBidi" w:eastAsia="Times New Roman" w:hAnsiTheme="majorBidi" w:cs="Times New Roman"/>
          <w:b/>
          <w:bCs/>
          <w:kern w:val="36"/>
          <w:sz w:val="36"/>
          <w:szCs w:val="36"/>
          <w:rtl/>
        </w:rPr>
        <w:t xml:space="preserve">  -</w:t>
      </w:r>
    </w:p>
    <w:p w:rsidR="00F31F01" w:rsidRPr="00B24D1B" w:rsidRDefault="00E97624" w:rsidP="00E97624">
      <w:pPr>
        <w:spacing w:before="100" w:beforeAutospacing="1" w:after="100" w:afterAutospacing="1" w:line="360" w:lineRule="auto"/>
        <w:jc w:val="center"/>
        <w:outlineLvl w:val="0"/>
        <w:rPr>
          <w:rFonts w:asciiTheme="majorBidi" w:eastAsia="Times New Roman" w:hAnsiTheme="majorBidi" w:cstheme="majorBidi"/>
          <w:b/>
          <w:bCs/>
          <w:kern w:val="36"/>
          <w:sz w:val="36"/>
          <w:szCs w:val="36"/>
        </w:rPr>
      </w:pPr>
      <w:r w:rsidRPr="00E97624">
        <w:rPr>
          <w:rFonts w:asciiTheme="majorBidi" w:eastAsia="Times New Roman" w:hAnsiTheme="majorBidi" w:cs="Times New Roman"/>
          <w:b/>
          <w:bCs/>
          <w:kern w:val="36"/>
          <w:sz w:val="36"/>
          <w:szCs w:val="36"/>
          <w:rtl/>
        </w:rPr>
        <w:t>...</w:t>
      </w:r>
    </w:p>
    <w:p w:rsidR="005C260A" w:rsidRDefault="00BF082A" w:rsidP="006F6F67">
      <w:pPr>
        <w:jc w:val="right"/>
        <w:rPr>
          <w:b/>
          <w:bCs/>
          <w:sz w:val="48"/>
          <w:szCs w:val="48"/>
        </w:rPr>
      </w:pPr>
      <w:r>
        <w:rPr>
          <w:rFonts w:asciiTheme="majorBidi" w:eastAsia="Times New Roman" w:hAnsiTheme="majorBidi" w:cstheme="majorBidi"/>
          <w:b/>
          <w:bCs/>
          <w:kern w:val="36"/>
          <w:sz w:val="48"/>
          <w:szCs w:val="48"/>
        </w:rPr>
        <w:t xml:space="preserve">  </w:t>
      </w:r>
    </w:p>
    <w:p w:rsidR="00A6354F" w:rsidRPr="002A08FB" w:rsidRDefault="003342FE" w:rsidP="002A08FB">
      <w:pPr>
        <w:jc w:val="right"/>
        <w:rPr>
          <w:b/>
          <w:bCs/>
          <w:color w:val="FF0000"/>
          <w:sz w:val="40"/>
          <w:szCs w:val="40"/>
          <w:rtl/>
        </w:rPr>
      </w:pPr>
      <w:r w:rsidRPr="00F22D4F">
        <w:rPr>
          <w:b/>
          <w:bCs/>
          <w:color w:val="FF0000"/>
          <w:sz w:val="40"/>
          <w:szCs w:val="40"/>
        </w:rPr>
        <w:t xml:space="preserve">Title : </w:t>
      </w:r>
      <w:r w:rsidRPr="00E72B2E">
        <w:rPr>
          <w:color w:val="FF0000"/>
          <w:sz w:val="36"/>
          <w:szCs w:val="36"/>
        </w:rPr>
        <w:t>-</w:t>
      </w:r>
      <w:r w:rsidR="00A6354F" w:rsidRPr="002A08FB">
        <w:rPr>
          <w:b/>
          <w:bCs/>
          <w:color w:val="000000" w:themeColor="text1"/>
          <w:sz w:val="40"/>
          <w:szCs w:val="40"/>
        </w:rPr>
        <w:t>Use of Urinary Gram Stain for Detection</w:t>
      </w:r>
      <w:r w:rsidR="002A08FB">
        <w:rPr>
          <w:b/>
          <w:bCs/>
          <w:color w:val="000000" w:themeColor="text1"/>
          <w:sz w:val="40"/>
          <w:szCs w:val="40"/>
        </w:rPr>
        <w:t xml:space="preserve"> of</w:t>
      </w:r>
      <w:r w:rsidR="00A6354F" w:rsidRPr="002A08FB">
        <w:rPr>
          <w:b/>
          <w:bCs/>
          <w:color w:val="000000" w:themeColor="text1"/>
          <w:sz w:val="40"/>
          <w:szCs w:val="40"/>
        </w:rPr>
        <w:t xml:space="preserve"> </w:t>
      </w:r>
    </w:p>
    <w:p w:rsidR="006F6F67" w:rsidRPr="00E72B2E" w:rsidRDefault="00A6354F" w:rsidP="006F6F67">
      <w:pPr>
        <w:jc w:val="right"/>
        <w:rPr>
          <w:color w:val="000000" w:themeColor="text1"/>
          <w:sz w:val="36"/>
          <w:szCs w:val="36"/>
        </w:rPr>
      </w:pPr>
      <w:r w:rsidRPr="002A08FB">
        <w:rPr>
          <w:b/>
          <w:bCs/>
          <w:color w:val="000000" w:themeColor="text1"/>
          <w:sz w:val="40"/>
          <w:szCs w:val="40"/>
        </w:rPr>
        <w:lastRenderedPageBreak/>
        <w:t>Urinary Tract Infection in Childhood</w:t>
      </w:r>
    </w:p>
    <w:p w:rsidR="006F6F67" w:rsidRPr="00B24D1B" w:rsidRDefault="006F6F67" w:rsidP="006F6F67">
      <w:pPr>
        <w:jc w:val="right"/>
        <w:rPr>
          <w:color w:val="000000" w:themeColor="text1"/>
          <w:sz w:val="32"/>
          <w:szCs w:val="32"/>
        </w:rPr>
      </w:pPr>
      <w:r>
        <w:rPr>
          <w:b/>
          <w:bCs/>
          <w:color w:val="FF0000"/>
          <w:sz w:val="40"/>
          <w:szCs w:val="40"/>
        </w:rPr>
        <w:tab/>
      </w:r>
      <w:r w:rsidRPr="006F6F67">
        <w:rPr>
          <w:b/>
          <w:bCs/>
          <w:color w:val="FF0000"/>
          <w:sz w:val="40"/>
          <w:szCs w:val="40"/>
        </w:rPr>
        <w:t>•</w:t>
      </w:r>
      <w:r>
        <w:rPr>
          <w:b/>
          <w:bCs/>
          <w:color w:val="FF0000"/>
          <w:sz w:val="40"/>
          <w:szCs w:val="40"/>
        </w:rPr>
        <w:t xml:space="preserve">Abstract </w:t>
      </w:r>
      <w:r w:rsidRPr="00E72B2E">
        <w:rPr>
          <w:color w:val="FF0000"/>
          <w:sz w:val="40"/>
          <w:szCs w:val="40"/>
        </w:rPr>
        <w:t xml:space="preserve">:- </w:t>
      </w:r>
      <w:r w:rsidRPr="00B24D1B">
        <w:rPr>
          <w:color w:val="000000" w:themeColor="text1"/>
          <w:sz w:val="32"/>
          <w:szCs w:val="32"/>
        </w:rPr>
        <w:t>In this study, 100 children with symptoms suggesting urinary tract infection were given a urine culture, a urine Gram stain, and four urinalysis tests: leukocyte esterase, nitrite, microscopy for bacteria, and microscopy for pyuria.</w:t>
      </w:r>
    </w:p>
    <w:p w:rsidR="006F6F67" w:rsidRPr="00B24D1B" w:rsidRDefault="006F6F67" w:rsidP="006F6F67">
      <w:pPr>
        <w:jc w:val="right"/>
        <w:rPr>
          <w:color w:val="000000" w:themeColor="text1"/>
          <w:sz w:val="36"/>
          <w:szCs w:val="36"/>
        </w:rPr>
      </w:pPr>
      <w:r w:rsidRPr="00B24D1B">
        <w:rPr>
          <w:color w:val="000000" w:themeColor="text1"/>
          <w:sz w:val="32"/>
          <w:szCs w:val="32"/>
        </w:rPr>
        <w:t xml:space="preserve"> Our goal was to compare the validity of the urine Gram stain to a combination of pyuria with Gram stain and overall urinalysis (nitrite positivity, leukocyte esterase positivity, bacteria microscopy, or white blood cell microscopy)</w:t>
      </w:r>
    </w:p>
    <w:p w:rsidR="006F6F67" w:rsidRPr="00B24D1B" w:rsidRDefault="006F6F67" w:rsidP="006F6F67">
      <w:pPr>
        <w:tabs>
          <w:tab w:val="left" w:pos="6251"/>
          <w:tab w:val="right" w:pos="8306"/>
        </w:tabs>
        <w:jc w:val="right"/>
        <w:rPr>
          <w:color w:val="000000" w:themeColor="text1"/>
          <w:sz w:val="36"/>
          <w:szCs w:val="36"/>
        </w:rPr>
      </w:pPr>
      <w:r w:rsidRPr="00B24D1B">
        <w:rPr>
          <w:color w:val="000000" w:themeColor="text1"/>
          <w:sz w:val="36"/>
          <w:szCs w:val="36"/>
        </w:rPr>
        <w:t>A positive urine culture was found in 70 (70%) of 100 children aged two to fifteen years: 40 females (57%) and 30 boys (43 percent).</w:t>
      </w:r>
    </w:p>
    <w:p w:rsidR="006F6F67" w:rsidRPr="00B24D1B" w:rsidRDefault="006F6F67" w:rsidP="006F6F67">
      <w:pPr>
        <w:tabs>
          <w:tab w:val="left" w:pos="6251"/>
          <w:tab w:val="right" w:pos="8306"/>
        </w:tabs>
        <w:jc w:val="right"/>
        <w:rPr>
          <w:color w:val="000000" w:themeColor="text1"/>
          <w:sz w:val="36"/>
          <w:szCs w:val="36"/>
        </w:rPr>
      </w:pPr>
      <w:r w:rsidRPr="00B24D1B">
        <w:rPr>
          <w:color w:val="000000" w:themeColor="text1"/>
          <w:sz w:val="36"/>
          <w:szCs w:val="36"/>
        </w:rPr>
        <w:t xml:space="preserve"> The most commonly isolated agent was Escherichia  coli.</w:t>
      </w:r>
    </w:p>
    <w:p w:rsidR="006F6F67" w:rsidRPr="00B24D1B" w:rsidRDefault="006F6F67" w:rsidP="006F6F67">
      <w:pPr>
        <w:tabs>
          <w:tab w:val="left" w:pos="6251"/>
          <w:tab w:val="right" w:pos="8306"/>
        </w:tabs>
        <w:jc w:val="right"/>
        <w:rPr>
          <w:color w:val="000000" w:themeColor="text1"/>
          <w:sz w:val="36"/>
          <w:szCs w:val="36"/>
        </w:rPr>
      </w:pPr>
      <w:r w:rsidRPr="00B24D1B">
        <w:rPr>
          <w:color w:val="000000" w:themeColor="text1"/>
          <w:sz w:val="36"/>
          <w:szCs w:val="36"/>
        </w:rPr>
        <w:t>The urine Gram stain had a sensitivity and specificity of 80% and 83 percent, respectively, while the combination of pyuria with Gram stain had a sensitivity and specificity of 42 percent and 90 percent, and the overall urinalysis had a sensitivity and specificity of 74 percent and 3.5 percent.</w:t>
      </w:r>
    </w:p>
    <w:p w:rsidR="006F6F67" w:rsidRPr="00B24D1B" w:rsidRDefault="006F6F67" w:rsidP="006F6F67">
      <w:pPr>
        <w:tabs>
          <w:tab w:val="left" w:pos="6251"/>
          <w:tab w:val="right" w:pos="8306"/>
        </w:tabs>
        <w:jc w:val="right"/>
        <w:rPr>
          <w:color w:val="FF0000"/>
          <w:sz w:val="40"/>
          <w:szCs w:val="40"/>
        </w:rPr>
      </w:pPr>
      <w:r w:rsidRPr="00B24D1B">
        <w:rPr>
          <w:color w:val="000000" w:themeColor="text1"/>
          <w:sz w:val="36"/>
          <w:szCs w:val="36"/>
        </w:rPr>
        <w:t>In symptomatic children, neither type of urine screening should be used instead of a urine culture, according to our findings</w:t>
      </w:r>
      <w:r w:rsidRPr="00B24D1B">
        <w:rPr>
          <w:rFonts w:cs="Arial"/>
          <w:color w:val="000000" w:themeColor="text1"/>
          <w:sz w:val="40"/>
          <w:szCs w:val="40"/>
        </w:rPr>
        <w:t>.</w:t>
      </w:r>
    </w:p>
    <w:p w:rsidR="006344D0" w:rsidRPr="00862A41" w:rsidRDefault="006344D0" w:rsidP="003342FE">
      <w:pPr>
        <w:jc w:val="right"/>
        <w:rPr>
          <w:b/>
          <w:bCs/>
          <w:color w:val="FF0000"/>
          <w:sz w:val="36"/>
          <w:szCs w:val="36"/>
        </w:rPr>
      </w:pPr>
    </w:p>
    <w:p w:rsidR="006C7907" w:rsidRDefault="006F6F67" w:rsidP="006C7907">
      <w:pPr>
        <w:pStyle w:val="a3"/>
        <w:shd w:val="clear" w:color="auto" w:fill="FFFFFF"/>
        <w:spacing w:before="120" w:after="120"/>
        <w:rPr>
          <w:rFonts w:ascii="Arial" w:hAnsi="Arial" w:cs="Arial"/>
          <w:color w:val="000000" w:themeColor="text1"/>
          <w:sz w:val="36"/>
          <w:szCs w:val="36"/>
        </w:rPr>
      </w:pPr>
      <w:r w:rsidRPr="006F6F67">
        <w:rPr>
          <w:b/>
          <w:bCs/>
          <w:color w:val="FF0000"/>
          <w:sz w:val="40"/>
          <w:szCs w:val="40"/>
        </w:rPr>
        <w:t>•</w:t>
      </w:r>
      <w:r w:rsidR="00862A41" w:rsidRPr="00F22D4F">
        <w:rPr>
          <w:b/>
          <w:bCs/>
          <w:color w:val="FF0000"/>
          <w:sz w:val="40"/>
          <w:szCs w:val="40"/>
        </w:rPr>
        <w:t>Introduction</w:t>
      </w:r>
      <w:r w:rsidR="00862A41" w:rsidRPr="00F22D4F">
        <w:rPr>
          <w:color w:val="FF0000"/>
          <w:sz w:val="40"/>
          <w:szCs w:val="40"/>
        </w:rPr>
        <w:t>:-</w:t>
      </w:r>
      <w:r w:rsidR="003342FE" w:rsidRPr="00773847">
        <w:rPr>
          <w:color w:val="FF0000"/>
          <w:sz w:val="36"/>
          <w:szCs w:val="36"/>
        </w:rPr>
        <w:t xml:space="preserve"> </w:t>
      </w:r>
      <w:r w:rsidR="006C7907" w:rsidRPr="006C7907">
        <w:rPr>
          <w:rFonts w:ascii="Arial" w:hAnsi="Arial" w:cs="Arial"/>
          <w:color w:val="000000" w:themeColor="text1"/>
          <w:sz w:val="36"/>
          <w:szCs w:val="36"/>
        </w:rPr>
        <w:t xml:space="preserve">Urinary tract infection (UTI)is a frequent pediatric ailment, affecting around 3 to 5 percent of girls and 1% of boys [1-3]. </w:t>
      </w:r>
    </w:p>
    <w:p w:rsidR="006C7907" w:rsidRDefault="006C7907" w:rsidP="006C7907">
      <w:pPr>
        <w:pStyle w:val="a3"/>
        <w:shd w:val="clear" w:color="auto" w:fill="FFFFFF"/>
        <w:spacing w:before="120" w:after="120"/>
        <w:rPr>
          <w:rFonts w:ascii="Arial" w:hAnsi="Arial" w:cs="Arial"/>
          <w:color w:val="000000" w:themeColor="text1"/>
          <w:sz w:val="36"/>
          <w:szCs w:val="36"/>
        </w:rPr>
      </w:pPr>
      <w:r w:rsidRPr="006C7907">
        <w:rPr>
          <w:rFonts w:ascii="Arial" w:hAnsi="Arial" w:cs="Arial"/>
          <w:color w:val="000000" w:themeColor="text1"/>
          <w:sz w:val="36"/>
          <w:szCs w:val="36"/>
        </w:rPr>
        <w:lastRenderedPageBreak/>
        <w:t xml:space="preserve">Prompt treatment is critical in this age range since even a brief delay might result in long-term problems [4-6]. </w:t>
      </w:r>
    </w:p>
    <w:p w:rsidR="006C7907" w:rsidRDefault="006C7907" w:rsidP="006C7907">
      <w:pPr>
        <w:pStyle w:val="a3"/>
        <w:shd w:val="clear" w:color="auto" w:fill="FFFFFF"/>
        <w:spacing w:before="120" w:after="120"/>
        <w:rPr>
          <w:rFonts w:ascii="Arial" w:hAnsi="Arial" w:cs="Arial"/>
          <w:color w:val="000000" w:themeColor="text1"/>
          <w:sz w:val="36"/>
          <w:szCs w:val="36"/>
        </w:rPr>
      </w:pPr>
      <w:r w:rsidRPr="006C7907">
        <w:rPr>
          <w:rFonts w:ascii="Arial" w:hAnsi="Arial" w:cs="Arial"/>
          <w:color w:val="000000" w:themeColor="text1"/>
          <w:sz w:val="36"/>
          <w:szCs w:val="36"/>
        </w:rPr>
        <w:t>Rapid diagnosis, on the other hand, is required for prompt therapy. Urinalysis (microscopic pyuria), enhanced urinalysis (white blood cell [WBC]</w:t>
      </w:r>
    </w:p>
    <w:p w:rsidR="006C7907" w:rsidRPr="006C7907" w:rsidRDefault="006C7907" w:rsidP="006C7907">
      <w:pPr>
        <w:pStyle w:val="a3"/>
        <w:shd w:val="clear" w:color="auto" w:fill="FFFFFF"/>
        <w:spacing w:before="120" w:after="120"/>
        <w:rPr>
          <w:rFonts w:ascii="Arial" w:hAnsi="Arial" w:cs="Arial"/>
          <w:color w:val="000000" w:themeColor="text1"/>
          <w:sz w:val="36"/>
          <w:szCs w:val="36"/>
        </w:rPr>
      </w:pPr>
      <w:r w:rsidRPr="006C7907">
        <w:rPr>
          <w:rFonts w:ascii="Arial" w:hAnsi="Arial" w:cs="Arial"/>
          <w:color w:val="000000" w:themeColor="text1"/>
          <w:sz w:val="36"/>
          <w:szCs w:val="36"/>
        </w:rPr>
        <w:t xml:space="preserve"> count per cubic millimeter with Gram stain), and urine dipstick are all quick screening methods (leukocyteesterase or nitrite),None of the uriscreen (catalase test) assays have been found to be satisfactory in the diagnosis of UTI [4, 5, 7-9]. </w:t>
      </w:r>
    </w:p>
    <w:p w:rsidR="006C7907" w:rsidRPr="006C7907" w:rsidRDefault="006C7907" w:rsidP="006C7907">
      <w:pPr>
        <w:pStyle w:val="a3"/>
        <w:shd w:val="clear" w:color="auto" w:fill="FFFFFF"/>
        <w:spacing w:before="120" w:after="120"/>
        <w:rPr>
          <w:rFonts w:ascii="Arial" w:hAnsi="Arial" w:cs="Arial"/>
          <w:color w:val="000000" w:themeColor="text1"/>
          <w:sz w:val="36"/>
          <w:szCs w:val="36"/>
        </w:rPr>
      </w:pPr>
      <w:r w:rsidRPr="006C7907">
        <w:rPr>
          <w:rFonts w:ascii="Arial" w:hAnsi="Arial" w:cs="Arial"/>
          <w:color w:val="000000" w:themeColor="text1"/>
          <w:sz w:val="36"/>
          <w:szCs w:val="36"/>
        </w:rPr>
        <w:t xml:space="preserve">Urinary culture, urinary Gram stain, and four assays within the urinalysis, including leukocyte count, were used in this investigation. </w:t>
      </w:r>
    </w:p>
    <w:p w:rsidR="0094575A" w:rsidRDefault="006C7907" w:rsidP="006C7907">
      <w:pPr>
        <w:pStyle w:val="a3"/>
        <w:shd w:val="clear" w:color="auto" w:fill="FFFFFF"/>
        <w:spacing w:before="120" w:beforeAutospacing="0" w:after="120" w:afterAutospacing="0"/>
        <w:rPr>
          <w:rFonts w:ascii="Arial" w:hAnsi="Arial" w:cs="Arial"/>
          <w:color w:val="000000" w:themeColor="text1"/>
          <w:sz w:val="36"/>
          <w:szCs w:val="36"/>
        </w:rPr>
      </w:pPr>
      <w:r w:rsidRPr="006C7907">
        <w:rPr>
          <w:rFonts w:ascii="Arial" w:hAnsi="Arial" w:cs="Arial"/>
          <w:color w:val="000000" w:themeColor="text1"/>
          <w:sz w:val="36"/>
          <w:szCs w:val="36"/>
        </w:rPr>
        <w:t xml:space="preserve">In children with symptoms that suggested a UTI, letterate microscopy for bacteria and microscopy for pyuria were evaluated. </w:t>
      </w:r>
    </w:p>
    <w:p w:rsidR="006C7907" w:rsidRDefault="006C7907" w:rsidP="006C7907">
      <w:pPr>
        <w:pStyle w:val="a3"/>
        <w:shd w:val="clear" w:color="auto" w:fill="FFFFFF"/>
        <w:spacing w:before="120" w:beforeAutospacing="0" w:after="120" w:afterAutospacing="0"/>
        <w:rPr>
          <w:rFonts w:ascii="Arial" w:hAnsi="Arial" w:cs="Arial"/>
          <w:color w:val="000000" w:themeColor="text1"/>
          <w:sz w:val="36"/>
          <w:szCs w:val="36"/>
        </w:rPr>
      </w:pPr>
      <w:r w:rsidRPr="006C7907">
        <w:rPr>
          <w:rFonts w:ascii="Arial" w:hAnsi="Arial" w:cs="Arial"/>
          <w:color w:val="000000" w:themeColor="text1"/>
          <w:sz w:val="36"/>
          <w:szCs w:val="36"/>
        </w:rPr>
        <w:t>The goal of this study was to see if the urine Gram stain was accurate.</w:t>
      </w:r>
    </w:p>
    <w:p w:rsidR="00946FD4" w:rsidRDefault="006C7907" w:rsidP="006C7907">
      <w:pPr>
        <w:pStyle w:val="a3"/>
        <w:shd w:val="clear" w:color="auto" w:fill="FFFFFF"/>
        <w:spacing w:before="120" w:beforeAutospacing="0" w:after="120" w:afterAutospacing="0"/>
        <w:rPr>
          <w:rFonts w:ascii="Arial" w:hAnsi="Arial" w:cs="Arial"/>
          <w:color w:val="000000" w:themeColor="text1"/>
          <w:sz w:val="36"/>
          <w:szCs w:val="36"/>
        </w:rPr>
      </w:pPr>
      <w:r w:rsidRPr="006C7907">
        <w:rPr>
          <w:rFonts w:ascii="Arial" w:hAnsi="Arial" w:cs="Arial"/>
          <w:color w:val="000000" w:themeColor="text1"/>
          <w:sz w:val="36"/>
          <w:szCs w:val="36"/>
        </w:rPr>
        <w:t xml:space="preserve"> In comparison to a combination of pyuria plus Gram stain and overall urinal- </w:t>
      </w:r>
      <w:r w:rsidR="0094575A">
        <w:rPr>
          <w:rFonts w:ascii="Arial" w:hAnsi="Arial" w:cs="Arial"/>
          <w:color w:val="000000" w:themeColor="text1"/>
          <w:sz w:val="36"/>
          <w:szCs w:val="36"/>
        </w:rPr>
        <w:t>ysis</w:t>
      </w:r>
    </w:p>
    <w:p w:rsidR="006F6F67" w:rsidRDefault="00946FD4" w:rsidP="006C7907">
      <w:pPr>
        <w:pStyle w:val="a3"/>
        <w:shd w:val="clear" w:color="auto" w:fill="FFFFFF"/>
        <w:spacing w:before="120" w:beforeAutospacing="0" w:after="120" w:afterAutospacing="0"/>
        <w:rPr>
          <w:rFonts w:ascii="Arial" w:hAnsi="Arial" w:cs="Arial"/>
          <w:color w:val="000000" w:themeColor="text1"/>
          <w:sz w:val="36"/>
          <w:szCs w:val="36"/>
        </w:rPr>
      </w:pPr>
      <w:r>
        <w:rPr>
          <w:rFonts w:ascii="Arial" w:hAnsi="Arial" w:cs="Arial"/>
          <w:color w:val="000000" w:themeColor="text1"/>
          <w:sz w:val="36"/>
          <w:szCs w:val="36"/>
        </w:rPr>
        <w:t>63</w:t>
      </w:r>
      <w:r w:rsidR="006C7907" w:rsidRPr="006C7907">
        <w:rPr>
          <w:rFonts w:ascii="Arial" w:hAnsi="Arial" w:cs="Arial"/>
          <w:color w:val="000000" w:themeColor="text1"/>
          <w:sz w:val="36"/>
          <w:szCs w:val="36"/>
        </w:rPr>
        <w:t xml:space="preserve"> (nitrite, leukocyte positivity),For bacteria, use microscopy; for WBC, use microscopy.</w:t>
      </w:r>
    </w:p>
    <w:p w:rsidR="006C7907" w:rsidRPr="00773847" w:rsidRDefault="006C7907" w:rsidP="006C7907">
      <w:pPr>
        <w:pStyle w:val="a3"/>
        <w:shd w:val="clear" w:color="auto" w:fill="FFFFFF"/>
        <w:spacing w:before="120" w:beforeAutospacing="0" w:after="120" w:afterAutospacing="0"/>
        <w:rPr>
          <w:rFonts w:ascii="Arial" w:hAnsi="Arial" w:cs="Arial"/>
          <w:color w:val="000000" w:themeColor="text1"/>
          <w:sz w:val="36"/>
          <w:szCs w:val="36"/>
        </w:rPr>
      </w:pPr>
    </w:p>
    <w:p w:rsidR="00862A41" w:rsidRDefault="00862A41" w:rsidP="00862A41">
      <w:pPr>
        <w:pStyle w:val="a3"/>
        <w:shd w:val="clear" w:color="auto" w:fill="FFFFFF"/>
        <w:spacing w:before="120" w:beforeAutospacing="0" w:after="120" w:afterAutospacing="0"/>
        <w:rPr>
          <w:rFonts w:ascii="Arial" w:hAnsi="Arial" w:cs="Arial"/>
          <w:color w:val="202122"/>
          <w:sz w:val="21"/>
          <w:szCs w:val="21"/>
        </w:rPr>
      </w:pPr>
    </w:p>
    <w:p w:rsidR="000424A9" w:rsidRPr="000424A9" w:rsidRDefault="006F6F67" w:rsidP="000424A9">
      <w:pPr>
        <w:pStyle w:val="a3"/>
        <w:shd w:val="clear" w:color="auto" w:fill="FFFFFF"/>
        <w:spacing w:before="120" w:after="120"/>
        <w:rPr>
          <w:rFonts w:ascii="Arial" w:hAnsi="Arial" w:cs="Arial"/>
          <w:color w:val="202122"/>
          <w:sz w:val="36"/>
          <w:szCs w:val="36"/>
        </w:rPr>
      </w:pPr>
      <w:r w:rsidRPr="006F6F67">
        <w:rPr>
          <w:rFonts w:asciiTheme="minorHAnsi" w:eastAsiaTheme="minorEastAsia" w:hAnsi="Calibri" w:cstheme="minorBidi"/>
          <w:b/>
          <w:bCs/>
          <w:color w:val="FF0000"/>
          <w:kern w:val="24"/>
          <w:sz w:val="40"/>
          <w:szCs w:val="40"/>
        </w:rPr>
        <w:t>•</w:t>
      </w:r>
      <w:r w:rsidR="00862A41" w:rsidRPr="00773847">
        <w:rPr>
          <w:rFonts w:asciiTheme="minorHAnsi" w:eastAsiaTheme="minorEastAsia" w:hAnsi="Calibri" w:cstheme="minorBidi"/>
          <w:b/>
          <w:bCs/>
          <w:color w:val="FF0000"/>
          <w:kern w:val="24"/>
          <w:sz w:val="40"/>
          <w:szCs w:val="40"/>
        </w:rPr>
        <w:t>Materials and methods</w:t>
      </w:r>
      <w:r w:rsidR="00862A41" w:rsidRPr="001E0F19">
        <w:rPr>
          <w:rFonts w:ascii="Arial" w:hAnsi="Arial" w:cs="Arial"/>
          <w:color w:val="FF0000"/>
          <w:sz w:val="36"/>
          <w:szCs w:val="36"/>
        </w:rPr>
        <w:t>:-</w:t>
      </w:r>
      <w:r w:rsidR="00862A41" w:rsidRPr="001E0F19">
        <w:rPr>
          <w:rFonts w:ascii="Arial" w:hAnsi="Arial" w:cs="Arial"/>
          <w:color w:val="202122"/>
          <w:sz w:val="36"/>
          <w:szCs w:val="36"/>
        </w:rPr>
        <w:t xml:space="preserve"> </w:t>
      </w:r>
      <w:r w:rsidR="000424A9" w:rsidRPr="000424A9">
        <w:rPr>
          <w:rFonts w:ascii="Arial" w:hAnsi="Arial" w:cs="Arial"/>
          <w:color w:val="202122"/>
          <w:sz w:val="36"/>
          <w:szCs w:val="36"/>
        </w:rPr>
        <w:t>materials used:</w:t>
      </w:r>
      <w:r w:rsidR="000424A9">
        <w:rPr>
          <w:rFonts w:ascii="Arial" w:hAnsi="Arial" w:cs="Arial"/>
          <w:color w:val="202122"/>
          <w:sz w:val="36"/>
          <w:szCs w:val="36"/>
        </w:rPr>
        <w:t>-</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 xml:space="preserve">solutions of Crystal violet, Gram's jodine, 95 % </w:t>
      </w:r>
      <w:bookmarkStart w:id="0" w:name="_GoBack"/>
      <w:r w:rsidRPr="000424A9">
        <w:rPr>
          <w:rFonts w:ascii="Arial" w:hAnsi="Arial" w:cs="Arial"/>
          <w:color w:val="202122"/>
          <w:sz w:val="36"/>
          <w:szCs w:val="36"/>
        </w:rPr>
        <w:t>ethanol and / or isopropa</w:t>
      </w:r>
    </w:p>
    <w:bookmarkEnd w:id="0"/>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lastRenderedPageBreak/>
        <w:t>acetone mixture (3: 1v /v), and Safranin.</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clean glass slides.</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wire or plastic loops.</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Bunsen Burner.</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Bibulous paper.</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Microscope.</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immersion oil.</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Difco.</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slide warmer.</w:t>
      </w:r>
    </w:p>
    <w:p w:rsidR="000424A9" w:rsidRPr="000424A9"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staining rack.</w:t>
      </w:r>
    </w:p>
    <w:p w:rsidR="00566B6D" w:rsidRDefault="000424A9" w:rsidP="000424A9">
      <w:pPr>
        <w:pStyle w:val="a3"/>
        <w:shd w:val="clear" w:color="auto" w:fill="FFFFFF"/>
        <w:spacing w:before="120" w:after="120"/>
        <w:rPr>
          <w:rFonts w:ascii="Arial" w:hAnsi="Arial" w:cs="Arial"/>
          <w:color w:val="202122"/>
          <w:sz w:val="36"/>
          <w:szCs w:val="36"/>
        </w:rPr>
      </w:pPr>
      <w:r w:rsidRPr="000424A9">
        <w:rPr>
          <w:rFonts w:ascii="Arial" w:hAnsi="Arial" w:cs="Arial"/>
          <w:color w:val="202122"/>
          <w:sz w:val="36"/>
          <w:szCs w:val="36"/>
        </w:rPr>
        <w:t>Bacto Gram stain Reagents frism Difco for the three step Gram Stain.</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 xml:space="preserve">A total of 100 children were enrolled in the Yüzüncü Yil University's Faculty of Medme for the study. </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 xml:space="preserve">Between the Departments of Pediatrics and </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 xml:space="preserve">UTI symptoms were seen between January and June 1999. </w:t>
      </w:r>
    </w:p>
    <w:p w:rsidR="00197E15"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Fever with no apparent source, vomiting, poor appetite, and irritability for infants; abdominal pain and voiding frequency with or without fever for toddlers; and dysuria, frequency, urgency, and abdominal/flank discomfort with or without fever for older children.</w:t>
      </w:r>
    </w:p>
    <w:p w:rsidR="00946FD4" w:rsidRPr="001E0F19" w:rsidRDefault="00946FD4" w:rsidP="00197E15">
      <w:pPr>
        <w:pStyle w:val="a3"/>
        <w:shd w:val="clear" w:color="auto" w:fill="FFFFFF"/>
        <w:spacing w:before="120" w:after="120"/>
        <w:rPr>
          <w:rFonts w:ascii="Arial" w:hAnsi="Arial" w:cs="Arial"/>
          <w:color w:val="202122"/>
          <w:sz w:val="36"/>
          <w:szCs w:val="36"/>
        </w:rPr>
      </w:pPr>
      <w:r w:rsidRPr="00946FD4">
        <w:rPr>
          <w:rFonts w:ascii="Arial" w:hAnsi="Arial" w:cs="Arial"/>
          <w:b/>
          <w:bCs/>
          <w:color w:val="202122"/>
          <w:sz w:val="36"/>
          <w:szCs w:val="36"/>
        </w:rPr>
        <w:lastRenderedPageBreak/>
        <w:t xml:space="preserve"> </w:t>
      </w:r>
      <w:r w:rsidRPr="001E0F19">
        <w:rPr>
          <w:rFonts w:ascii="Arial" w:hAnsi="Arial" w:cs="Arial"/>
          <w:color w:val="202122"/>
          <w:sz w:val="36"/>
          <w:szCs w:val="36"/>
        </w:rPr>
        <w:t>Children who were taking antibiotics were not included in the study.</w:t>
      </w:r>
    </w:p>
    <w:p w:rsidR="00197E15"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Physical examinations</w:t>
      </w:r>
      <w:r w:rsidR="00197E15" w:rsidRPr="001E0F19">
        <w:rPr>
          <w:rFonts w:ascii="Arial" w:hAnsi="Arial" w:cs="Arial"/>
          <w:color w:val="202122"/>
          <w:sz w:val="36"/>
          <w:szCs w:val="36"/>
        </w:rPr>
        <w:t>:-</w:t>
      </w:r>
      <w:r w:rsidRPr="001E0F19">
        <w:rPr>
          <w:rFonts w:ascii="Arial" w:hAnsi="Arial" w:cs="Arial"/>
          <w:color w:val="202122"/>
          <w:sz w:val="36"/>
          <w:szCs w:val="36"/>
        </w:rPr>
        <w:t xml:space="preserve"> were conducted on all children, as well as</w:t>
      </w:r>
    </w:p>
    <w:p w:rsidR="00197E15" w:rsidRPr="001E0F19" w:rsidRDefault="00946FD4" w:rsidP="00197E15">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 xml:space="preserve"> four urinalysis tests</w:t>
      </w:r>
      <w:r w:rsidR="00197E15" w:rsidRPr="001E0F19">
        <w:rPr>
          <w:rFonts w:ascii="Arial" w:hAnsi="Arial" w:cs="Arial"/>
          <w:color w:val="202122"/>
          <w:sz w:val="36"/>
          <w:szCs w:val="36"/>
        </w:rPr>
        <w:t>:-1-</w:t>
      </w:r>
      <w:r w:rsidRPr="001E0F19">
        <w:rPr>
          <w:rFonts w:ascii="Arial" w:hAnsi="Arial" w:cs="Arial"/>
          <w:color w:val="202122"/>
          <w:sz w:val="36"/>
          <w:szCs w:val="36"/>
        </w:rPr>
        <w:t xml:space="preserve"> (leukocyte microscopy for bacteria and microscopy for pyuria), </w:t>
      </w:r>
    </w:p>
    <w:p w:rsidR="00197E15" w:rsidRPr="001E0F19" w:rsidRDefault="00197E15" w:rsidP="00197E15">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2-</w:t>
      </w:r>
      <w:r w:rsidR="00946FD4" w:rsidRPr="001E0F19">
        <w:rPr>
          <w:rFonts w:ascii="Arial" w:hAnsi="Arial" w:cs="Arial"/>
          <w:color w:val="202122"/>
          <w:sz w:val="36"/>
          <w:szCs w:val="36"/>
        </w:rPr>
        <w:t>urinary Gram stain, and urinary culture.</w:t>
      </w:r>
    </w:p>
    <w:p w:rsidR="00946FD4" w:rsidRPr="001E0F19" w:rsidRDefault="00946FD4" w:rsidP="00197E15">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 xml:space="preserve"> The erythrocyte sedimentation rate, complete blood count, and peripheral blood smear were also examined. The children who were diagnosed with UTI were given the appropriate antibiotic based on the antibiogram results. </w:t>
      </w:r>
    </w:p>
    <w:p w:rsidR="00946FD4" w:rsidRPr="00946FD4" w:rsidRDefault="00946FD4" w:rsidP="00946FD4">
      <w:pPr>
        <w:pStyle w:val="a3"/>
        <w:shd w:val="clear" w:color="auto" w:fill="FFFFFF"/>
        <w:spacing w:before="120" w:after="120"/>
        <w:rPr>
          <w:rFonts w:ascii="Arial" w:hAnsi="Arial" w:cs="Arial"/>
          <w:b/>
          <w:bCs/>
          <w:color w:val="202122"/>
          <w:sz w:val="36"/>
          <w:szCs w:val="36"/>
        </w:rPr>
      </w:pPr>
      <w:r w:rsidRPr="001E0F19">
        <w:rPr>
          <w:rFonts w:ascii="Arial" w:hAnsi="Arial" w:cs="Arial"/>
          <w:color w:val="202122"/>
          <w:sz w:val="36"/>
          <w:szCs w:val="36"/>
        </w:rPr>
        <w:t>Urine was collected in babies using an adhesive, sealed, sterile collecting bag after the skin of the genitals had been disinfected. A midstream urine sample was taken from toilet-trained children</w:t>
      </w:r>
      <w:r w:rsidRPr="00946FD4">
        <w:rPr>
          <w:rFonts w:ascii="Arial" w:hAnsi="Arial" w:cs="Arial"/>
          <w:b/>
          <w:bCs/>
          <w:color w:val="202122"/>
          <w:sz w:val="36"/>
          <w:szCs w:val="36"/>
        </w:rPr>
        <w:t xml:space="preserve"> .</w:t>
      </w:r>
    </w:p>
    <w:p w:rsidR="00946FD4" w:rsidRPr="00946FD4" w:rsidRDefault="003110BD" w:rsidP="003110BD">
      <w:pPr>
        <w:pStyle w:val="a3"/>
        <w:shd w:val="clear" w:color="auto" w:fill="FFFFFF"/>
        <w:spacing w:before="120" w:after="120"/>
        <w:rPr>
          <w:rFonts w:ascii="Arial" w:hAnsi="Arial" w:cs="Arial"/>
          <w:b/>
          <w:bCs/>
          <w:color w:val="202122"/>
          <w:sz w:val="36"/>
          <w:szCs w:val="36"/>
        </w:rPr>
      </w:pPr>
      <w:r>
        <w:rPr>
          <w:rFonts w:ascii="Arial" w:hAnsi="Arial" w:cs="Arial"/>
          <w:b/>
          <w:bCs/>
          <w:noProof/>
          <w:color w:val="202122"/>
          <w:sz w:val="36"/>
          <w:szCs w:val="36"/>
        </w:rPr>
        <w:lastRenderedPageBreak/>
        <w:drawing>
          <wp:inline distT="0" distB="0" distL="0" distR="0">
            <wp:extent cx="5076825" cy="3807924"/>
            <wp:effectExtent l="0" t="0" r="0" b="254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hoto_2022-06-11_21-51-30.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076825" cy="3807924"/>
                    </a:xfrm>
                    <a:prstGeom prst="rect">
                      <a:avLst/>
                    </a:prstGeom>
                  </pic:spPr>
                </pic:pic>
              </a:graphicData>
            </a:graphic>
          </wp:inline>
        </w:drawing>
      </w:r>
    </w:p>
    <w:p w:rsidR="00946FD4" w:rsidRPr="001E0F19" w:rsidRDefault="00946FD4" w:rsidP="00946FD4">
      <w:pPr>
        <w:pStyle w:val="a3"/>
        <w:shd w:val="clear" w:color="auto" w:fill="FFFFFF"/>
        <w:spacing w:before="120" w:after="120"/>
        <w:rPr>
          <w:rFonts w:ascii="Arial" w:hAnsi="Arial" w:cs="Arial"/>
          <w:color w:val="202122"/>
          <w:sz w:val="36"/>
          <w:szCs w:val="36"/>
        </w:rPr>
      </w:pPr>
      <w:r w:rsidRPr="00946FD4">
        <w:rPr>
          <w:rFonts w:ascii="Arial" w:hAnsi="Arial" w:cs="Arial"/>
          <w:b/>
          <w:bCs/>
          <w:color w:val="202122"/>
          <w:sz w:val="36"/>
          <w:szCs w:val="36"/>
        </w:rPr>
        <w:t xml:space="preserve"> </w:t>
      </w:r>
      <w:r w:rsidRPr="001E0F19">
        <w:rPr>
          <w:rFonts w:ascii="Arial" w:hAnsi="Arial" w:cs="Arial"/>
          <w:color w:val="202122"/>
          <w:sz w:val="36"/>
          <w:szCs w:val="36"/>
        </w:rPr>
        <w:t xml:space="preserve">An "overall urinalysis" test was devised in order to improve the sensitivity of urinalysis. If nitrite, leukocvte esterase, direct microscopy without Gram stain for bacteria, or microscopy for WBC were positive, it was termed positive. </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 xml:space="preserve">If any organisms were found on a survey of 20 oil immersion fields, Gram stains were positive. </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Ouanttauve urine culture WaS DET was created by inoculating sheep blood agar and cosine metilen blue agar culture plates with a loop calibrated to deliver 0.01 ml. All plates were incubated at 35°C for 24 and 4 hours before being read.</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A positive urine culture was found in 70 (70%) of</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100 children aged two to fifteen years: 40 females</w:t>
      </w:r>
      <w:r w:rsidR="003110BD" w:rsidRPr="001E0F19">
        <w:rPr>
          <w:rFonts w:ascii="Arial" w:hAnsi="Arial" w:cs="Arial"/>
          <w:color w:val="202122"/>
          <w:sz w:val="36"/>
          <w:szCs w:val="36"/>
        </w:rPr>
        <w:t>.</w:t>
      </w:r>
    </w:p>
    <w:p w:rsidR="003110BD" w:rsidRDefault="00946FD4" w:rsidP="00946FD4">
      <w:pPr>
        <w:pStyle w:val="a3"/>
        <w:shd w:val="clear" w:color="auto" w:fill="FFFFFF"/>
        <w:spacing w:before="120" w:after="120"/>
        <w:rPr>
          <w:rFonts w:ascii="Arial" w:hAnsi="Arial" w:cs="Arial"/>
          <w:b/>
          <w:bCs/>
          <w:color w:val="202122"/>
          <w:sz w:val="36"/>
          <w:szCs w:val="36"/>
        </w:rPr>
      </w:pPr>
      <w:r w:rsidRPr="001E0F19">
        <w:rPr>
          <w:rFonts w:ascii="Arial" w:hAnsi="Arial" w:cs="Arial"/>
          <w:color w:val="202122"/>
          <w:sz w:val="36"/>
          <w:szCs w:val="36"/>
        </w:rPr>
        <w:t>(57%) and 30 boys (43 percent).</w:t>
      </w:r>
      <w:r w:rsidRPr="00946FD4">
        <w:rPr>
          <w:rFonts w:ascii="Arial" w:hAnsi="Arial" w:cs="Arial"/>
          <w:b/>
          <w:bCs/>
          <w:color w:val="202122"/>
          <w:sz w:val="36"/>
          <w:szCs w:val="36"/>
        </w:rPr>
        <w:t xml:space="preserve"> </w:t>
      </w:r>
    </w:p>
    <w:p w:rsidR="00946FD4" w:rsidRPr="001E0F19" w:rsidRDefault="003110BD" w:rsidP="003110BD">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lastRenderedPageBreak/>
        <w:t xml:space="preserve">The most </w:t>
      </w:r>
      <w:r w:rsidR="00946FD4" w:rsidRPr="001E0F19">
        <w:rPr>
          <w:rFonts w:ascii="Arial" w:hAnsi="Arial" w:cs="Arial"/>
          <w:color w:val="202122"/>
          <w:sz w:val="36"/>
          <w:szCs w:val="36"/>
        </w:rPr>
        <w:t xml:space="preserve">commonly isolated agent was Escherichia coli. </w:t>
      </w:r>
    </w:p>
    <w:p w:rsidR="00946FD4" w:rsidRPr="001E0F19" w:rsidRDefault="003110BD"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 xml:space="preserve"> The </w:t>
      </w:r>
      <w:r w:rsidR="00946FD4" w:rsidRPr="001E0F19">
        <w:rPr>
          <w:rFonts w:ascii="Arial" w:hAnsi="Arial" w:cs="Arial"/>
          <w:color w:val="202122"/>
          <w:sz w:val="36"/>
          <w:szCs w:val="36"/>
        </w:rPr>
        <w:t>urine Gram stain had a sensitivity and specificity of</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80% and 83 percent, respectively, while the</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combination of pyuria with Gram stain had a</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sensitivity and specificity of 42 percent and 90</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percent, and the overall urinalysis had a</w:t>
      </w:r>
      <w:r w:rsidR="001E0F19" w:rsidRPr="001E0F19">
        <w:rPr>
          <w:rFonts w:ascii="Arial" w:hAnsi="Arial" w:cs="Arial"/>
          <w:color w:val="202122"/>
          <w:sz w:val="36"/>
          <w:szCs w:val="36"/>
        </w:rPr>
        <w:t>,</w:t>
      </w:r>
      <w:r w:rsidRPr="001E0F19">
        <w:rPr>
          <w:rFonts w:ascii="Arial" w:hAnsi="Arial" w:cs="Arial"/>
          <w:color w:val="202122"/>
          <w:sz w:val="36"/>
          <w:szCs w:val="36"/>
        </w:rPr>
        <w:t xml:space="preserve"> sensitivity</w:t>
      </w:r>
    </w:p>
    <w:p w:rsidR="00946FD4" w:rsidRPr="001E0F19" w:rsidRDefault="00946FD4" w:rsidP="00946FD4">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and specificity of 74 percent and 3.5 percent.</w:t>
      </w:r>
    </w:p>
    <w:p w:rsidR="00862A41" w:rsidRPr="001E0F19" w:rsidRDefault="00946FD4" w:rsidP="001E0F19">
      <w:pPr>
        <w:pStyle w:val="a3"/>
        <w:shd w:val="clear" w:color="auto" w:fill="FFFFFF"/>
        <w:spacing w:before="120" w:after="120"/>
        <w:rPr>
          <w:rFonts w:ascii="Arial" w:hAnsi="Arial" w:cs="Arial"/>
          <w:color w:val="202122"/>
          <w:sz w:val="36"/>
          <w:szCs w:val="36"/>
        </w:rPr>
      </w:pPr>
      <w:r w:rsidRPr="001E0F19">
        <w:rPr>
          <w:rFonts w:ascii="Arial" w:hAnsi="Arial" w:cs="Arial"/>
          <w:color w:val="202122"/>
          <w:sz w:val="36"/>
          <w:szCs w:val="36"/>
        </w:rPr>
        <w:t>According to our findings, the Neith Back method of</w:t>
      </w:r>
      <w:r w:rsidR="001E0F19" w:rsidRPr="001E0F19">
        <w:rPr>
          <w:rFonts w:ascii="Arial" w:hAnsi="Arial" w:cs="Arial"/>
          <w:color w:val="202122"/>
          <w:sz w:val="36"/>
          <w:szCs w:val="36"/>
        </w:rPr>
        <w:t xml:space="preserve"> urine screening should be use.</w:t>
      </w:r>
    </w:p>
    <w:p w:rsidR="00133AFB" w:rsidRPr="004D7F6E" w:rsidRDefault="00862A41" w:rsidP="00133AFB">
      <w:pPr>
        <w:tabs>
          <w:tab w:val="left" w:pos="3480"/>
          <w:tab w:val="left" w:pos="3596"/>
          <w:tab w:val="right" w:pos="8306"/>
        </w:tabs>
        <w:jc w:val="right"/>
        <w:rPr>
          <w:rFonts w:eastAsiaTheme="minorEastAsia" w:hAnsi="Calibri"/>
          <w:b/>
          <w:bCs/>
          <w:color w:val="000000" w:themeColor="text1"/>
          <w:kern w:val="24"/>
          <w:sz w:val="40"/>
          <w:szCs w:val="40"/>
          <w:rtl/>
        </w:rPr>
      </w:pPr>
      <w:r>
        <w:rPr>
          <w:rFonts w:eastAsiaTheme="minorEastAsia" w:hAnsi="Calibri"/>
          <w:b/>
          <w:bCs/>
          <w:color w:val="FF0000"/>
          <w:kern w:val="24"/>
          <w:sz w:val="36"/>
          <w:szCs w:val="36"/>
        </w:rPr>
        <w:tab/>
      </w:r>
      <w:r w:rsidR="003978D6">
        <w:rPr>
          <w:rFonts w:eastAsiaTheme="minorEastAsia" w:hAnsi="Calibri"/>
          <w:b/>
          <w:bCs/>
          <w:color w:val="FF0000"/>
          <w:kern w:val="24"/>
          <w:sz w:val="40"/>
          <w:szCs w:val="40"/>
        </w:rPr>
        <w:t xml:space="preserve"> </w:t>
      </w:r>
      <w:r w:rsidR="006F6F67" w:rsidRPr="006F6F67">
        <w:rPr>
          <w:rFonts w:eastAsiaTheme="minorEastAsia" w:hAnsi="Calibri"/>
          <w:b/>
          <w:bCs/>
          <w:color w:val="FF0000"/>
          <w:kern w:val="24"/>
          <w:sz w:val="40"/>
          <w:szCs w:val="40"/>
        </w:rPr>
        <w:t>•</w:t>
      </w:r>
      <w:r w:rsidR="00F22D4F">
        <w:rPr>
          <w:rFonts w:eastAsiaTheme="minorEastAsia" w:hAnsi="Calibri"/>
          <w:b/>
          <w:bCs/>
          <w:color w:val="FF0000"/>
          <w:kern w:val="24"/>
          <w:sz w:val="40"/>
          <w:szCs w:val="40"/>
        </w:rPr>
        <w:t>Results</w:t>
      </w:r>
      <w:r w:rsidR="003978D6">
        <w:rPr>
          <w:rFonts w:eastAsiaTheme="minorEastAsia" w:hAnsi="Calibri"/>
          <w:b/>
          <w:bCs/>
          <w:color w:val="FF0000"/>
          <w:kern w:val="24"/>
          <w:sz w:val="40"/>
          <w:szCs w:val="40"/>
        </w:rPr>
        <w:t xml:space="preserve"> and analysis</w:t>
      </w:r>
      <w:r w:rsidR="00133AFB">
        <w:rPr>
          <w:rFonts w:eastAsiaTheme="minorEastAsia" w:hAnsi="Calibri"/>
          <w:b/>
          <w:bCs/>
          <w:color w:val="FF0000"/>
          <w:kern w:val="24"/>
          <w:sz w:val="40"/>
          <w:szCs w:val="40"/>
        </w:rPr>
        <w:t>:-</w:t>
      </w:r>
    </w:p>
    <w:p w:rsidR="00133AFB" w:rsidRPr="00D8316E" w:rsidRDefault="00F22D4F" w:rsidP="00133AFB">
      <w:pPr>
        <w:tabs>
          <w:tab w:val="left" w:pos="3480"/>
          <w:tab w:val="left" w:pos="3596"/>
          <w:tab w:val="right" w:pos="8306"/>
        </w:tabs>
        <w:rPr>
          <w:rFonts w:eastAsiaTheme="minorEastAsia" w:hAnsi="Calibri"/>
          <w:color w:val="000000" w:themeColor="text1"/>
          <w:kern w:val="24"/>
          <w:sz w:val="40"/>
          <w:szCs w:val="40"/>
        </w:rPr>
      </w:pPr>
      <w:r w:rsidRPr="004D7F6E">
        <w:rPr>
          <w:rFonts w:eastAsiaTheme="minorEastAsia" w:hAnsi="Calibri"/>
          <w:b/>
          <w:bCs/>
          <w:color w:val="000000" w:themeColor="text1"/>
          <w:kern w:val="24"/>
          <w:sz w:val="40"/>
          <w:szCs w:val="40"/>
        </w:rPr>
        <w:t xml:space="preserve"> </w:t>
      </w:r>
      <w:r w:rsidR="00133AFB" w:rsidRPr="00D8316E">
        <w:rPr>
          <w:rFonts w:eastAsiaTheme="minorEastAsia" w:hAnsi="Calibri"/>
          <w:color w:val="000000" w:themeColor="text1"/>
          <w:kern w:val="24"/>
          <w:sz w:val="40"/>
          <w:szCs w:val="40"/>
        </w:rPr>
        <w:t>The study comprised 100 children, ranging in age</w:t>
      </w:r>
    </w:p>
    <w:p w:rsidR="00133AFB" w:rsidRPr="00D8316E" w:rsidRDefault="00133AFB" w:rsidP="00133AFB">
      <w:pPr>
        <w:tabs>
          <w:tab w:val="left" w:pos="3480"/>
          <w:tab w:val="left" w:pos="3596"/>
          <w:tab w:val="right" w:pos="8306"/>
        </w:tabs>
        <w:rPr>
          <w:rFonts w:eastAsiaTheme="minorEastAsia" w:hAnsi="Calibri"/>
          <w:color w:val="000000" w:themeColor="text1"/>
          <w:kern w:val="24"/>
          <w:sz w:val="40"/>
          <w:szCs w:val="40"/>
        </w:rPr>
      </w:pPr>
      <w:r w:rsidRPr="00D8316E">
        <w:rPr>
          <w:rFonts w:eastAsiaTheme="minorEastAsia" w:hAnsi="Calibri"/>
          <w:color w:val="000000" w:themeColor="text1"/>
          <w:kern w:val="24"/>
          <w:sz w:val="40"/>
          <w:szCs w:val="40"/>
        </w:rPr>
        <w:t>from two days to fifteen years, with 52 girls 52%</w:t>
      </w:r>
      <w:r w:rsidRPr="00D8316E">
        <w:rPr>
          <w:rFonts w:eastAsiaTheme="minorEastAsia" w:hAnsi="Calibri" w:cs="Arial"/>
          <w:color w:val="000000" w:themeColor="text1"/>
          <w:kern w:val="24"/>
          <w:sz w:val="40"/>
          <w:szCs w:val="40"/>
          <w:rtl/>
        </w:rPr>
        <w:t>)</w:t>
      </w:r>
    </w:p>
    <w:p w:rsidR="00133AFB" w:rsidRPr="00D8316E" w:rsidRDefault="00133AFB" w:rsidP="00133AFB">
      <w:pPr>
        <w:tabs>
          <w:tab w:val="left" w:pos="3480"/>
          <w:tab w:val="left" w:pos="3596"/>
          <w:tab w:val="right" w:pos="8306"/>
        </w:tabs>
        <w:rPr>
          <w:rFonts w:eastAsiaTheme="minorEastAsia" w:hAnsi="Calibri"/>
          <w:color w:val="000000" w:themeColor="text1"/>
          <w:kern w:val="24"/>
          <w:sz w:val="40"/>
          <w:szCs w:val="40"/>
          <w:rtl/>
        </w:rPr>
      </w:pPr>
      <w:r w:rsidRPr="00D8316E">
        <w:rPr>
          <w:rFonts w:eastAsiaTheme="minorEastAsia" w:hAnsi="Calibri"/>
          <w:color w:val="000000" w:themeColor="text1"/>
          <w:kern w:val="24"/>
          <w:sz w:val="40"/>
          <w:szCs w:val="40"/>
        </w:rPr>
        <w:t>and 48 boys (48%) participating (48 percent).</w:t>
      </w:r>
    </w:p>
    <w:p w:rsidR="00133AFB" w:rsidRPr="00D8316E" w:rsidRDefault="00133AFB" w:rsidP="00133AFB">
      <w:pPr>
        <w:tabs>
          <w:tab w:val="left" w:pos="3480"/>
          <w:tab w:val="left" w:pos="3596"/>
          <w:tab w:val="right" w:pos="8306"/>
        </w:tabs>
        <w:rPr>
          <w:rFonts w:eastAsiaTheme="minorEastAsia" w:hAnsi="Calibri"/>
          <w:color w:val="000000" w:themeColor="text1"/>
          <w:kern w:val="24"/>
          <w:sz w:val="40"/>
          <w:szCs w:val="40"/>
          <w:rtl/>
        </w:rPr>
      </w:pPr>
      <w:r w:rsidRPr="00D8316E">
        <w:rPr>
          <w:rFonts w:eastAsiaTheme="minorEastAsia" w:hAnsi="Calibri"/>
          <w:color w:val="000000" w:themeColor="text1"/>
          <w:kern w:val="24"/>
          <w:sz w:val="40"/>
          <w:szCs w:val="40"/>
        </w:rPr>
        <w:t xml:space="preserve">A positive urine culture was found in 70 (70%) of </w:t>
      </w:r>
    </w:p>
    <w:p w:rsidR="0094476E" w:rsidRPr="0094476E" w:rsidRDefault="00133AFB" w:rsidP="0094476E">
      <w:pPr>
        <w:tabs>
          <w:tab w:val="left" w:pos="3480"/>
          <w:tab w:val="left" w:pos="3596"/>
          <w:tab w:val="right" w:pos="8306"/>
        </w:tabs>
        <w:rPr>
          <w:rFonts w:eastAsiaTheme="minorEastAsia" w:hAnsi="Calibri"/>
          <w:color w:val="000000" w:themeColor="text1"/>
          <w:kern w:val="24"/>
          <w:sz w:val="40"/>
          <w:szCs w:val="40"/>
          <w:rtl/>
        </w:rPr>
      </w:pPr>
      <w:r w:rsidRPr="00D8316E">
        <w:rPr>
          <w:rFonts w:eastAsiaTheme="minorEastAsia" w:hAnsi="Calibri"/>
          <w:color w:val="000000" w:themeColor="text1"/>
          <w:kern w:val="24"/>
          <w:sz w:val="40"/>
          <w:szCs w:val="40"/>
        </w:rPr>
        <w:t>children, with 40 girls (57%) and 30 boys (43</w:t>
      </w:r>
      <w:r w:rsidR="00D8316E" w:rsidRPr="00D8316E">
        <w:t xml:space="preserve"> </w:t>
      </w:r>
      <w:r w:rsidR="00D8316E" w:rsidRPr="00D8316E">
        <w:rPr>
          <w:rFonts w:eastAsiaTheme="minorEastAsia" w:hAnsi="Calibri"/>
          <w:color w:val="000000" w:themeColor="text1"/>
          <w:kern w:val="24"/>
          <w:sz w:val="40"/>
          <w:szCs w:val="40"/>
        </w:rPr>
        <w:t xml:space="preserve">These kids were all under the age of five. There is a significant difference in gender and age groups </w:t>
      </w:r>
      <w:r w:rsidR="00FC0758">
        <w:rPr>
          <w:rFonts w:eastAsiaTheme="minorEastAsia" w:hAnsi="Calibri"/>
          <w:color w:val="000000" w:themeColor="text1"/>
          <w:kern w:val="24"/>
          <w:sz w:val="40"/>
          <w:szCs w:val="40"/>
        </w:rPr>
        <w:t>(p</w:t>
      </w:r>
      <w:r w:rsidR="00D8316E" w:rsidRPr="00D8316E">
        <w:rPr>
          <w:rFonts w:eastAsiaTheme="minorEastAsia" w:hAnsi="Calibri"/>
          <w:color w:val="000000" w:themeColor="text1"/>
          <w:kern w:val="24"/>
          <w:sz w:val="40"/>
          <w:szCs w:val="40"/>
        </w:rPr>
        <w:t>05). (Table 1). 33 (47%) of the cultures tested positive for E. coli, 13 (18.5%) for Klebsiella pneumonia, seven (10%) for Proteus mirabilis,</w:t>
      </w:r>
      <w:r w:rsidR="00D8316E" w:rsidRPr="00D8316E">
        <w:rPr>
          <w:rFonts w:eastAsiaTheme="minorEastAsia" w:hAnsi="Calibri"/>
          <w:b/>
          <w:bCs/>
          <w:color w:val="000000" w:themeColor="text1"/>
          <w:kern w:val="24"/>
          <w:sz w:val="40"/>
          <w:szCs w:val="40"/>
        </w:rPr>
        <w:t xml:space="preserve"> </w:t>
      </w:r>
      <w:r w:rsidR="00D8316E" w:rsidRPr="00D8316E">
        <w:rPr>
          <w:rFonts w:eastAsiaTheme="minorEastAsia" w:hAnsi="Calibri"/>
          <w:color w:val="000000" w:themeColor="text1"/>
          <w:kern w:val="24"/>
          <w:sz w:val="40"/>
          <w:szCs w:val="40"/>
        </w:rPr>
        <w:t>and</w:t>
      </w:r>
      <w:r w:rsidR="00D8316E" w:rsidRPr="00D8316E">
        <w:rPr>
          <w:rFonts w:eastAsiaTheme="minorEastAsia" w:hAnsi="Calibri"/>
          <w:b/>
          <w:bCs/>
          <w:color w:val="000000" w:themeColor="text1"/>
          <w:kern w:val="24"/>
          <w:sz w:val="40"/>
          <w:szCs w:val="40"/>
        </w:rPr>
        <w:t xml:space="preserve"> </w:t>
      </w:r>
      <w:r w:rsidR="00D8316E" w:rsidRPr="00FC0758">
        <w:rPr>
          <w:rFonts w:eastAsiaTheme="minorEastAsia" w:hAnsi="Calibri"/>
          <w:color w:val="000000" w:themeColor="text1"/>
          <w:kern w:val="24"/>
          <w:sz w:val="40"/>
          <w:szCs w:val="40"/>
        </w:rPr>
        <w:lastRenderedPageBreak/>
        <w:t>six (8.5%) for Sta</w:t>
      </w:r>
      <w:r w:rsidR="00FC0758">
        <w:rPr>
          <w:rFonts w:eastAsiaTheme="minorEastAsia" w:hAnsi="Calibri"/>
          <w:color w:val="000000" w:themeColor="text1"/>
          <w:kern w:val="24"/>
          <w:sz w:val="40"/>
          <w:szCs w:val="40"/>
        </w:rPr>
        <w:t>phylococci, etc</w:t>
      </w:r>
      <w:r w:rsidR="0094476E">
        <w:rPr>
          <w:rFonts w:eastAsiaTheme="minorEastAsia" w:hAnsi="Calibri"/>
          <w:color w:val="000000" w:themeColor="text1"/>
          <w:kern w:val="24"/>
          <w:sz w:val="40"/>
          <w:szCs w:val="40"/>
        </w:rPr>
        <w:t xml:space="preserve"> the </w:t>
      </w:r>
      <w:r w:rsidR="0094476E" w:rsidRPr="0094476E">
        <w:rPr>
          <w:rFonts w:eastAsiaTheme="minorEastAsia" w:hAnsi="Calibri"/>
          <w:color w:val="000000" w:themeColor="text1"/>
          <w:kern w:val="24"/>
          <w:sz w:val="40"/>
          <w:szCs w:val="40"/>
        </w:rPr>
        <w:t>(Table 2). The clinical and analytical characteristics</w:t>
      </w:r>
    </w:p>
    <w:p w:rsidR="0094476E" w:rsidRPr="0094476E" w:rsidRDefault="0094476E" w:rsidP="0094476E">
      <w:pPr>
        <w:tabs>
          <w:tab w:val="left" w:pos="3480"/>
          <w:tab w:val="left" w:pos="3596"/>
          <w:tab w:val="right" w:pos="8306"/>
        </w:tabs>
        <w:rPr>
          <w:rFonts w:eastAsiaTheme="minorEastAsia" w:hAnsi="Calibri"/>
          <w:color w:val="000000" w:themeColor="text1"/>
          <w:kern w:val="24"/>
          <w:sz w:val="40"/>
          <w:szCs w:val="40"/>
        </w:rPr>
      </w:pPr>
      <w:r w:rsidRPr="0094476E">
        <w:rPr>
          <w:rFonts w:eastAsiaTheme="minorEastAsia" w:hAnsi="Calibri"/>
          <w:color w:val="000000" w:themeColor="text1"/>
          <w:kern w:val="24"/>
          <w:sz w:val="40"/>
          <w:szCs w:val="40"/>
        </w:rPr>
        <w:t>of the children with positive and negative urine</w:t>
      </w:r>
    </w:p>
    <w:p w:rsidR="0094476E" w:rsidRPr="0094476E" w:rsidRDefault="0094476E" w:rsidP="0094476E">
      <w:pPr>
        <w:tabs>
          <w:tab w:val="left" w:pos="3480"/>
          <w:tab w:val="left" w:pos="3596"/>
          <w:tab w:val="right" w:pos="8306"/>
        </w:tabs>
        <w:rPr>
          <w:rFonts w:eastAsiaTheme="minorEastAsia" w:hAnsi="Calibri"/>
          <w:color w:val="000000" w:themeColor="text1"/>
          <w:kern w:val="24"/>
          <w:sz w:val="40"/>
          <w:szCs w:val="40"/>
        </w:rPr>
      </w:pPr>
      <w:r w:rsidRPr="0094476E">
        <w:rPr>
          <w:rFonts w:eastAsiaTheme="minorEastAsia" w:hAnsi="Calibri"/>
          <w:color w:val="000000" w:themeColor="text1"/>
          <w:kern w:val="24"/>
          <w:sz w:val="40"/>
          <w:szCs w:val="40"/>
        </w:rPr>
        <w:t xml:space="preserve">cultures are summarized in </w:t>
      </w:r>
      <w:r w:rsidR="00E44BAB">
        <w:rPr>
          <w:rFonts w:eastAsiaTheme="minorEastAsia" w:hAnsi="Calibri"/>
          <w:color w:val="000000" w:themeColor="text1"/>
          <w:kern w:val="24"/>
          <w:sz w:val="40"/>
          <w:szCs w:val="40"/>
        </w:rPr>
        <w:t>(</w:t>
      </w:r>
      <w:r w:rsidRPr="0094476E">
        <w:rPr>
          <w:rFonts w:eastAsiaTheme="minorEastAsia" w:hAnsi="Calibri"/>
          <w:color w:val="000000" w:themeColor="text1"/>
          <w:kern w:val="24"/>
          <w:sz w:val="40"/>
          <w:szCs w:val="40"/>
        </w:rPr>
        <w:t>Table 3</w:t>
      </w:r>
      <w:r w:rsidR="00E44BAB">
        <w:rPr>
          <w:rFonts w:eastAsiaTheme="minorEastAsia" w:hAnsi="Calibri"/>
          <w:color w:val="000000" w:themeColor="text1"/>
          <w:kern w:val="24"/>
          <w:sz w:val="40"/>
          <w:szCs w:val="40"/>
        </w:rPr>
        <w:t>)</w:t>
      </w:r>
      <w:r w:rsidRPr="0094476E">
        <w:rPr>
          <w:rFonts w:eastAsiaTheme="minorEastAsia" w:hAnsi="Calibri" w:cs="Arial"/>
          <w:color w:val="000000" w:themeColor="text1"/>
          <w:kern w:val="24"/>
          <w:sz w:val="40"/>
          <w:szCs w:val="40"/>
          <w:rtl/>
        </w:rPr>
        <w:t>.</w:t>
      </w:r>
    </w:p>
    <w:p w:rsidR="0094476E" w:rsidRPr="0094476E" w:rsidRDefault="0094476E" w:rsidP="0094476E">
      <w:pPr>
        <w:tabs>
          <w:tab w:val="left" w:pos="3480"/>
          <w:tab w:val="left" w:pos="3596"/>
          <w:tab w:val="right" w:pos="8306"/>
        </w:tabs>
        <w:rPr>
          <w:rFonts w:eastAsiaTheme="minorEastAsia" w:hAnsi="Calibri"/>
          <w:color w:val="000000" w:themeColor="text1"/>
          <w:kern w:val="24"/>
          <w:sz w:val="40"/>
          <w:szCs w:val="40"/>
        </w:rPr>
      </w:pPr>
      <w:r w:rsidRPr="0094476E">
        <w:rPr>
          <w:rFonts w:eastAsiaTheme="minorEastAsia" w:hAnsi="Calibri"/>
          <w:color w:val="000000" w:themeColor="text1"/>
          <w:kern w:val="24"/>
          <w:sz w:val="40"/>
          <w:szCs w:val="40"/>
        </w:rPr>
        <w:t>There was a significant difference in culture</w:t>
      </w:r>
    </w:p>
    <w:p w:rsidR="0094476E" w:rsidRPr="0094476E" w:rsidRDefault="0094476E" w:rsidP="0094476E">
      <w:pPr>
        <w:tabs>
          <w:tab w:val="left" w:pos="3480"/>
          <w:tab w:val="left" w:pos="3596"/>
          <w:tab w:val="right" w:pos="8306"/>
        </w:tabs>
        <w:rPr>
          <w:rFonts w:eastAsiaTheme="minorEastAsia" w:hAnsi="Calibri"/>
          <w:color w:val="000000" w:themeColor="text1"/>
          <w:kern w:val="24"/>
          <w:sz w:val="40"/>
          <w:szCs w:val="40"/>
          <w:rtl/>
        </w:rPr>
      </w:pPr>
      <w:r w:rsidRPr="0094476E">
        <w:rPr>
          <w:rFonts w:eastAsiaTheme="minorEastAsia" w:hAnsi="Calibri"/>
          <w:color w:val="000000" w:themeColor="text1"/>
          <w:kern w:val="24"/>
          <w:sz w:val="40"/>
          <w:szCs w:val="40"/>
        </w:rPr>
        <w:t>positiveness between the age groups (× 3.27; p</w:t>
      </w:r>
      <w:r>
        <w:rPr>
          <w:rFonts w:eastAsiaTheme="minorEastAsia" w:hAnsi="Calibri"/>
          <w:color w:val="000000" w:themeColor="text1"/>
          <w:kern w:val="24"/>
          <w:sz w:val="40"/>
          <w:szCs w:val="40"/>
        </w:rPr>
        <w:t>&gt;0.05</w:t>
      </w:r>
    </w:p>
    <w:p w:rsidR="0094476E" w:rsidRPr="00E44BAB" w:rsidRDefault="0094476E" w:rsidP="0094476E">
      <w:pPr>
        <w:tabs>
          <w:tab w:val="left" w:pos="3480"/>
          <w:tab w:val="left" w:pos="3596"/>
          <w:tab w:val="right" w:pos="8306"/>
        </w:tabs>
        <w:rPr>
          <w:rFonts w:eastAsiaTheme="minorEastAsia" w:hAnsi="Calibri"/>
          <w:color w:val="000000" w:themeColor="text1"/>
          <w:kern w:val="24"/>
          <w:sz w:val="40"/>
          <w:szCs w:val="40"/>
          <w:rtl/>
        </w:rPr>
      </w:pPr>
      <w:r w:rsidRPr="0094476E">
        <w:rPr>
          <w:rFonts w:eastAsiaTheme="minorEastAsia" w:hAnsi="Calibri"/>
          <w:color w:val="000000" w:themeColor="text1"/>
          <w:kern w:val="24"/>
          <w:sz w:val="40"/>
          <w:szCs w:val="40"/>
        </w:rPr>
        <w:t>Table 4</w:t>
      </w:r>
      <w:r w:rsidR="00E44BAB">
        <w:rPr>
          <w:rFonts w:eastAsiaTheme="minorEastAsia" w:hAnsi="Calibri"/>
          <w:color w:val="000000" w:themeColor="text1"/>
          <w:kern w:val="24"/>
          <w:sz w:val="40"/>
          <w:szCs w:val="40"/>
        </w:rPr>
        <w:t>)</w:t>
      </w:r>
      <w:r w:rsidRPr="0094476E">
        <w:rPr>
          <w:rFonts w:eastAsiaTheme="minorEastAsia" w:hAnsi="Calibri"/>
          <w:color w:val="000000" w:themeColor="text1"/>
          <w:kern w:val="24"/>
          <w:sz w:val="40"/>
          <w:szCs w:val="40"/>
        </w:rPr>
        <w:t xml:space="preserve"> lists the sensitivity, specificity, and</w:t>
      </w:r>
      <w:r w:rsidR="00E44BAB">
        <w:rPr>
          <w:rFonts w:eastAsiaTheme="minorEastAsia" w:hAnsi="Calibri" w:hint="cs"/>
          <w:color w:val="000000" w:themeColor="text1"/>
          <w:kern w:val="24"/>
          <w:sz w:val="40"/>
          <w:szCs w:val="40"/>
          <w:rtl/>
        </w:rPr>
        <w:t>)</w:t>
      </w:r>
    </w:p>
    <w:p w:rsidR="0094476E" w:rsidRPr="0094476E" w:rsidRDefault="0094476E" w:rsidP="0094476E">
      <w:pPr>
        <w:tabs>
          <w:tab w:val="left" w:pos="3480"/>
          <w:tab w:val="left" w:pos="3596"/>
          <w:tab w:val="right" w:pos="8306"/>
        </w:tabs>
        <w:rPr>
          <w:rFonts w:eastAsiaTheme="minorEastAsia" w:hAnsi="Calibri"/>
          <w:color w:val="000000" w:themeColor="text1"/>
          <w:kern w:val="24"/>
          <w:sz w:val="40"/>
          <w:szCs w:val="40"/>
        </w:rPr>
      </w:pPr>
      <w:r w:rsidRPr="0094476E">
        <w:rPr>
          <w:rFonts w:eastAsiaTheme="minorEastAsia" w:hAnsi="Calibri"/>
          <w:color w:val="000000" w:themeColor="text1"/>
          <w:kern w:val="24"/>
          <w:sz w:val="40"/>
          <w:szCs w:val="40"/>
        </w:rPr>
        <w:t>predictive values for Gram stain, which is a mixture</w:t>
      </w:r>
    </w:p>
    <w:p w:rsidR="00D8316E" w:rsidRDefault="0094476E" w:rsidP="002A08FB">
      <w:pPr>
        <w:tabs>
          <w:tab w:val="left" w:pos="3480"/>
          <w:tab w:val="left" w:pos="3596"/>
          <w:tab w:val="right" w:pos="8306"/>
        </w:tabs>
        <w:jc w:val="right"/>
        <w:rPr>
          <w:rFonts w:eastAsiaTheme="minorEastAsia" w:hAnsi="Calibri"/>
          <w:b/>
          <w:bCs/>
          <w:color w:val="FF0000"/>
          <w:kern w:val="24"/>
          <w:sz w:val="40"/>
          <w:szCs w:val="40"/>
          <w:rtl/>
        </w:rPr>
      </w:pPr>
      <w:r w:rsidRPr="0094476E">
        <w:rPr>
          <w:rFonts w:eastAsiaTheme="minorEastAsia" w:hAnsi="Calibri"/>
          <w:color w:val="000000" w:themeColor="text1"/>
          <w:kern w:val="24"/>
          <w:sz w:val="40"/>
          <w:szCs w:val="40"/>
        </w:rPr>
        <w:t>of pyura and Gram stain.</w:t>
      </w:r>
      <w:r w:rsidR="002A08FB">
        <w:rPr>
          <w:rFonts w:eastAsiaTheme="minorEastAsia" w:hAnsi="Calibri" w:hint="cs"/>
          <w:b/>
          <w:bCs/>
          <w:noProof/>
          <w:color w:val="FF0000"/>
          <w:kern w:val="24"/>
          <w:sz w:val="40"/>
          <w:szCs w:val="40"/>
          <w:rtl/>
        </w:rPr>
        <w:drawing>
          <wp:inline distT="0" distB="0" distL="0" distR="0">
            <wp:extent cx="6312104" cy="1659255"/>
            <wp:effectExtent l="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hoto_2022-06-11_22-30-47.jpg"/>
                    <pic:cNvPicPr/>
                  </pic:nvPicPr>
                  <pic:blipFill>
                    <a:blip r:embed="rId8">
                      <a:extLst>
                        <a:ext uri="{28A0092B-C50C-407E-A947-70E740481C1C}">
                          <a14:useLocalDpi xmlns:a14="http://schemas.microsoft.com/office/drawing/2010/main" val="0"/>
                        </a:ext>
                      </a:extLst>
                    </a:blip>
                    <a:stretch>
                      <a:fillRect/>
                    </a:stretch>
                  </pic:blipFill>
                  <pic:spPr>
                    <a:xfrm>
                      <a:off x="0" y="0"/>
                      <a:ext cx="6333191" cy="1664798"/>
                    </a:xfrm>
                    <a:prstGeom prst="rect">
                      <a:avLst/>
                    </a:prstGeom>
                  </pic:spPr>
                </pic:pic>
              </a:graphicData>
            </a:graphic>
          </wp:inline>
        </w:drawing>
      </w:r>
      <w:r w:rsidR="002A08FB">
        <w:rPr>
          <w:rFonts w:eastAsiaTheme="minorEastAsia" w:hAnsi="Calibri" w:hint="cs"/>
          <w:b/>
          <w:bCs/>
          <w:noProof/>
          <w:color w:val="FF0000"/>
          <w:kern w:val="24"/>
          <w:sz w:val="40"/>
          <w:szCs w:val="40"/>
          <w:rtl/>
        </w:rPr>
        <w:drawing>
          <wp:inline distT="0" distB="0" distL="0" distR="0">
            <wp:extent cx="7896225" cy="2959100"/>
            <wp:effectExtent l="0" t="0" r="9525"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hoto_2022-06-12_00-47-14              ححححح.jpg"/>
                    <pic:cNvPicPr/>
                  </pic:nvPicPr>
                  <pic:blipFill>
                    <a:blip r:embed="rId9">
                      <a:extLst>
                        <a:ext uri="{28A0092B-C50C-407E-A947-70E740481C1C}">
                          <a14:useLocalDpi xmlns:a14="http://schemas.microsoft.com/office/drawing/2010/main" val="0"/>
                        </a:ext>
                      </a:extLst>
                    </a:blip>
                    <a:stretch>
                      <a:fillRect/>
                    </a:stretch>
                  </pic:blipFill>
                  <pic:spPr>
                    <a:xfrm>
                      <a:off x="0" y="0"/>
                      <a:ext cx="7907636" cy="2963376"/>
                    </a:xfrm>
                    <a:prstGeom prst="rect">
                      <a:avLst/>
                    </a:prstGeom>
                  </pic:spPr>
                </pic:pic>
              </a:graphicData>
            </a:graphic>
          </wp:inline>
        </w:drawing>
      </w:r>
    </w:p>
    <w:p w:rsidR="0036129C" w:rsidRDefault="00E44BAB" w:rsidP="00E44BAB">
      <w:pPr>
        <w:tabs>
          <w:tab w:val="left" w:pos="3480"/>
          <w:tab w:val="left" w:pos="3596"/>
          <w:tab w:val="right" w:pos="8306"/>
        </w:tabs>
        <w:jc w:val="right"/>
        <w:rPr>
          <w:rFonts w:eastAsiaTheme="minorEastAsia" w:hAnsi="Calibri"/>
          <w:b/>
          <w:bCs/>
          <w:color w:val="FF0000"/>
          <w:kern w:val="24"/>
          <w:sz w:val="40"/>
          <w:szCs w:val="40"/>
          <w:rtl/>
        </w:rPr>
      </w:pPr>
      <w:r>
        <w:rPr>
          <w:rFonts w:eastAsiaTheme="minorEastAsia" w:hAnsi="Calibri" w:hint="cs"/>
          <w:b/>
          <w:bCs/>
          <w:noProof/>
          <w:color w:val="FF0000"/>
          <w:kern w:val="24"/>
          <w:sz w:val="40"/>
          <w:szCs w:val="40"/>
          <w:rtl/>
        </w:rPr>
        <w:lastRenderedPageBreak/>
        <w:drawing>
          <wp:inline distT="0" distB="0" distL="0" distR="0">
            <wp:extent cx="6610350" cy="4017010"/>
            <wp:effectExtent l="0" t="0" r="0" b="254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hoto_2022-06-12_00-05-16.jpg"/>
                    <pic:cNvPicPr/>
                  </pic:nvPicPr>
                  <pic:blipFill>
                    <a:blip r:embed="rId10">
                      <a:extLst>
                        <a:ext uri="{28A0092B-C50C-407E-A947-70E740481C1C}">
                          <a14:useLocalDpi xmlns:a14="http://schemas.microsoft.com/office/drawing/2010/main" val="0"/>
                        </a:ext>
                      </a:extLst>
                    </a:blip>
                    <a:stretch>
                      <a:fillRect/>
                    </a:stretch>
                  </pic:blipFill>
                  <pic:spPr>
                    <a:xfrm>
                      <a:off x="0" y="0"/>
                      <a:ext cx="6610350" cy="4017010"/>
                    </a:xfrm>
                    <a:prstGeom prst="rect">
                      <a:avLst/>
                    </a:prstGeom>
                  </pic:spPr>
                </pic:pic>
              </a:graphicData>
            </a:graphic>
          </wp:inline>
        </w:drawing>
      </w:r>
    </w:p>
    <w:p w:rsidR="00D8316E" w:rsidRPr="00773847" w:rsidRDefault="00E44BAB" w:rsidP="00D8316E">
      <w:pPr>
        <w:tabs>
          <w:tab w:val="left" w:pos="3480"/>
          <w:tab w:val="left" w:pos="3596"/>
          <w:tab w:val="right" w:pos="8306"/>
        </w:tabs>
        <w:jc w:val="center"/>
        <w:rPr>
          <w:rFonts w:eastAsiaTheme="minorEastAsia" w:hAnsi="Calibri"/>
          <w:b/>
          <w:bCs/>
          <w:color w:val="FF0000"/>
          <w:kern w:val="24"/>
          <w:sz w:val="40"/>
          <w:szCs w:val="40"/>
          <w:rtl/>
        </w:rPr>
      </w:pPr>
      <w:r>
        <w:rPr>
          <w:rFonts w:eastAsiaTheme="minorEastAsia" w:hAnsi="Calibri" w:hint="cs"/>
          <w:b/>
          <w:bCs/>
          <w:noProof/>
          <w:color w:val="FF0000"/>
          <w:kern w:val="24"/>
          <w:sz w:val="40"/>
          <w:szCs w:val="40"/>
          <w:rtl/>
        </w:rPr>
        <w:drawing>
          <wp:inline distT="0" distB="0" distL="0" distR="0">
            <wp:extent cx="6426835" cy="1983105"/>
            <wp:effectExtent l="0" t="0" r="0"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hoto_2022-06-12_00-02-10.jpg"/>
                    <pic:cNvPicPr/>
                  </pic:nvPicPr>
                  <pic:blipFill>
                    <a:blip r:embed="rId11">
                      <a:extLst>
                        <a:ext uri="{28A0092B-C50C-407E-A947-70E740481C1C}">
                          <a14:useLocalDpi xmlns:a14="http://schemas.microsoft.com/office/drawing/2010/main" val="0"/>
                        </a:ext>
                      </a:extLst>
                    </a:blip>
                    <a:stretch>
                      <a:fillRect/>
                    </a:stretch>
                  </pic:blipFill>
                  <pic:spPr>
                    <a:xfrm>
                      <a:off x="0" y="0"/>
                      <a:ext cx="6426835" cy="1983105"/>
                    </a:xfrm>
                    <a:prstGeom prst="rect">
                      <a:avLst/>
                    </a:prstGeom>
                  </pic:spPr>
                </pic:pic>
              </a:graphicData>
            </a:graphic>
          </wp:inline>
        </w:drawing>
      </w:r>
    </w:p>
    <w:tbl>
      <w:tblPr>
        <w:tblW w:w="9664" w:type="dxa"/>
        <w:tblInd w:w="1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08"/>
        <w:gridCol w:w="1040"/>
        <w:gridCol w:w="1039"/>
        <w:gridCol w:w="1489"/>
        <w:gridCol w:w="1334"/>
        <w:gridCol w:w="1427"/>
        <w:gridCol w:w="1427"/>
      </w:tblGrid>
      <w:tr w:rsidR="003978D6" w:rsidRPr="003978D6" w:rsidTr="00791D6C">
        <w:trPr>
          <w:cantSplit/>
        </w:trPr>
        <w:tc>
          <w:tcPr>
            <w:tcW w:w="9664" w:type="dxa"/>
            <w:gridSpan w:val="7"/>
            <w:tcBorders>
              <w:top w:val="nil"/>
              <w:left w:val="nil"/>
              <w:bottom w:val="nil"/>
              <w:right w:val="nil"/>
            </w:tcBorders>
            <w:shd w:val="clear" w:color="auto" w:fill="FFFFFF"/>
            <w:vAlign w:val="center"/>
          </w:tcPr>
          <w:p w:rsidR="003978D6" w:rsidRPr="003978D6" w:rsidRDefault="003978D6" w:rsidP="003978D6">
            <w:pPr>
              <w:bidi w:val="0"/>
            </w:pPr>
            <w:r w:rsidRPr="003978D6">
              <w:rPr>
                <w:b/>
                <w:bCs/>
              </w:rPr>
              <w:t>Chi-Square Tests</w:t>
            </w:r>
          </w:p>
        </w:tc>
      </w:tr>
      <w:tr w:rsidR="003978D6" w:rsidRPr="003978D6" w:rsidTr="00791D6C">
        <w:trPr>
          <w:cantSplit/>
        </w:trPr>
        <w:tc>
          <w:tcPr>
            <w:tcW w:w="1908" w:type="dxa"/>
            <w:vMerge w:val="restart"/>
            <w:tcBorders>
              <w:top w:val="nil"/>
              <w:left w:val="nil"/>
              <w:bottom w:val="nil"/>
              <w:right w:val="nil"/>
            </w:tcBorders>
            <w:shd w:val="clear" w:color="auto" w:fill="FFFFFF"/>
            <w:vAlign w:val="bottom"/>
          </w:tcPr>
          <w:p w:rsidR="003978D6" w:rsidRPr="003978D6" w:rsidRDefault="003978D6" w:rsidP="003978D6">
            <w:pPr>
              <w:bidi w:val="0"/>
            </w:pPr>
          </w:p>
        </w:tc>
        <w:tc>
          <w:tcPr>
            <w:tcW w:w="1040" w:type="dxa"/>
            <w:vMerge w:val="restart"/>
            <w:tcBorders>
              <w:top w:val="nil"/>
              <w:left w:val="nil"/>
              <w:bottom w:val="nil"/>
              <w:right w:val="single" w:sz="8" w:space="0" w:color="E0E0E0"/>
            </w:tcBorders>
            <w:shd w:val="clear" w:color="auto" w:fill="FFFFFF"/>
            <w:vAlign w:val="bottom"/>
          </w:tcPr>
          <w:p w:rsidR="003978D6" w:rsidRPr="003978D6" w:rsidRDefault="003978D6" w:rsidP="003978D6">
            <w:pPr>
              <w:bidi w:val="0"/>
            </w:pPr>
            <w:r w:rsidRPr="003978D6">
              <w:t>Value</w:t>
            </w:r>
          </w:p>
        </w:tc>
        <w:tc>
          <w:tcPr>
            <w:tcW w:w="1039" w:type="dxa"/>
            <w:vMerge w:val="restart"/>
            <w:tcBorders>
              <w:top w:val="nil"/>
              <w:left w:val="single" w:sz="8" w:space="0" w:color="E0E0E0"/>
              <w:bottom w:val="nil"/>
              <w:right w:val="single" w:sz="8" w:space="0" w:color="E0E0E0"/>
            </w:tcBorders>
            <w:shd w:val="clear" w:color="auto" w:fill="FFFFFF"/>
            <w:vAlign w:val="bottom"/>
          </w:tcPr>
          <w:p w:rsidR="003978D6" w:rsidRPr="003978D6" w:rsidRDefault="003978D6" w:rsidP="003978D6">
            <w:pPr>
              <w:bidi w:val="0"/>
            </w:pPr>
            <w:r w:rsidRPr="003978D6">
              <w:t>df</w:t>
            </w:r>
          </w:p>
        </w:tc>
        <w:tc>
          <w:tcPr>
            <w:tcW w:w="1489" w:type="dxa"/>
            <w:vMerge w:val="restart"/>
            <w:tcBorders>
              <w:top w:val="nil"/>
              <w:left w:val="single" w:sz="8" w:space="0" w:color="E0E0E0"/>
              <w:bottom w:val="nil"/>
              <w:right w:val="single" w:sz="8" w:space="0" w:color="E0E0E0"/>
            </w:tcBorders>
            <w:shd w:val="clear" w:color="auto" w:fill="FFFFFF"/>
            <w:vAlign w:val="bottom"/>
          </w:tcPr>
          <w:p w:rsidR="003978D6" w:rsidRPr="003978D6" w:rsidRDefault="003978D6" w:rsidP="003978D6">
            <w:pPr>
              <w:bidi w:val="0"/>
            </w:pPr>
            <w:r w:rsidRPr="003978D6">
              <w:t>Asymptotic Significance (2-sided)</w:t>
            </w:r>
          </w:p>
        </w:tc>
        <w:tc>
          <w:tcPr>
            <w:tcW w:w="4188" w:type="dxa"/>
            <w:gridSpan w:val="3"/>
            <w:tcBorders>
              <w:top w:val="nil"/>
              <w:left w:val="single" w:sz="8" w:space="0" w:color="E0E0E0"/>
              <w:bottom w:val="nil"/>
              <w:right w:val="nil"/>
            </w:tcBorders>
            <w:shd w:val="clear" w:color="auto" w:fill="FFFFFF"/>
            <w:vAlign w:val="bottom"/>
          </w:tcPr>
          <w:p w:rsidR="003978D6" w:rsidRPr="003978D6" w:rsidRDefault="003978D6" w:rsidP="003978D6">
            <w:pPr>
              <w:bidi w:val="0"/>
            </w:pPr>
            <w:r w:rsidRPr="003978D6">
              <w:t>Monte Carlo Sig. (2-sided)</w:t>
            </w:r>
          </w:p>
        </w:tc>
      </w:tr>
      <w:tr w:rsidR="003978D6" w:rsidRPr="003978D6" w:rsidTr="00791D6C">
        <w:trPr>
          <w:cantSplit/>
        </w:trPr>
        <w:tc>
          <w:tcPr>
            <w:tcW w:w="1908" w:type="dxa"/>
            <w:vMerge/>
            <w:tcBorders>
              <w:top w:val="nil"/>
              <w:left w:val="nil"/>
              <w:bottom w:val="nil"/>
              <w:right w:val="nil"/>
            </w:tcBorders>
            <w:shd w:val="clear" w:color="auto" w:fill="FFFFFF"/>
            <w:vAlign w:val="bottom"/>
          </w:tcPr>
          <w:p w:rsidR="003978D6" w:rsidRPr="003978D6" w:rsidRDefault="003978D6" w:rsidP="003978D6">
            <w:pPr>
              <w:bidi w:val="0"/>
            </w:pPr>
          </w:p>
        </w:tc>
        <w:tc>
          <w:tcPr>
            <w:tcW w:w="1040" w:type="dxa"/>
            <w:vMerge/>
            <w:tcBorders>
              <w:top w:val="nil"/>
              <w:left w:val="nil"/>
              <w:bottom w:val="nil"/>
              <w:right w:val="single" w:sz="8" w:space="0" w:color="E0E0E0"/>
            </w:tcBorders>
            <w:shd w:val="clear" w:color="auto" w:fill="FFFFFF"/>
            <w:vAlign w:val="bottom"/>
          </w:tcPr>
          <w:p w:rsidR="003978D6" w:rsidRPr="003978D6" w:rsidRDefault="003978D6" w:rsidP="003978D6">
            <w:pPr>
              <w:bidi w:val="0"/>
            </w:pPr>
          </w:p>
        </w:tc>
        <w:tc>
          <w:tcPr>
            <w:tcW w:w="1039" w:type="dxa"/>
            <w:vMerge/>
            <w:tcBorders>
              <w:top w:val="nil"/>
              <w:left w:val="single" w:sz="8" w:space="0" w:color="E0E0E0"/>
              <w:bottom w:val="nil"/>
              <w:right w:val="single" w:sz="8" w:space="0" w:color="E0E0E0"/>
            </w:tcBorders>
            <w:shd w:val="clear" w:color="auto" w:fill="FFFFFF"/>
            <w:vAlign w:val="bottom"/>
          </w:tcPr>
          <w:p w:rsidR="003978D6" w:rsidRPr="003978D6" w:rsidRDefault="003978D6" w:rsidP="003978D6">
            <w:pPr>
              <w:bidi w:val="0"/>
            </w:pPr>
          </w:p>
        </w:tc>
        <w:tc>
          <w:tcPr>
            <w:tcW w:w="1489" w:type="dxa"/>
            <w:vMerge/>
            <w:tcBorders>
              <w:top w:val="nil"/>
              <w:left w:val="single" w:sz="8" w:space="0" w:color="E0E0E0"/>
              <w:bottom w:val="nil"/>
              <w:right w:val="single" w:sz="8" w:space="0" w:color="E0E0E0"/>
            </w:tcBorders>
            <w:shd w:val="clear" w:color="auto" w:fill="FFFFFF"/>
            <w:vAlign w:val="bottom"/>
          </w:tcPr>
          <w:p w:rsidR="003978D6" w:rsidRPr="003978D6" w:rsidRDefault="003978D6" w:rsidP="003978D6">
            <w:pPr>
              <w:bidi w:val="0"/>
            </w:pPr>
          </w:p>
        </w:tc>
        <w:tc>
          <w:tcPr>
            <w:tcW w:w="1334" w:type="dxa"/>
            <w:vMerge w:val="restart"/>
            <w:tcBorders>
              <w:top w:val="nil"/>
              <w:left w:val="single" w:sz="8" w:space="0" w:color="E0E0E0"/>
              <w:bottom w:val="nil"/>
              <w:right w:val="single" w:sz="8" w:space="0" w:color="E0E0E0"/>
            </w:tcBorders>
            <w:shd w:val="clear" w:color="auto" w:fill="FFFFFF"/>
            <w:vAlign w:val="bottom"/>
          </w:tcPr>
          <w:p w:rsidR="003978D6" w:rsidRPr="003978D6" w:rsidRDefault="003978D6" w:rsidP="003978D6">
            <w:pPr>
              <w:bidi w:val="0"/>
            </w:pPr>
            <w:r w:rsidRPr="003978D6">
              <w:t>Significance</w:t>
            </w:r>
          </w:p>
        </w:tc>
        <w:tc>
          <w:tcPr>
            <w:tcW w:w="2854" w:type="dxa"/>
            <w:gridSpan w:val="2"/>
            <w:tcBorders>
              <w:top w:val="nil"/>
              <w:left w:val="single" w:sz="8" w:space="0" w:color="E0E0E0"/>
              <w:bottom w:val="nil"/>
              <w:right w:val="nil"/>
            </w:tcBorders>
            <w:shd w:val="clear" w:color="auto" w:fill="FFFFFF"/>
            <w:vAlign w:val="bottom"/>
          </w:tcPr>
          <w:p w:rsidR="003978D6" w:rsidRPr="003978D6" w:rsidRDefault="003978D6" w:rsidP="003978D6">
            <w:pPr>
              <w:bidi w:val="0"/>
            </w:pPr>
            <w:r w:rsidRPr="003978D6">
              <w:t>99% Confidence Interval</w:t>
            </w:r>
          </w:p>
        </w:tc>
      </w:tr>
      <w:tr w:rsidR="003978D6" w:rsidRPr="003978D6" w:rsidTr="00791D6C">
        <w:trPr>
          <w:cantSplit/>
        </w:trPr>
        <w:tc>
          <w:tcPr>
            <w:tcW w:w="1908" w:type="dxa"/>
            <w:vMerge/>
            <w:tcBorders>
              <w:top w:val="nil"/>
              <w:left w:val="nil"/>
              <w:bottom w:val="nil"/>
              <w:right w:val="nil"/>
            </w:tcBorders>
            <w:shd w:val="clear" w:color="auto" w:fill="FFFFFF"/>
            <w:vAlign w:val="bottom"/>
          </w:tcPr>
          <w:p w:rsidR="003978D6" w:rsidRPr="003978D6" w:rsidRDefault="003978D6" w:rsidP="003978D6">
            <w:pPr>
              <w:bidi w:val="0"/>
            </w:pPr>
          </w:p>
        </w:tc>
        <w:tc>
          <w:tcPr>
            <w:tcW w:w="1040" w:type="dxa"/>
            <w:vMerge/>
            <w:tcBorders>
              <w:top w:val="nil"/>
              <w:left w:val="nil"/>
              <w:bottom w:val="nil"/>
              <w:right w:val="single" w:sz="8" w:space="0" w:color="E0E0E0"/>
            </w:tcBorders>
            <w:shd w:val="clear" w:color="auto" w:fill="FFFFFF"/>
            <w:vAlign w:val="bottom"/>
          </w:tcPr>
          <w:p w:rsidR="003978D6" w:rsidRPr="003978D6" w:rsidRDefault="003978D6" w:rsidP="003978D6">
            <w:pPr>
              <w:bidi w:val="0"/>
            </w:pPr>
          </w:p>
        </w:tc>
        <w:tc>
          <w:tcPr>
            <w:tcW w:w="1039" w:type="dxa"/>
            <w:vMerge/>
            <w:tcBorders>
              <w:top w:val="nil"/>
              <w:left w:val="single" w:sz="8" w:space="0" w:color="E0E0E0"/>
              <w:bottom w:val="nil"/>
              <w:right w:val="single" w:sz="8" w:space="0" w:color="E0E0E0"/>
            </w:tcBorders>
            <w:shd w:val="clear" w:color="auto" w:fill="FFFFFF"/>
            <w:vAlign w:val="bottom"/>
          </w:tcPr>
          <w:p w:rsidR="003978D6" w:rsidRPr="003978D6" w:rsidRDefault="003978D6" w:rsidP="003978D6">
            <w:pPr>
              <w:bidi w:val="0"/>
            </w:pPr>
          </w:p>
        </w:tc>
        <w:tc>
          <w:tcPr>
            <w:tcW w:w="1489" w:type="dxa"/>
            <w:vMerge/>
            <w:tcBorders>
              <w:top w:val="nil"/>
              <w:left w:val="single" w:sz="8" w:space="0" w:color="E0E0E0"/>
              <w:bottom w:val="nil"/>
              <w:right w:val="single" w:sz="8" w:space="0" w:color="E0E0E0"/>
            </w:tcBorders>
            <w:shd w:val="clear" w:color="auto" w:fill="FFFFFF"/>
            <w:vAlign w:val="bottom"/>
          </w:tcPr>
          <w:p w:rsidR="003978D6" w:rsidRPr="003978D6" w:rsidRDefault="003978D6" w:rsidP="003978D6">
            <w:pPr>
              <w:bidi w:val="0"/>
            </w:pPr>
          </w:p>
        </w:tc>
        <w:tc>
          <w:tcPr>
            <w:tcW w:w="1334" w:type="dxa"/>
            <w:vMerge/>
            <w:tcBorders>
              <w:top w:val="nil"/>
              <w:left w:val="single" w:sz="8" w:space="0" w:color="E0E0E0"/>
              <w:bottom w:val="nil"/>
              <w:right w:val="single" w:sz="8" w:space="0" w:color="E0E0E0"/>
            </w:tcBorders>
            <w:shd w:val="clear" w:color="auto" w:fill="FFFFFF"/>
            <w:vAlign w:val="bottom"/>
          </w:tcPr>
          <w:p w:rsidR="003978D6" w:rsidRPr="003978D6" w:rsidRDefault="003978D6" w:rsidP="003978D6">
            <w:pPr>
              <w:bidi w:val="0"/>
            </w:pPr>
          </w:p>
        </w:tc>
        <w:tc>
          <w:tcPr>
            <w:tcW w:w="1427" w:type="dxa"/>
            <w:tcBorders>
              <w:top w:val="nil"/>
              <w:left w:val="single" w:sz="8" w:space="0" w:color="E0E0E0"/>
              <w:bottom w:val="single" w:sz="8" w:space="0" w:color="152935"/>
              <w:right w:val="single" w:sz="8" w:space="0" w:color="E0E0E0"/>
            </w:tcBorders>
            <w:shd w:val="clear" w:color="auto" w:fill="FFFFFF"/>
            <w:vAlign w:val="bottom"/>
          </w:tcPr>
          <w:p w:rsidR="003978D6" w:rsidRPr="003978D6" w:rsidRDefault="003978D6" w:rsidP="003978D6">
            <w:pPr>
              <w:bidi w:val="0"/>
            </w:pPr>
            <w:r w:rsidRPr="003978D6">
              <w:t>Lower Bound</w:t>
            </w:r>
          </w:p>
        </w:tc>
        <w:tc>
          <w:tcPr>
            <w:tcW w:w="1427" w:type="dxa"/>
            <w:tcBorders>
              <w:top w:val="nil"/>
              <w:left w:val="single" w:sz="8" w:space="0" w:color="E0E0E0"/>
              <w:bottom w:val="single" w:sz="8" w:space="0" w:color="152935"/>
              <w:right w:val="nil"/>
            </w:tcBorders>
            <w:shd w:val="clear" w:color="auto" w:fill="FFFFFF"/>
            <w:vAlign w:val="bottom"/>
          </w:tcPr>
          <w:p w:rsidR="003978D6" w:rsidRPr="003978D6" w:rsidRDefault="003978D6" w:rsidP="003978D6">
            <w:pPr>
              <w:bidi w:val="0"/>
            </w:pPr>
            <w:r w:rsidRPr="003978D6">
              <w:t>Upper Bound</w:t>
            </w:r>
          </w:p>
        </w:tc>
      </w:tr>
      <w:tr w:rsidR="003978D6" w:rsidRPr="003978D6" w:rsidTr="00791D6C">
        <w:trPr>
          <w:cantSplit/>
        </w:trPr>
        <w:tc>
          <w:tcPr>
            <w:tcW w:w="1908" w:type="dxa"/>
            <w:tcBorders>
              <w:top w:val="single" w:sz="8" w:space="0" w:color="152935"/>
              <w:left w:val="nil"/>
              <w:bottom w:val="single" w:sz="8" w:space="0" w:color="AEAEAE"/>
              <w:right w:val="nil"/>
            </w:tcBorders>
            <w:shd w:val="clear" w:color="auto" w:fill="E0E0E0"/>
          </w:tcPr>
          <w:p w:rsidR="003978D6" w:rsidRPr="003978D6" w:rsidRDefault="003978D6" w:rsidP="003978D6">
            <w:pPr>
              <w:bidi w:val="0"/>
            </w:pPr>
            <w:r w:rsidRPr="003978D6">
              <w:t>Pearson Chi-Square</w:t>
            </w:r>
          </w:p>
        </w:tc>
        <w:tc>
          <w:tcPr>
            <w:tcW w:w="1040" w:type="dxa"/>
            <w:tcBorders>
              <w:top w:val="single" w:sz="8" w:space="0" w:color="152935"/>
              <w:left w:val="nil"/>
              <w:bottom w:val="single" w:sz="8" w:space="0" w:color="AEAEAE"/>
              <w:right w:val="single" w:sz="8" w:space="0" w:color="E0E0E0"/>
            </w:tcBorders>
            <w:shd w:val="clear" w:color="auto" w:fill="FFFFFF"/>
          </w:tcPr>
          <w:p w:rsidR="003978D6" w:rsidRPr="003978D6" w:rsidRDefault="003978D6" w:rsidP="003978D6">
            <w:pPr>
              <w:bidi w:val="0"/>
            </w:pPr>
            <w:r w:rsidRPr="003978D6">
              <w:t>8.873</w:t>
            </w:r>
            <w:r w:rsidRPr="003978D6">
              <w:rPr>
                <w:vertAlign w:val="superscript"/>
              </w:rPr>
              <w:t>a</w:t>
            </w:r>
          </w:p>
        </w:tc>
        <w:tc>
          <w:tcPr>
            <w:tcW w:w="1039" w:type="dxa"/>
            <w:tcBorders>
              <w:top w:val="single" w:sz="8" w:space="0" w:color="152935"/>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3</w:t>
            </w:r>
          </w:p>
        </w:tc>
        <w:tc>
          <w:tcPr>
            <w:tcW w:w="1489" w:type="dxa"/>
            <w:tcBorders>
              <w:top w:val="single" w:sz="8" w:space="0" w:color="152935"/>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.031</w:t>
            </w:r>
          </w:p>
        </w:tc>
        <w:tc>
          <w:tcPr>
            <w:tcW w:w="1334" w:type="dxa"/>
            <w:tcBorders>
              <w:top w:val="single" w:sz="8" w:space="0" w:color="152935"/>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.019</w:t>
            </w:r>
            <w:r w:rsidRPr="003978D6">
              <w:rPr>
                <w:vertAlign w:val="superscript"/>
              </w:rPr>
              <w:t>b</w:t>
            </w:r>
          </w:p>
        </w:tc>
        <w:tc>
          <w:tcPr>
            <w:tcW w:w="1427" w:type="dxa"/>
            <w:tcBorders>
              <w:top w:val="single" w:sz="8" w:space="0" w:color="152935"/>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.015</w:t>
            </w:r>
          </w:p>
        </w:tc>
        <w:tc>
          <w:tcPr>
            <w:tcW w:w="1427" w:type="dxa"/>
            <w:tcBorders>
              <w:top w:val="single" w:sz="8" w:space="0" w:color="152935"/>
              <w:left w:val="single" w:sz="8" w:space="0" w:color="E0E0E0"/>
              <w:bottom w:val="single" w:sz="8" w:space="0" w:color="AEAEAE"/>
              <w:right w:val="nil"/>
            </w:tcBorders>
            <w:shd w:val="clear" w:color="auto" w:fill="FFFFFF"/>
          </w:tcPr>
          <w:p w:rsidR="003978D6" w:rsidRPr="003978D6" w:rsidRDefault="003978D6" w:rsidP="003978D6">
            <w:pPr>
              <w:bidi w:val="0"/>
            </w:pPr>
            <w:r w:rsidRPr="003978D6">
              <w:t>.022</w:t>
            </w:r>
          </w:p>
        </w:tc>
      </w:tr>
      <w:tr w:rsidR="003978D6" w:rsidRPr="003978D6" w:rsidTr="00791D6C">
        <w:trPr>
          <w:cantSplit/>
        </w:trPr>
        <w:tc>
          <w:tcPr>
            <w:tcW w:w="1908" w:type="dxa"/>
            <w:tcBorders>
              <w:top w:val="single" w:sz="8" w:space="0" w:color="AEAEAE"/>
              <w:left w:val="nil"/>
              <w:bottom w:val="single" w:sz="8" w:space="0" w:color="AEAEAE"/>
              <w:right w:val="nil"/>
            </w:tcBorders>
            <w:shd w:val="clear" w:color="auto" w:fill="E0E0E0"/>
          </w:tcPr>
          <w:p w:rsidR="003978D6" w:rsidRPr="003978D6" w:rsidRDefault="003978D6" w:rsidP="003978D6">
            <w:pPr>
              <w:bidi w:val="0"/>
            </w:pPr>
            <w:r w:rsidRPr="003978D6">
              <w:t>Likelihood Ratio</w:t>
            </w:r>
          </w:p>
        </w:tc>
        <w:tc>
          <w:tcPr>
            <w:tcW w:w="1040" w:type="dxa"/>
            <w:tcBorders>
              <w:top w:val="single" w:sz="8" w:space="0" w:color="AEAEAE"/>
              <w:left w:val="nil"/>
              <w:bottom w:val="single" w:sz="8" w:space="0" w:color="AEAEAE"/>
              <w:right w:val="single" w:sz="8" w:space="0" w:color="E0E0E0"/>
            </w:tcBorders>
            <w:shd w:val="clear" w:color="auto" w:fill="FFFFFF"/>
          </w:tcPr>
          <w:p w:rsidR="003978D6" w:rsidRPr="003978D6" w:rsidRDefault="003978D6" w:rsidP="003978D6">
            <w:pPr>
              <w:bidi w:val="0"/>
            </w:pPr>
            <w:r w:rsidRPr="003978D6">
              <w:t>10.372</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3</w:t>
            </w:r>
          </w:p>
        </w:tc>
        <w:tc>
          <w:tcPr>
            <w:tcW w:w="148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.016</w:t>
            </w:r>
          </w:p>
        </w:tc>
        <w:tc>
          <w:tcPr>
            <w:tcW w:w="1334"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.015</w:t>
            </w:r>
            <w:r w:rsidRPr="003978D6">
              <w:rPr>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.012</w:t>
            </w:r>
          </w:p>
        </w:tc>
        <w:tc>
          <w:tcPr>
            <w:tcW w:w="1427" w:type="dxa"/>
            <w:tcBorders>
              <w:top w:val="single" w:sz="8" w:space="0" w:color="AEAEAE"/>
              <w:left w:val="single" w:sz="8" w:space="0" w:color="E0E0E0"/>
              <w:bottom w:val="single" w:sz="8" w:space="0" w:color="AEAEAE"/>
              <w:right w:val="nil"/>
            </w:tcBorders>
            <w:shd w:val="clear" w:color="auto" w:fill="FFFFFF"/>
          </w:tcPr>
          <w:p w:rsidR="003978D6" w:rsidRPr="003978D6" w:rsidRDefault="003978D6" w:rsidP="003978D6">
            <w:pPr>
              <w:bidi w:val="0"/>
            </w:pPr>
            <w:r w:rsidRPr="003978D6">
              <w:t>.018</w:t>
            </w:r>
          </w:p>
        </w:tc>
      </w:tr>
      <w:tr w:rsidR="003978D6" w:rsidRPr="003978D6" w:rsidTr="00791D6C">
        <w:trPr>
          <w:cantSplit/>
        </w:trPr>
        <w:tc>
          <w:tcPr>
            <w:tcW w:w="1908" w:type="dxa"/>
            <w:tcBorders>
              <w:top w:val="single" w:sz="8" w:space="0" w:color="AEAEAE"/>
              <w:left w:val="nil"/>
              <w:bottom w:val="single" w:sz="8" w:space="0" w:color="AEAEAE"/>
              <w:right w:val="nil"/>
            </w:tcBorders>
            <w:shd w:val="clear" w:color="auto" w:fill="E0E0E0"/>
          </w:tcPr>
          <w:p w:rsidR="003978D6" w:rsidRPr="003978D6" w:rsidRDefault="003978D6" w:rsidP="003978D6">
            <w:pPr>
              <w:bidi w:val="0"/>
            </w:pPr>
            <w:r w:rsidRPr="003978D6">
              <w:t>Fisher's Exact Test</w:t>
            </w:r>
          </w:p>
        </w:tc>
        <w:tc>
          <w:tcPr>
            <w:tcW w:w="1040" w:type="dxa"/>
            <w:tcBorders>
              <w:top w:val="single" w:sz="8" w:space="0" w:color="AEAEAE"/>
              <w:left w:val="nil"/>
              <w:bottom w:val="single" w:sz="8" w:space="0" w:color="AEAEAE"/>
              <w:right w:val="single" w:sz="8" w:space="0" w:color="E0E0E0"/>
            </w:tcBorders>
            <w:shd w:val="clear" w:color="auto" w:fill="FFFFFF"/>
          </w:tcPr>
          <w:p w:rsidR="003978D6" w:rsidRPr="003978D6" w:rsidRDefault="003978D6" w:rsidP="003978D6">
            <w:pPr>
              <w:bidi w:val="0"/>
            </w:pPr>
            <w:r w:rsidRPr="003978D6">
              <w:t>8.225</w:t>
            </w:r>
          </w:p>
        </w:tc>
        <w:tc>
          <w:tcPr>
            <w:tcW w:w="103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3978D6" w:rsidRPr="003978D6" w:rsidRDefault="003978D6" w:rsidP="003978D6">
            <w:pPr>
              <w:bidi w:val="0"/>
            </w:pPr>
          </w:p>
        </w:tc>
        <w:tc>
          <w:tcPr>
            <w:tcW w:w="148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3978D6" w:rsidRPr="003978D6" w:rsidRDefault="003978D6" w:rsidP="003978D6">
            <w:pPr>
              <w:bidi w:val="0"/>
            </w:pPr>
          </w:p>
        </w:tc>
        <w:tc>
          <w:tcPr>
            <w:tcW w:w="1334"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.019</w:t>
            </w:r>
            <w:r w:rsidRPr="003978D6">
              <w:rPr>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bidi w:val="0"/>
            </w:pPr>
            <w:r w:rsidRPr="003978D6">
              <w:t>.015</w:t>
            </w:r>
          </w:p>
        </w:tc>
        <w:tc>
          <w:tcPr>
            <w:tcW w:w="1427" w:type="dxa"/>
            <w:tcBorders>
              <w:top w:val="single" w:sz="8" w:space="0" w:color="AEAEAE"/>
              <w:left w:val="single" w:sz="8" w:space="0" w:color="E0E0E0"/>
              <w:bottom w:val="single" w:sz="8" w:space="0" w:color="AEAEAE"/>
              <w:right w:val="nil"/>
            </w:tcBorders>
            <w:shd w:val="clear" w:color="auto" w:fill="FFFFFF"/>
          </w:tcPr>
          <w:p w:rsidR="003978D6" w:rsidRPr="003978D6" w:rsidRDefault="003978D6" w:rsidP="003978D6">
            <w:pPr>
              <w:bidi w:val="0"/>
            </w:pPr>
            <w:r w:rsidRPr="003978D6">
              <w:t>.022</w:t>
            </w:r>
          </w:p>
        </w:tc>
      </w:tr>
      <w:tr w:rsidR="003978D6" w:rsidRPr="003978D6" w:rsidTr="00791D6C">
        <w:trPr>
          <w:cantSplit/>
        </w:trPr>
        <w:tc>
          <w:tcPr>
            <w:tcW w:w="1908" w:type="dxa"/>
            <w:tcBorders>
              <w:top w:val="single" w:sz="8" w:space="0" w:color="AEAEAE"/>
              <w:left w:val="nil"/>
              <w:bottom w:val="single" w:sz="8" w:space="0" w:color="152935"/>
              <w:right w:val="nil"/>
            </w:tcBorders>
            <w:shd w:val="clear" w:color="auto" w:fill="E0E0E0"/>
          </w:tcPr>
          <w:p w:rsidR="003978D6" w:rsidRPr="003978D6" w:rsidRDefault="003978D6" w:rsidP="003978D6">
            <w:pPr>
              <w:bidi w:val="0"/>
            </w:pPr>
            <w:r w:rsidRPr="003978D6">
              <w:t>N of Valid Cases</w:t>
            </w:r>
          </w:p>
        </w:tc>
        <w:tc>
          <w:tcPr>
            <w:tcW w:w="1040" w:type="dxa"/>
            <w:tcBorders>
              <w:top w:val="single" w:sz="8" w:space="0" w:color="AEAEAE"/>
              <w:left w:val="nil"/>
              <w:bottom w:val="single" w:sz="8" w:space="0" w:color="152935"/>
              <w:right w:val="single" w:sz="8" w:space="0" w:color="E0E0E0"/>
            </w:tcBorders>
            <w:shd w:val="clear" w:color="auto" w:fill="FFFFFF"/>
          </w:tcPr>
          <w:p w:rsidR="003978D6" w:rsidRPr="003978D6" w:rsidRDefault="003978D6" w:rsidP="003978D6">
            <w:pPr>
              <w:bidi w:val="0"/>
            </w:pPr>
            <w:r w:rsidRPr="003978D6">
              <w:t>24</w:t>
            </w:r>
          </w:p>
        </w:tc>
        <w:tc>
          <w:tcPr>
            <w:tcW w:w="103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3978D6" w:rsidRPr="003978D6" w:rsidRDefault="003978D6" w:rsidP="003978D6">
            <w:pPr>
              <w:bidi w:val="0"/>
            </w:pPr>
          </w:p>
        </w:tc>
        <w:tc>
          <w:tcPr>
            <w:tcW w:w="148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3978D6" w:rsidRPr="003978D6" w:rsidRDefault="003978D6" w:rsidP="003978D6">
            <w:pPr>
              <w:bidi w:val="0"/>
            </w:pPr>
          </w:p>
        </w:tc>
        <w:tc>
          <w:tcPr>
            <w:tcW w:w="133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3978D6" w:rsidRPr="003978D6" w:rsidRDefault="003978D6" w:rsidP="003978D6">
            <w:pPr>
              <w:bidi w:val="0"/>
            </w:pPr>
          </w:p>
        </w:tc>
        <w:tc>
          <w:tcPr>
            <w:tcW w:w="142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3978D6" w:rsidRPr="003978D6" w:rsidRDefault="003978D6" w:rsidP="003978D6">
            <w:pPr>
              <w:bidi w:val="0"/>
            </w:pPr>
          </w:p>
        </w:tc>
        <w:tc>
          <w:tcPr>
            <w:tcW w:w="1427" w:type="dxa"/>
            <w:tcBorders>
              <w:top w:val="single" w:sz="8" w:space="0" w:color="AEAEAE"/>
              <w:left w:val="single" w:sz="8" w:space="0" w:color="E0E0E0"/>
              <w:bottom w:val="single" w:sz="8" w:space="0" w:color="152935"/>
              <w:right w:val="nil"/>
            </w:tcBorders>
            <w:shd w:val="clear" w:color="auto" w:fill="FFFFFF"/>
            <w:vAlign w:val="center"/>
          </w:tcPr>
          <w:p w:rsidR="003978D6" w:rsidRPr="003978D6" w:rsidRDefault="003978D6" w:rsidP="003978D6">
            <w:pPr>
              <w:bidi w:val="0"/>
            </w:pPr>
          </w:p>
        </w:tc>
      </w:tr>
      <w:tr w:rsidR="003978D6" w:rsidRPr="003978D6" w:rsidTr="00791D6C">
        <w:trPr>
          <w:cantSplit/>
        </w:trPr>
        <w:tc>
          <w:tcPr>
            <w:tcW w:w="9664" w:type="dxa"/>
            <w:gridSpan w:val="7"/>
            <w:tcBorders>
              <w:top w:val="nil"/>
              <w:left w:val="nil"/>
              <w:bottom w:val="nil"/>
              <w:right w:val="nil"/>
            </w:tcBorders>
            <w:shd w:val="clear" w:color="auto" w:fill="FFFFFF"/>
          </w:tcPr>
          <w:p w:rsidR="003978D6" w:rsidRPr="003978D6" w:rsidRDefault="003978D6" w:rsidP="003978D6">
            <w:pPr>
              <w:bidi w:val="0"/>
            </w:pPr>
            <w:r w:rsidRPr="003978D6">
              <w:lastRenderedPageBreak/>
              <w:t>a. 4 cells (50.0%) have expected count less than 5. The minimum expected count is .50.</w:t>
            </w:r>
          </w:p>
        </w:tc>
      </w:tr>
    </w:tbl>
    <w:p w:rsidR="003978D6" w:rsidRDefault="003978D6" w:rsidP="00D129B4">
      <w:pPr>
        <w:tabs>
          <w:tab w:val="left" w:pos="3480"/>
          <w:tab w:val="left" w:pos="3596"/>
          <w:tab w:val="right" w:pos="8306"/>
        </w:tabs>
        <w:jc w:val="right"/>
        <w:rPr>
          <w:rFonts w:eastAsiaTheme="minorEastAsia" w:hAnsi="Calibri"/>
          <w:b/>
          <w:bCs/>
          <w:color w:val="FF0000"/>
          <w:kern w:val="24"/>
          <w:sz w:val="40"/>
          <w:szCs w:val="40"/>
        </w:rPr>
      </w:pPr>
      <w:r w:rsidRPr="00283483">
        <w:t>b. Based on 10000 sampled tables with starting seed 2000000</w:t>
      </w:r>
    </w:p>
    <w:tbl>
      <w:tblPr>
        <w:tblW w:w="93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1"/>
        <w:gridCol w:w="876"/>
        <w:gridCol w:w="2460"/>
        <w:gridCol w:w="1030"/>
        <w:gridCol w:w="1030"/>
        <w:gridCol w:w="1030"/>
        <w:gridCol w:w="1030"/>
        <w:gridCol w:w="1030"/>
      </w:tblGrid>
      <w:tr w:rsidR="003978D6" w:rsidRPr="003978D6" w:rsidTr="00791D6C">
        <w:trPr>
          <w:cantSplit/>
        </w:trPr>
        <w:tc>
          <w:tcPr>
            <w:tcW w:w="9371" w:type="dxa"/>
            <w:gridSpan w:val="8"/>
            <w:tcBorders>
              <w:top w:val="nil"/>
              <w:left w:val="nil"/>
              <w:bottom w:val="nil"/>
              <w:right w:val="nil"/>
            </w:tcBorders>
            <w:shd w:val="clear" w:color="auto" w:fill="FFFFFF"/>
            <w:vAlign w:val="center"/>
          </w:tcPr>
          <w:p w:rsidR="003978D6" w:rsidRPr="003978D6" w:rsidRDefault="003978D6" w:rsidP="003978D6">
            <w:pPr>
              <w:autoSpaceDE w:val="0"/>
              <w:autoSpaceDN w:val="0"/>
              <w:bidi w:val="0"/>
              <w:adjustRightInd w:val="0"/>
              <w:spacing w:after="0" w:line="320" w:lineRule="atLeast"/>
              <w:ind w:left="60" w:right="60"/>
              <w:jc w:val="center"/>
              <w:rPr>
                <w:rFonts w:ascii="Arial" w:hAnsi="Arial" w:cs="Arial"/>
                <w:color w:val="010205"/>
              </w:rPr>
            </w:pPr>
            <w:r w:rsidRPr="003978D6">
              <w:rPr>
                <w:rFonts w:ascii="Arial" w:hAnsi="Arial" w:cs="Arial"/>
                <w:b/>
                <w:bCs/>
                <w:color w:val="010205"/>
              </w:rPr>
              <w:t>gender * bacterialgrowhsignificance Crosstabulation</w:t>
            </w:r>
          </w:p>
        </w:tc>
      </w:tr>
      <w:tr w:rsidR="003978D6" w:rsidRPr="003978D6" w:rsidTr="00791D6C">
        <w:trPr>
          <w:cantSplit/>
        </w:trPr>
        <w:tc>
          <w:tcPr>
            <w:tcW w:w="4226" w:type="dxa"/>
            <w:gridSpan w:val="3"/>
            <w:vMerge w:val="restart"/>
            <w:tcBorders>
              <w:top w:val="nil"/>
              <w:left w:val="nil"/>
              <w:bottom w:val="nil"/>
              <w:right w:val="nil"/>
            </w:tcBorders>
            <w:shd w:val="clear" w:color="auto" w:fill="FFFFFF"/>
            <w:vAlign w:val="bottom"/>
          </w:tcPr>
          <w:p w:rsidR="003978D6" w:rsidRPr="003978D6" w:rsidRDefault="003978D6" w:rsidP="003978D6">
            <w:pPr>
              <w:autoSpaceDE w:val="0"/>
              <w:autoSpaceDN w:val="0"/>
              <w:bidi w:val="0"/>
              <w:adjustRightInd w:val="0"/>
              <w:spacing w:after="0" w:line="240" w:lineRule="auto"/>
              <w:rPr>
                <w:rFonts w:ascii="Times New Roman" w:hAnsi="Times New Roman" w:cs="Times New Roman"/>
                <w:sz w:val="24"/>
                <w:szCs w:val="24"/>
              </w:rPr>
            </w:pPr>
          </w:p>
        </w:tc>
        <w:tc>
          <w:tcPr>
            <w:tcW w:w="4116" w:type="dxa"/>
            <w:gridSpan w:val="4"/>
            <w:tcBorders>
              <w:top w:val="nil"/>
              <w:left w:val="nil"/>
              <w:bottom w:val="nil"/>
              <w:right w:val="single" w:sz="8" w:space="0" w:color="E0E0E0"/>
            </w:tcBorders>
            <w:shd w:val="clear" w:color="auto" w:fill="FFFFFF"/>
            <w:vAlign w:val="bottom"/>
          </w:tcPr>
          <w:p w:rsidR="003978D6" w:rsidRPr="003978D6" w:rsidRDefault="003978D6" w:rsidP="003978D6">
            <w:pPr>
              <w:autoSpaceDE w:val="0"/>
              <w:autoSpaceDN w:val="0"/>
              <w:bidi w:val="0"/>
              <w:adjustRightInd w:val="0"/>
              <w:spacing w:after="0" w:line="320" w:lineRule="atLeast"/>
              <w:ind w:left="60" w:right="60"/>
              <w:jc w:val="center"/>
              <w:rPr>
                <w:rFonts w:ascii="Arial" w:hAnsi="Arial" w:cs="Arial"/>
                <w:color w:val="264A60"/>
                <w:sz w:val="18"/>
                <w:szCs w:val="18"/>
              </w:rPr>
            </w:pPr>
            <w:r w:rsidRPr="003978D6">
              <w:rPr>
                <w:rFonts w:ascii="Arial" w:hAnsi="Arial" w:cs="Arial"/>
                <w:color w:val="264A60"/>
                <w:sz w:val="18"/>
                <w:szCs w:val="18"/>
              </w:rPr>
              <w:t>bacterialgrowhsignificance</w:t>
            </w:r>
          </w:p>
        </w:tc>
        <w:tc>
          <w:tcPr>
            <w:tcW w:w="1029" w:type="dxa"/>
            <w:vMerge w:val="restart"/>
            <w:tcBorders>
              <w:top w:val="nil"/>
              <w:left w:val="single" w:sz="8" w:space="0" w:color="E0E0E0"/>
              <w:bottom w:val="nil"/>
              <w:right w:val="nil"/>
            </w:tcBorders>
            <w:shd w:val="clear" w:color="auto" w:fill="FFFFFF"/>
            <w:vAlign w:val="bottom"/>
          </w:tcPr>
          <w:p w:rsidR="003978D6" w:rsidRPr="003978D6" w:rsidRDefault="003978D6" w:rsidP="003978D6">
            <w:pPr>
              <w:autoSpaceDE w:val="0"/>
              <w:autoSpaceDN w:val="0"/>
              <w:bidi w:val="0"/>
              <w:adjustRightInd w:val="0"/>
              <w:spacing w:after="0" w:line="320" w:lineRule="atLeast"/>
              <w:ind w:left="60" w:right="60"/>
              <w:jc w:val="center"/>
              <w:rPr>
                <w:rFonts w:ascii="Arial" w:hAnsi="Arial" w:cs="Arial"/>
                <w:color w:val="264A60"/>
                <w:sz w:val="18"/>
                <w:szCs w:val="18"/>
              </w:rPr>
            </w:pPr>
            <w:r w:rsidRPr="003978D6">
              <w:rPr>
                <w:rFonts w:ascii="Arial" w:hAnsi="Arial" w:cs="Arial"/>
                <w:color w:val="264A60"/>
                <w:sz w:val="18"/>
                <w:szCs w:val="18"/>
              </w:rPr>
              <w:t>Total</w:t>
            </w:r>
          </w:p>
        </w:tc>
      </w:tr>
      <w:tr w:rsidR="003978D6" w:rsidRPr="003978D6" w:rsidTr="00791D6C">
        <w:trPr>
          <w:cantSplit/>
        </w:trPr>
        <w:tc>
          <w:tcPr>
            <w:tcW w:w="4226" w:type="dxa"/>
            <w:gridSpan w:val="3"/>
            <w:vMerge/>
            <w:tcBorders>
              <w:top w:val="nil"/>
              <w:left w:val="nil"/>
              <w:bottom w:val="nil"/>
              <w:right w:val="nil"/>
            </w:tcBorders>
            <w:shd w:val="clear" w:color="auto" w:fill="FFFFFF"/>
            <w:vAlign w:val="bottom"/>
          </w:tcPr>
          <w:p w:rsidR="003978D6" w:rsidRPr="003978D6" w:rsidRDefault="003978D6" w:rsidP="003978D6">
            <w:pPr>
              <w:autoSpaceDE w:val="0"/>
              <w:autoSpaceDN w:val="0"/>
              <w:bidi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3978D6" w:rsidRPr="003978D6" w:rsidRDefault="003978D6" w:rsidP="003978D6">
            <w:pPr>
              <w:autoSpaceDE w:val="0"/>
              <w:autoSpaceDN w:val="0"/>
              <w:bidi w:val="0"/>
              <w:adjustRightInd w:val="0"/>
              <w:spacing w:after="0" w:line="240" w:lineRule="auto"/>
              <w:jc w:val="center"/>
              <w:rPr>
                <w:rFonts w:ascii="Times New Roman" w:hAnsi="Times New Roman" w:cs="Times New Roman"/>
                <w:sz w:val="24"/>
                <w:szCs w:val="24"/>
              </w:rPr>
            </w:pP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978D6" w:rsidRPr="003978D6" w:rsidRDefault="003978D6" w:rsidP="003978D6">
            <w:pPr>
              <w:autoSpaceDE w:val="0"/>
              <w:autoSpaceDN w:val="0"/>
              <w:bidi w:val="0"/>
              <w:adjustRightInd w:val="0"/>
              <w:spacing w:after="0" w:line="320" w:lineRule="atLeast"/>
              <w:ind w:left="60" w:right="60"/>
              <w:jc w:val="center"/>
              <w:rPr>
                <w:rFonts w:ascii="Arial" w:hAnsi="Arial" w:cs="Arial"/>
                <w:color w:val="264A60"/>
                <w:sz w:val="18"/>
                <w:szCs w:val="18"/>
              </w:rPr>
            </w:pPr>
            <w:r w:rsidRPr="003978D6">
              <w:rPr>
                <w:rFonts w:ascii="Arial" w:hAnsi="Arial" w:cs="Arial"/>
                <w:color w:val="264A60"/>
                <w:sz w:val="18"/>
                <w:szCs w:val="18"/>
              </w:rPr>
              <w:t>no growt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978D6" w:rsidRPr="003978D6" w:rsidRDefault="003978D6" w:rsidP="003978D6">
            <w:pPr>
              <w:autoSpaceDE w:val="0"/>
              <w:autoSpaceDN w:val="0"/>
              <w:bidi w:val="0"/>
              <w:adjustRightInd w:val="0"/>
              <w:spacing w:after="0" w:line="320" w:lineRule="atLeast"/>
              <w:ind w:left="60" w:right="60"/>
              <w:jc w:val="center"/>
              <w:rPr>
                <w:rFonts w:ascii="Arial" w:hAnsi="Arial" w:cs="Arial"/>
                <w:color w:val="264A60"/>
                <w:sz w:val="18"/>
                <w:szCs w:val="18"/>
              </w:rPr>
            </w:pPr>
            <w:r w:rsidRPr="003978D6">
              <w:rPr>
                <w:rFonts w:ascii="Arial" w:hAnsi="Arial" w:cs="Arial"/>
                <w:color w:val="264A60"/>
                <w:sz w:val="18"/>
                <w:szCs w:val="18"/>
              </w:rPr>
              <w:t>overall</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978D6" w:rsidRPr="003978D6" w:rsidRDefault="003978D6" w:rsidP="003978D6">
            <w:pPr>
              <w:autoSpaceDE w:val="0"/>
              <w:autoSpaceDN w:val="0"/>
              <w:bidi w:val="0"/>
              <w:adjustRightInd w:val="0"/>
              <w:spacing w:after="0" w:line="320" w:lineRule="atLeast"/>
              <w:ind w:left="60" w:right="60"/>
              <w:jc w:val="center"/>
              <w:rPr>
                <w:rFonts w:ascii="Arial" w:hAnsi="Arial" w:cs="Arial"/>
                <w:color w:val="264A60"/>
                <w:sz w:val="18"/>
                <w:szCs w:val="18"/>
              </w:rPr>
            </w:pPr>
            <w:r w:rsidRPr="003978D6">
              <w:rPr>
                <w:rFonts w:ascii="Arial" w:hAnsi="Arial" w:cs="Arial"/>
                <w:color w:val="264A60"/>
                <w:sz w:val="18"/>
                <w:szCs w:val="18"/>
              </w:rPr>
              <w:t>signific</w:t>
            </w:r>
          </w:p>
        </w:tc>
        <w:tc>
          <w:tcPr>
            <w:tcW w:w="1029" w:type="dxa"/>
            <w:vMerge/>
            <w:tcBorders>
              <w:top w:val="nil"/>
              <w:left w:val="single" w:sz="8" w:space="0" w:color="E0E0E0"/>
              <w:bottom w:val="nil"/>
              <w:right w:val="nil"/>
            </w:tcBorders>
            <w:shd w:val="clear" w:color="auto" w:fill="FFFFFF"/>
            <w:vAlign w:val="bottom"/>
          </w:tcPr>
          <w:p w:rsidR="003978D6" w:rsidRPr="003978D6" w:rsidRDefault="003978D6" w:rsidP="003978D6">
            <w:pPr>
              <w:autoSpaceDE w:val="0"/>
              <w:autoSpaceDN w:val="0"/>
              <w:bidi w:val="0"/>
              <w:adjustRightInd w:val="0"/>
              <w:spacing w:after="0" w:line="240" w:lineRule="auto"/>
              <w:rPr>
                <w:rFonts w:ascii="Arial" w:hAnsi="Arial" w:cs="Arial"/>
                <w:color w:val="264A60"/>
                <w:sz w:val="18"/>
                <w:szCs w:val="18"/>
              </w:rPr>
            </w:pPr>
          </w:p>
        </w:tc>
      </w:tr>
      <w:tr w:rsidR="003978D6" w:rsidRPr="003978D6" w:rsidTr="00791D6C">
        <w:trPr>
          <w:cantSplit/>
        </w:trPr>
        <w:tc>
          <w:tcPr>
            <w:tcW w:w="891" w:type="dxa"/>
            <w:vMerge w:val="restart"/>
            <w:tcBorders>
              <w:top w:val="single" w:sz="8" w:space="0" w:color="152935"/>
              <w:left w:val="nil"/>
              <w:bottom w:val="nil"/>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gender</w:t>
            </w:r>
          </w:p>
        </w:tc>
        <w:tc>
          <w:tcPr>
            <w:tcW w:w="876" w:type="dxa"/>
            <w:vMerge w:val="restart"/>
            <w:tcBorders>
              <w:top w:val="single" w:sz="8" w:space="0" w:color="152935"/>
              <w:left w:val="nil"/>
              <w:bottom w:val="nil"/>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female</w:t>
            </w:r>
          </w:p>
        </w:tc>
        <w:tc>
          <w:tcPr>
            <w:tcW w:w="2459" w:type="dxa"/>
            <w:tcBorders>
              <w:top w:val="single" w:sz="8" w:space="0" w:color="152935"/>
              <w:left w:val="nil"/>
              <w:bottom w:val="single" w:sz="8" w:space="0" w:color="AEAEAE"/>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8</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nil"/>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12</w:t>
            </w:r>
          </w:p>
        </w:tc>
      </w:tr>
      <w:tr w:rsidR="003978D6" w:rsidRPr="003978D6" w:rsidTr="00791D6C">
        <w:trPr>
          <w:cantSplit/>
        </w:trPr>
        <w:tc>
          <w:tcPr>
            <w:tcW w:w="891" w:type="dxa"/>
            <w:vMerge/>
            <w:tcBorders>
              <w:top w:val="single" w:sz="8" w:space="0" w:color="152935"/>
              <w:left w:val="nil"/>
              <w:bottom w:val="nil"/>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r>
      <w:tr w:rsidR="003978D6" w:rsidRPr="003978D6" w:rsidTr="00791D6C">
        <w:trPr>
          <w:cantSplit/>
        </w:trPr>
        <w:tc>
          <w:tcPr>
            <w:tcW w:w="891" w:type="dxa"/>
            <w:vMerge/>
            <w:tcBorders>
              <w:top w:val="single" w:sz="8" w:space="0" w:color="152935"/>
              <w:left w:val="nil"/>
              <w:bottom w:val="nil"/>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 within bacterialgrowhsignificance</w:t>
            </w:r>
          </w:p>
        </w:tc>
        <w:tc>
          <w:tcPr>
            <w:tcW w:w="1029" w:type="dxa"/>
            <w:tcBorders>
              <w:top w:val="single" w:sz="8" w:space="0" w:color="AEAEAE"/>
              <w:left w:val="nil"/>
              <w:bottom w:val="nil"/>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20.0%</w:t>
            </w:r>
          </w:p>
        </w:tc>
        <w:tc>
          <w:tcPr>
            <w:tcW w:w="1029" w:type="dxa"/>
            <w:tcBorders>
              <w:top w:val="single" w:sz="8" w:space="0" w:color="AEAEAE"/>
              <w:left w:val="single" w:sz="8" w:space="0" w:color="E0E0E0"/>
              <w:bottom w:val="nil"/>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72.7%</w:t>
            </w:r>
          </w:p>
        </w:tc>
        <w:tc>
          <w:tcPr>
            <w:tcW w:w="1029" w:type="dxa"/>
            <w:tcBorders>
              <w:top w:val="single" w:sz="8" w:space="0" w:color="AEAEAE"/>
              <w:left w:val="single" w:sz="8" w:space="0" w:color="E0E0E0"/>
              <w:bottom w:val="nil"/>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50.0%</w:t>
            </w:r>
          </w:p>
        </w:tc>
      </w:tr>
      <w:tr w:rsidR="003978D6" w:rsidRPr="003978D6" w:rsidTr="00791D6C">
        <w:trPr>
          <w:cantSplit/>
        </w:trPr>
        <w:tc>
          <w:tcPr>
            <w:tcW w:w="891" w:type="dxa"/>
            <w:vMerge/>
            <w:tcBorders>
              <w:top w:val="single" w:sz="8" w:space="0" w:color="152935"/>
              <w:left w:val="nil"/>
              <w:bottom w:val="nil"/>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876" w:type="dxa"/>
            <w:vMerge w:val="restart"/>
            <w:tcBorders>
              <w:top w:val="single" w:sz="8" w:space="0" w:color="AEAEAE"/>
              <w:left w:val="nil"/>
              <w:bottom w:val="nil"/>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male</w:t>
            </w:r>
          </w:p>
        </w:tc>
        <w:tc>
          <w:tcPr>
            <w:tcW w:w="2459" w:type="dxa"/>
            <w:tcBorders>
              <w:top w:val="single" w:sz="8" w:space="0" w:color="AEAEAE"/>
              <w:left w:val="nil"/>
              <w:bottom w:val="single" w:sz="8" w:space="0" w:color="AEAEAE"/>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nil"/>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12</w:t>
            </w:r>
          </w:p>
        </w:tc>
      </w:tr>
      <w:tr w:rsidR="003978D6" w:rsidRPr="003978D6" w:rsidTr="00791D6C">
        <w:trPr>
          <w:cantSplit/>
        </w:trPr>
        <w:tc>
          <w:tcPr>
            <w:tcW w:w="891" w:type="dxa"/>
            <w:vMerge/>
            <w:tcBorders>
              <w:top w:val="single" w:sz="8" w:space="0" w:color="152935"/>
              <w:left w:val="nil"/>
              <w:bottom w:val="nil"/>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r>
      <w:tr w:rsidR="003978D6" w:rsidRPr="003978D6" w:rsidTr="00791D6C">
        <w:trPr>
          <w:cantSplit/>
        </w:trPr>
        <w:tc>
          <w:tcPr>
            <w:tcW w:w="891" w:type="dxa"/>
            <w:vMerge/>
            <w:tcBorders>
              <w:top w:val="single" w:sz="8" w:space="0" w:color="152935"/>
              <w:left w:val="nil"/>
              <w:bottom w:val="nil"/>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 within bacterialgrowhsignificance</w:t>
            </w:r>
          </w:p>
        </w:tc>
        <w:tc>
          <w:tcPr>
            <w:tcW w:w="1029" w:type="dxa"/>
            <w:tcBorders>
              <w:top w:val="single" w:sz="8" w:space="0" w:color="AEAEAE"/>
              <w:left w:val="nil"/>
              <w:bottom w:val="nil"/>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c>
          <w:tcPr>
            <w:tcW w:w="1029" w:type="dxa"/>
            <w:tcBorders>
              <w:top w:val="single" w:sz="8" w:space="0" w:color="AEAEAE"/>
              <w:left w:val="single" w:sz="8" w:space="0" w:color="E0E0E0"/>
              <w:bottom w:val="nil"/>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80.0%</w:t>
            </w:r>
          </w:p>
        </w:tc>
        <w:tc>
          <w:tcPr>
            <w:tcW w:w="1029" w:type="dxa"/>
            <w:tcBorders>
              <w:top w:val="single" w:sz="8" w:space="0" w:color="AEAEAE"/>
              <w:left w:val="single" w:sz="8" w:space="0" w:color="E0E0E0"/>
              <w:bottom w:val="nil"/>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27.3%</w:t>
            </w:r>
          </w:p>
        </w:tc>
        <w:tc>
          <w:tcPr>
            <w:tcW w:w="1029" w:type="dxa"/>
            <w:tcBorders>
              <w:top w:val="single" w:sz="8" w:space="0" w:color="AEAEAE"/>
              <w:left w:val="single" w:sz="8" w:space="0" w:color="E0E0E0"/>
              <w:bottom w:val="nil"/>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50.0%</w:t>
            </w:r>
          </w:p>
        </w:tc>
      </w:tr>
      <w:tr w:rsidR="003978D6" w:rsidRPr="003978D6" w:rsidTr="00791D6C">
        <w:trPr>
          <w:cantSplit/>
        </w:trPr>
        <w:tc>
          <w:tcPr>
            <w:tcW w:w="1767" w:type="dxa"/>
            <w:gridSpan w:val="2"/>
            <w:vMerge w:val="restart"/>
            <w:tcBorders>
              <w:top w:val="single" w:sz="8" w:space="0" w:color="AEAEAE"/>
              <w:left w:val="nil"/>
              <w:bottom w:val="single" w:sz="8" w:space="0" w:color="152935"/>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Total</w:t>
            </w:r>
          </w:p>
        </w:tc>
        <w:tc>
          <w:tcPr>
            <w:tcW w:w="2459" w:type="dxa"/>
            <w:tcBorders>
              <w:top w:val="single" w:sz="8" w:space="0" w:color="AEAEAE"/>
              <w:left w:val="nil"/>
              <w:bottom w:val="single" w:sz="8" w:space="0" w:color="AEAEAE"/>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24</w:t>
            </w:r>
          </w:p>
        </w:tc>
      </w:tr>
      <w:tr w:rsidR="003978D6" w:rsidRPr="003978D6" w:rsidTr="00791D6C">
        <w:trPr>
          <w:cantSplit/>
        </w:trPr>
        <w:tc>
          <w:tcPr>
            <w:tcW w:w="1767" w:type="dxa"/>
            <w:gridSpan w:val="2"/>
            <w:vMerge/>
            <w:tcBorders>
              <w:top w:val="single" w:sz="8" w:space="0" w:color="AEAEAE"/>
              <w:left w:val="nil"/>
              <w:bottom w:val="single" w:sz="8" w:space="0" w:color="152935"/>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41.7%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r>
      <w:tr w:rsidR="003978D6" w:rsidRPr="003978D6" w:rsidTr="00791D6C">
        <w:trPr>
          <w:cantSplit/>
        </w:trPr>
        <w:tc>
          <w:tcPr>
            <w:tcW w:w="1767" w:type="dxa"/>
            <w:gridSpan w:val="2"/>
            <w:vMerge/>
            <w:tcBorders>
              <w:top w:val="single" w:sz="8" w:space="0" w:color="AEAEAE"/>
              <w:left w:val="nil"/>
              <w:bottom w:val="single" w:sz="8" w:space="0" w:color="152935"/>
              <w:right w:val="nil"/>
            </w:tcBorders>
            <w:shd w:val="clear" w:color="auto" w:fill="E0E0E0"/>
          </w:tcPr>
          <w:p w:rsidR="003978D6" w:rsidRPr="003978D6" w:rsidRDefault="003978D6" w:rsidP="003978D6">
            <w:pPr>
              <w:autoSpaceDE w:val="0"/>
              <w:autoSpaceDN w:val="0"/>
              <w:bidi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152935"/>
              <w:right w:val="nil"/>
            </w:tcBorders>
            <w:shd w:val="clear" w:color="auto" w:fill="E0E0E0"/>
          </w:tcPr>
          <w:p w:rsidR="003978D6" w:rsidRPr="003978D6" w:rsidRDefault="003978D6" w:rsidP="003978D6">
            <w:pPr>
              <w:autoSpaceDE w:val="0"/>
              <w:autoSpaceDN w:val="0"/>
              <w:bidi w:val="0"/>
              <w:adjustRightInd w:val="0"/>
              <w:spacing w:after="0" w:line="320" w:lineRule="atLeast"/>
              <w:ind w:left="60" w:right="60"/>
              <w:rPr>
                <w:rFonts w:ascii="Arial" w:hAnsi="Arial" w:cs="Arial"/>
                <w:color w:val="264A60"/>
                <w:sz w:val="18"/>
                <w:szCs w:val="18"/>
              </w:rPr>
            </w:pPr>
            <w:r w:rsidRPr="003978D6">
              <w:rPr>
                <w:rFonts w:ascii="Arial" w:hAnsi="Arial" w:cs="Arial"/>
                <w:color w:val="264A60"/>
                <w:sz w:val="18"/>
                <w:szCs w:val="18"/>
              </w:rPr>
              <w:t>% within bacterialgrowhsignificance</w:t>
            </w:r>
          </w:p>
        </w:tc>
        <w:tc>
          <w:tcPr>
            <w:tcW w:w="1029" w:type="dxa"/>
            <w:tcBorders>
              <w:top w:val="single" w:sz="8" w:space="0" w:color="AEAEAE"/>
              <w:left w:val="nil"/>
              <w:bottom w:val="single" w:sz="8" w:space="0" w:color="152935"/>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rsidR="003978D6" w:rsidRPr="003978D6" w:rsidRDefault="003978D6" w:rsidP="003978D6">
            <w:pPr>
              <w:autoSpaceDE w:val="0"/>
              <w:autoSpaceDN w:val="0"/>
              <w:bidi w:val="0"/>
              <w:adjustRightInd w:val="0"/>
              <w:spacing w:after="0" w:line="320" w:lineRule="atLeast"/>
              <w:ind w:left="60" w:right="60"/>
              <w:jc w:val="right"/>
              <w:rPr>
                <w:rFonts w:ascii="Arial" w:hAnsi="Arial" w:cs="Arial"/>
                <w:color w:val="010205"/>
                <w:sz w:val="18"/>
                <w:szCs w:val="18"/>
              </w:rPr>
            </w:pPr>
            <w:r w:rsidRPr="003978D6">
              <w:rPr>
                <w:rFonts w:ascii="Arial" w:hAnsi="Arial" w:cs="Arial"/>
                <w:color w:val="010205"/>
                <w:sz w:val="18"/>
                <w:szCs w:val="18"/>
              </w:rPr>
              <w:t>100.0%</w:t>
            </w:r>
          </w:p>
        </w:tc>
      </w:tr>
    </w:tbl>
    <w:p w:rsidR="003978D6" w:rsidRPr="003978D6" w:rsidRDefault="003978D6" w:rsidP="003978D6">
      <w:pPr>
        <w:autoSpaceDE w:val="0"/>
        <w:autoSpaceDN w:val="0"/>
        <w:bidi w:val="0"/>
        <w:adjustRightInd w:val="0"/>
        <w:spacing w:after="0" w:line="400" w:lineRule="atLeast"/>
        <w:rPr>
          <w:rFonts w:ascii="Times New Roman" w:hAnsi="Times New Roman" w:cs="Times New Roman"/>
          <w:sz w:val="24"/>
          <w:szCs w:val="24"/>
        </w:rPr>
      </w:pPr>
    </w:p>
    <w:p w:rsidR="003978D6" w:rsidRPr="003978D6" w:rsidRDefault="003978D6" w:rsidP="003978D6">
      <w:pPr>
        <w:bidi w:val="0"/>
        <w:rPr>
          <w:color w:val="FF0000"/>
          <w:sz w:val="44"/>
          <w:szCs w:val="44"/>
        </w:rPr>
      </w:pPr>
      <w:r w:rsidRPr="003978D6">
        <w:rPr>
          <w:color w:val="FF0000"/>
          <w:sz w:val="44"/>
          <w:szCs w:val="44"/>
        </w:rPr>
        <w:t xml:space="preserve">Result </w:t>
      </w:r>
    </w:p>
    <w:p w:rsidR="003978D6" w:rsidRPr="003978D6" w:rsidRDefault="003978D6" w:rsidP="003978D6">
      <w:pPr>
        <w:autoSpaceDE w:val="0"/>
        <w:autoSpaceDN w:val="0"/>
        <w:bidi w:val="0"/>
        <w:adjustRightInd w:val="0"/>
        <w:spacing w:after="0" w:line="400" w:lineRule="atLeast"/>
        <w:rPr>
          <w:rFonts w:ascii="Times New Roman" w:hAnsi="Times New Roman" w:cs="Times New Roman"/>
          <w:sz w:val="24"/>
          <w:szCs w:val="24"/>
        </w:rPr>
      </w:pPr>
    </w:p>
    <w:p w:rsidR="003978D6" w:rsidRPr="003978D6" w:rsidRDefault="003978D6" w:rsidP="003978D6">
      <w:pPr>
        <w:bidi w:val="0"/>
      </w:pPr>
    </w:p>
    <w:p w:rsidR="003978D6" w:rsidRPr="003978D6" w:rsidRDefault="003978D6" w:rsidP="003978D6">
      <w:pPr>
        <w:jc w:val="right"/>
        <w:rPr>
          <w:sz w:val="40"/>
          <w:szCs w:val="40"/>
          <w:rtl/>
        </w:rPr>
      </w:pPr>
      <w:r w:rsidRPr="003978D6">
        <w:rPr>
          <w:sz w:val="40"/>
          <w:szCs w:val="40"/>
        </w:rPr>
        <w:t xml:space="preserve">Hypothesis: H0 : No association between gender  status and bacterial growth  </w:t>
      </w:r>
    </w:p>
    <w:p w:rsidR="003978D6" w:rsidRPr="003978D6" w:rsidRDefault="003978D6" w:rsidP="003978D6">
      <w:pPr>
        <w:jc w:val="right"/>
        <w:rPr>
          <w:sz w:val="40"/>
          <w:szCs w:val="40"/>
        </w:rPr>
      </w:pPr>
      <w:r w:rsidRPr="003978D6">
        <w:rPr>
          <w:sz w:val="40"/>
          <w:szCs w:val="40"/>
        </w:rPr>
        <w:t>Ha : There is an association between gender  status and bacterial growth</w:t>
      </w:r>
      <w:r>
        <w:rPr>
          <w:sz w:val="40"/>
          <w:szCs w:val="40"/>
        </w:rPr>
        <w:t>.</w:t>
      </w:r>
      <w:r w:rsidRPr="003978D6">
        <w:rPr>
          <w:sz w:val="40"/>
          <w:szCs w:val="40"/>
        </w:rPr>
        <w:t xml:space="preserve"> </w:t>
      </w:r>
    </w:p>
    <w:p w:rsidR="003978D6" w:rsidRPr="003978D6" w:rsidRDefault="003978D6" w:rsidP="003978D6">
      <w:pPr>
        <w:rPr>
          <w:sz w:val="40"/>
          <w:szCs w:val="40"/>
        </w:rPr>
      </w:pPr>
    </w:p>
    <w:tbl>
      <w:tblPr>
        <w:tblpPr w:leftFromText="180" w:rightFromText="180" w:vertAnchor="text" w:horzAnchor="margin" w:tblpY="579"/>
        <w:tblW w:w="10055" w:type="dxa"/>
        <w:tblCellMar>
          <w:left w:w="0" w:type="dxa"/>
          <w:right w:w="0" w:type="dxa"/>
        </w:tblCellMar>
        <w:tblLook w:val="04A0" w:firstRow="1" w:lastRow="0" w:firstColumn="1" w:lastColumn="0" w:noHBand="0" w:noVBand="1"/>
      </w:tblPr>
      <w:tblGrid>
        <w:gridCol w:w="1418"/>
        <w:gridCol w:w="1262"/>
        <w:gridCol w:w="1702"/>
        <w:gridCol w:w="5673"/>
      </w:tblGrid>
      <w:tr w:rsidR="003978D6" w:rsidRPr="003978D6" w:rsidTr="00791D6C">
        <w:trPr>
          <w:trHeight w:val="890"/>
        </w:trPr>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56" w:lineRule="auto"/>
              <w:rPr>
                <w:rFonts w:ascii="Arial" w:eastAsia="Times New Roman" w:hAnsi="Arial" w:cs="Arial"/>
                <w:sz w:val="36"/>
                <w:szCs w:val="36"/>
              </w:rPr>
            </w:pPr>
            <w:r w:rsidRPr="003978D6">
              <w:rPr>
                <w:rFonts w:ascii="Calibri" w:eastAsia="Calibri" w:hAnsi="Calibri" w:cs="Arial"/>
                <w:color w:val="000000" w:themeColor="text1"/>
                <w:kern w:val="24"/>
                <w:sz w:val="36"/>
                <w:szCs w:val="36"/>
              </w:rPr>
              <w:t> </w:t>
            </w:r>
          </w:p>
        </w:tc>
        <w:tc>
          <w:tcPr>
            <w:tcW w:w="12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56" w:lineRule="auto"/>
              <w:rPr>
                <w:rFonts w:ascii="Arial" w:eastAsia="Times New Roman" w:hAnsi="Arial" w:cs="Arial"/>
                <w:sz w:val="36"/>
                <w:szCs w:val="36"/>
              </w:rPr>
            </w:pPr>
            <w:r w:rsidRPr="003978D6">
              <w:rPr>
                <w:rFonts w:ascii="Calibri" w:eastAsia="Calibri" w:hAnsi="Calibri" w:cs="Arial"/>
                <w:color w:val="000000" w:themeColor="text1"/>
                <w:kern w:val="24"/>
                <w:sz w:val="36"/>
                <w:szCs w:val="36"/>
              </w:rPr>
              <w:t>No growth</w:t>
            </w:r>
          </w:p>
        </w:tc>
        <w:tc>
          <w:tcPr>
            <w:tcW w:w="17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56" w:lineRule="auto"/>
              <w:rPr>
                <w:rFonts w:ascii="Arial" w:eastAsia="Times New Roman" w:hAnsi="Arial" w:cs="Arial"/>
                <w:sz w:val="36"/>
                <w:szCs w:val="36"/>
              </w:rPr>
            </w:pPr>
            <w:r w:rsidRPr="003978D6">
              <w:rPr>
                <w:rFonts w:ascii="Calibri" w:eastAsia="Calibri" w:hAnsi="Calibri" w:cs="Arial"/>
                <w:color w:val="000000" w:themeColor="text1"/>
                <w:kern w:val="24"/>
                <w:sz w:val="36"/>
                <w:szCs w:val="36"/>
              </w:rPr>
              <w:t xml:space="preserve">Overall </w:t>
            </w:r>
          </w:p>
        </w:tc>
        <w:tc>
          <w:tcPr>
            <w:tcW w:w="56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56" w:lineRule="auto"/>
              <w:rPr>
                <w:rFonts w:ascii="Arial" w:eastAsia="Times New Roman" w:hAnsi="Arial" w:cs="Arial"/>
                <w:sz w:val="36"/>
                <w:szCs w:val="36"/>
              </w:rPr>
            </w:pPr>
            <w:r w:rsidRPr="003978D6">
              <w:rPr>
                <w:rFonts w:ascii="Calibri" w:eastAsia="Calibri" w:hAnsi="Calibri" w:cs="Arial"/>
                <w:color w:val="000000" w:themeColor="text1"/>
                <w:kern w:val="24"/>
                <w:sz w:val="36"/>
                <w:szCs w:val="36"/>
              </w:rPr>
              <w:t>Significant growth</w:t>
            </w:r>
          </w:p>
        </w:tc>
      </w:tr>
      <w:tr w:rsidR="003978D6" w:rsidRPr="003978D6" w:rsidTr="00791D6C">
        <w:trPr>
          <w:trHeight w:val="445"/>
        </w:trPr>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56" w:lineRule="auto"/>
              <w:rPr>
                <w:rFonts w:ascii="Arial" w:eastAsia="Times New Roman" w:hAnsi="Arial" w:cs="Arial"/>
                <w:sz w:val="36"/>
                <w:szCs w:val="36"/>
              </w:rPr>
            </w:pPr>
            <w:r w:rsidRPr="003978D6">
              <w:rPr>
                <w:rFonts w:ascii="Calibri" w:eastAsia="Calibri" w:hAnsi="Calibri" w:cs="Arial"/>
                <w:color w:val="000000" w:themeColor="text1"/>
                <w:kern w:val="24"/>
                <w:sz w:val="36"/>
                <w:szCs w:val="36"/>
              </w:rPr>
              <w:t>Males</w:t>
            </w:r>
          </w:p>
        </w:tc>
        <w:tc>
          <w:tcPr>
            <w:tcW w:w="12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40" w:lineRule="auto"/>
              <w:rPr>
                <w:rFonts w:ascii="Arial" w:eastAsia="Times New Roman" w:hAnsi="Arial" w:cs="Arial"/>
                <w:sz w:val="36"/>
                <w:szCs w:val="36"/>
              </w:rPr>
            </w:pPr>
            <w:r w:rsidRPr="003978D6">
              <w:rPr>
                <w:rFonts w:ascii="Arial" w:eastAsia="Times New Roman" w:hAnsi="Arial" w:cs="Arial"/>
                <w:sz w:val="36"/>
                <w:szCs w:val="36"/>
              </w:rPr>
              <w:t>8</w:t>
            </w:r>
          </w:p>
        </w:tc>
        <w:tc>
          <w:tcPr>
            <w:tcW w:w="17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40" w:lineRule="auto"/>
              <w:rPr>
                <w:rFonts w:ascii="Times New Roman" w:eastAsia="Times New Roman" w:hAnsi="Times New Roman" w:cs="Times New Roman"/>
                <w:sz w:val="36"/>
                <w:szCs w:val="36"/>
              </w:rPr>
            </w:pPr>
            <w:r w:rsidRPr="003978D6">
              <w:rPr>
                <w:rFonts w:ascii="Times New Roman" w:eastAsia="Times New Roman" w:hAnsi="Times New Roman" w:cs="Times New Roman"/>
                <w:sz w:val="36"/>
                <w:szCs w:val="36"/>
              </w:rPr>
              <w:t>3</w:t>
            </w:r>
          </w:p>
        </w:tc>
        <w:tc>
          <w:tcPr>
            <w:tcW w:w="56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40" w:lineRule="auto"/>
              <w:rPr>
                <w:rFonts w:ascii="Times New Roman" w:eastAsia="Times New Roman" w:hAnsi="Times New Roman" w:cs="Times New Roman"/>
                <w:sz w:val="36"/>
                <w:szCs w:val="36"/>
              </w:rPr>
            </w:pPr>
            <w:r w:rsidRPr="003978D6">
              <w:rPr>
                <w:rFonts w:ascii="Times New Roman" w:eastAsia="Times New Roman" w:hAnsi="Times New Roman" w:cs="Times New Roman"/>
                <w:sz w:val="36"/>
                <w:szCs w:val="36"/>
              </w:rPr>
              <w:t>0</w:t>
            </w:r>
          </w:p>
        </w:tc>
      </w:tr>
      <w:tr w:rsidR="003978D6" w:rsidRPr="003978D6" w:rsidTr="00791D6C">
        <w:trPr>
          <w:trHeight w:val="445"/>
        </w:trPr>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56" w:lineRule="auto"/>
              <w:rPr>
                <w:rFonts w:ascii="Arial" w:eastAsia="Times New Roman" w:hAnsi="Arial" w:cs="Arial"/>
                <w:sz w:val="36"/>
                <w:szCs w:val="36"/>
              </w:rPr>
            </w:pPr>
            <w:r w:rsidRPr="003978D6">
              <w:rPr>
                <w:rFonts w:ascii="Calibri" w:eastAsia="Calibri" w:hAnsi="Calibri" w:cs="Arial"/>
                <w:color w:val="000000" w:themeColor="text1"/>
                <w:kern w:val="24"/>
                <w:sz w:val="36"/>
                <w:szCs w:val="36"/>
              </w:rPr>
              <w:t>Females</w:t>
            </w:r>
          </w:p>
        </w:tc>
        <w:tc>
          <w:tcPr>
            <w:tcW w:w="12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40" w:lineRule="auto"/>
              <w:rPr>
                <w:rFonts w:ascii="Arial" w:eastAsia="Times New Roman" w:hAnsi="Arial" w:cs="Arial"/>
                <w:sz w:val="36"/>
                <w:szCs w:val="36"/>
              </w:rPr>
            </w:pPr>
            <w:r w:rsidRPr="003978D6">
              <w:rPr>
                <w:rFonts w:ascii="Arial" w:eastAsia="Times New Roman" w:hAnsi="Arial" w:cs="Arial"/>
                <w:sz w:val="36"/>
                <w:szCs w:val="36"/>
              </w:rPr>
              <w:t>2</w:t>
            </w:r>
          </w:p>
        </w:tc>
        <w:tc>
          <w:tcPr>
            <w:tcW w:w="17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40" w:lineRule="auto"/>
              <w:rPr>
                <w:rFonts w:ascii="Times New Roman" w:eastAsia="Times New Roman" w:hAnsi="Times New Roman" w:cs="Times New Roman"/>
                <w:sz w:val="36"/>
                <w:szCs w:val="36"/>
              </w:rPr>
            </w:pPr>
            <w:r w:rsidRPr="003978D6">
              <w:rPr>
                <w:rFonts w:ascii="Times New Roman" w:eastAsia="Times New Roman" w:hAnsi="Times New Roman" w:cs="Times New Roman"/>
                <w:sz w:val="36"/>
                <w:szCs w:val="36"/>
              </w:rPr>
              <w:t>8</w:t>
            </w:r>
          </w:p>
        </w:tc>
        <w:tc>
          <w:tcPr>
            <w:tcW w:w="56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978D6" w:rsidRPr="003978D6" w:rsidRDefault="003978D6" w:rsidP="003978D6">
            <w:pPr>
              <w:bidi w:val="0"/>
              <w:spacing w:after="0" w:line="240" w:lineRule="auto"/>
              <w:rPr>
                <w:rFonts w:ascii="Times New Roman" w:eastAsia="Times New Roman" w:hAnsi="Times New Roman" w:cs="Times New Roman"/>
                <w:sz w:val="36"/>
                <w:szCs w:val="36"/>
              </w:rPr>
            </w:pPr>
            <w:r w:rsidRPr="003978D6">
              <w:rPr>
                <w:rFonts w:ascii="Times New Roman" w:eastAsia="Times New Roman" w:hAnsi="Times New Roman" w:cs="Times New Roman"/>
                <w:sz w:val="36"/>
                <w:szCs w:val="36"/>
              </w:rPr>
              <w:t>2</w:t>
            </w:r>
          </w:p>
        </w:tc>
      </w:tr>
    </w:tbl>
    <w:p w:rsidR="003978D6" w:rsidRPr="003978D6" w:rsidRDefault="003978D6" w:rsidP="003978D6">
      <w:pPr>
        <w:jc w:val="right"/>
        <w:rPr>
          <w:rFonts w:hint="cs"/>
          <w:sz w:val="36"/>
          <w:szCs w:val="36"/>
          <w:rtl/>
        </w:rPr>
      </w:pPr>
    </w:p>
    <w:p w:rsidR="003978D6" w:rsidRPr="003978D6" w:rsidRDefault="003978D6" w:rsidP="003978D6">
      <w:pPr>
        <w:rPr>
          <w:sz w:val="36"/>
          <w:szCs w:val="36"/>
        </w:rPr>
      </w:pPr>
    </w:p>
    <w:p w:rsidR="003978D6" w:rsidRPr="003978D6" w:rsidRDefault="003978D6" w:rsidP="003978D6">
      <w:pPr>
        <w:jc w:val="right"/>
        <w:rPr>
          <w:rFonts w:hint="cs"/>
          <w:sz w:val="36"/>
          <w:szCs w:val="36"/>
          <w:rtl/>
        </w:rPr>
      </w:pPr>
      <w:r w:rsidRPr="003978D6">
        <w:rPr>
          <w:sz w:val="36"/>
          <w:szCs w:val="36"/>
        </w:rPr>
        <w:t>Summary table</w:t>
      </w:r>
    </w:p>
    <w:p w:rsidR="003978D6" w:rsidRPr="003978D6" w:rsidRDefault="003978D6" w:rsidP="003978D6">
      <w:pPr>
        <w:rPr>
          <w:sz w:val="36"/>
          <w:szCs w:val="36"/>
        </w:rPr>
      </w:pPr>
    </w:p>
    <w:p w:rsidR="003978D6" w:rsidRDefault="003978D6" w:rsidP="003978D6">
      <w:pPr>
        <w:jc w:val="right"/>
        <w:rPr>
          <w:sz w:val="36"/>
          <w:szCs w:val="36"/>
        </w:rPr>
      </w:pPr>
      <w:r w:rsidRPr="003978D6">
        <w:rPr>
          <w:sz w:val="36"/>
          <w:szCs w:val="36"/>
        </w:rPr>
        <w:t>p-value of Fisher’s is 0.</w:t>
      </w:r>
      <w:r>
        <w:rPr>
          <w:sz w:val="36"/>
          <w:szCs w:val="36"/>
        </w:rPr>
        <w:t>019</w:t>
      </w:r>
    </w:p>
    <w:p w:rsidR="003978D6" w:rsidRPr="003978D6" w:rsidRDefault="003978D6" w:rsidP="003978D6">
      <w:pPr>
        <w:jc w:val="right"/>
        <w:rPr>
          <w:sz w:val="36"/>
          <w:szCs w:val="36"/>
        </w:rPr>
      </w:pPr>
      <w:r w:rsidRPr="003978D6">
        <w:rPr>
          <w:sz w:val="36"/>
          <w:szCs w:val="36"/>
        </w:rPr>
        <w:t>Decision: except  to reject the null hypothesis (FTR) Since P-value lesser  than alpha 0.05, we except  to reject the null hypothesis.</w:t>
      </w:r>
    </w:p>
    <w:p w:rsidR="003978D6" w:rsidRDefault="003978D6" w:rsidP="003978D6">
      <w:pPr>
        <w:tabs>
          <w:tab w:val="left" w:pos="3480"/>
          <w:tab w:val="left" w:pos="3596"/>
          <w:tab w:val="right" w:pos="8306"/>
        </w:tabs>
        <w:jc w:val="right"/>
        <w:rPr>
          <w:sz w:val="36"/>
          <w:szCs w:val="36"/>
        </w:rPr>
      </w:pPr>
      <w:r w:rsidRPr="003978D6">
        <w:rPr>
          <w:sz w:val="36"/>
          <w:szCs w:val="36"/>
        </w:rPr>
        <w:t>Conclusion there is association between gender  status and bacterial growth</w:t>
      </w:r>
      <w:r>
        <w:rPr>
          <w:sz w:val="36"/>
          <w:szCs w:val="36"/>
        </w:rPr>
        <w:t>.</w:t>
      </w:r>
      <w:r w:rsidRPr="003978D6">
        <w:rPr>
          <w:sz w:val="36"/>
          <w:szCs w:val="36"/>
        </w:rPr>
        <w:t xml:space="preserve"> </w:t>
      </w:r>
    </w:p>
    <w:p w:rsidR="00E44BAB" w:rsidRPr="00E44BAB" w:rsidRDefault="003978D6" w:rsidP="003978D6">
      <w:pPr>
        <w:tabs>
          <w:tab w:val="left" w:pos="3480"/>
          <w:tab w:val="left" w:pos="3596"/>
          <w:tab w:val="right" w:pos="8306"/>
        </w:tabs>
        <w:jc w:val="right"/>
        <w:rPr>
          <w:rFonts w:eastAsiaTheme="minorEastAsia" w:hAnsi="Calibri"/>
          <w:color w:val="000000" w:themeColor="text1"/>
          <w:kern w:val="24"/>
          <w:sz w:val="40"/>
          <w:szCs w:val="40"/>
        </w:rPr>
      </w:pPr>
      <w:r w:rsidRPr="00DF2D6E">
        <w:rPr>
          <w:noProof/>
          <w:sz w:val="36"/>
          <w:szCs w:val="36"/>
        </w:rPr>
        <w:lastRenderedPageBreak/>
        <w:drawing>
          <wp:inline distT="0" distB="0" distL="0" distR="0" wp14:anchorId="13C14F7B" wp14:editId="7A12D8C1">
            <wp:extent cx="5274310" cy="3309042"/>
            <wp:effectExtent l="0" t="0" r="2540" b="5715"/>
            <wp:docPr id="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DF2D6E">
        <w:rPr>
          <w:noProof/>
        </w:rPr>
        <w:drawing>
          <wp:inline distT="0" distB="0" distL="0" distR="0" wp14:anchorId="0D72785A" wp14:editId="7B7FC10D">
            <wp:extent cx="5274310" cy="3516207"/>
            <wp:effectExtent l="0" t="0" r="2540" b="8255"/>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3978D6">
        <w:rPr>
          <w:sz w:val="36"/>
          <w:szCs w:val="36"/>
        </w:rPr>
        <w:t xml:space="preserve"> </w:t>
      </w:r>
      <w:r w:rsidR="002A08FB" w:rsidRPr="006F6F67">
        <w:rPr>
          <w:rFonts w:eastAsiaTheme="minorEastAsia" w:hAnsi="Calibri"/>
          <w:b/>
          <w:bCs/>
          <w:color w:val="FF0000"/>
          <w:kern w:val="24"/>
          <w:sz w:val="40"/>
          <w:szCs w:val="40"/>
        </w:rPr>
        <w:t>•</w:t>
      </w:r>
      <w:r w:rsidR="00E44BAB" w:rsidRPr="00E44BAB">
        <w:rPr>
          <w:rFonts w:eastAsiaTheme="minorEastAsia" w:hAnsi="Calibri"/>
          <w:b/>
          <w:bCs/>
          <w:color w:val="FF0000"/>
          <w:kern w:val="24"/>
          <w:sz w:val="40"/>
          <w:szCs w:val="40"/>
        </w:rPr>
        <w:t>Discussion</w:t>
      </w:r>
      <w:r w:rsidR="00E44BAB" w:rsidRPr="00E44BAB">
        <w:rPr>
          <w:rFonts w:eastAsiaTheme="minorEastAsia" w:hAnsi="Calibri"/>
          <w:color w:val="000000" w:themeColor="text1"/>
          <w:kern w:val="24"/>
          <w:sz w:val="40"/>
          <w:szCs w:val="40"/>
        </w:rPr>
        <w:t>:-</w:t>
      </w:r>
      <w:r w:rsidR="00E44BAB" w:rsidRPr="00E44BAB">
        <w:rPr>
          <w:color w:val="000000" w:themeColor="text1"/>
        </w:rPr>
        <w:t xml:space="preserve"> </w:t>
      </w:r>
      <w:r w:rsidR="00E44BAB" w:rsidRPr="00E44BAB">
        <w:rPr>
          <w:rFonts w:eastAsiaTheme="minorEastAsia" w:hAnsi="Calibri"/>
          <w:color w:val="000000" w:themeColor="text1"/>
          <w:kern w:val="24"/>
          <w:sz w:val="40"/>
          <w:szCs w:val="40"/>
        </w:rPr>
        <w:t xml:space="preserve">Despite the fact that a number of research have looked into the use of urine Gram stain in infants and children, the results have been mixed [9-12]. In a study of 207 infants under the age of six months with fever, Lochart et al. [9] discovered that the Gram stain had a sensitivity of </w:t>
      </w:r>
      <w:r w:rsidR="00E44BAB" w:rsidRPr="00E44BAB">
        <w:rPr>
          <w:rFonts w:eastAsiaTheme="minorEastAsia" w:hAnsi="Calibri"/>
          <w:color w:val="000000" w:themeColor="text1"/>
          <w:kern w:val="24"/>
          <w:sz w:val="40"/>
          <w:szCs w:val="40"/>
        </w:rPr>
        <w:lastRenderedPageBreak/>
        <w:t>94 percent and a specificity of 92 percent, the total urinalysis test had a specificity of 92 percent.</w:t>
      </w:r>
      <w:r w:rsidR="00E44BAB" w:rsidRPr="00E44BAB">
        <w:t xml:space="preserve"> </w:t>
      </w:r>
      <w:r w:rsidR="00E44BAB" w:rsidRPr="00E44BAB">
        <w:rPr>
          <w:rFonts w:eastAsiaTheme="minorEastAsia" w:hAnsi="Calibri"/>
          <w:color w:val="000000" w:themeColor="text1"/>
          <w:kern w:val="24"/>
          <w:sz w:val="40"/>
          <w:szCs w:val="40"/>
        </w:rPr>
        <w:t>The total urinalysis test was found to have a sensitivity of 67% and specificity of 79%. A study of 1,019 symptomatic pediatric outpatients found that Gram-stained smears were somewhat more sensitive than dipsticks (either leukocyte esterase- or nitrite-positive); 97.6 percent vs. 90.2 percent, although both techniques had modest positive predictive values 11</w:t>
      </w:r>
      <w:r w:rsidR="00D129B4">
        <w:rPr>
          <w:rFonts w:eastAsiaTheme="minorEastAsia" w:hAnsi="Calibri"/>
          <w:color w:val="000000" w:themeColor="text1"/>
          <w:kern w:val="24"/>
          <w:sz w:val="40"/>
          <w:szCs w:val="40"/>
        </w:rPr>
        <w:t>.</w:t>
      </w:r>
      <w:r w:rsidR="00E44BAB" w:rsidRPr="00E44BAB">
        <w:rPr>
          <w:rFonts w:eastAsiaTheme="minorEastAsia" w:hAnsi="Calibri" w:cs="Arial"/>
          <w:color w:val="000000" w:themeColor="text1"/>
          <w:kern w:val="24"/>
          <w:sz w:val="40"/>
          <w:szCs w:val="40"/>
          <w:rtl/>
        </w:rPr>
        <w:t xml:space="preserve"> </w:t>
      </w:r>
    </w:p>
    <w:p w:rsidR="00D129B4" w:rsidRPr="00D129B4" w:rsidRDefault="00E44BAB" w:rsidP="00D129B4">
      <w:pPr>
        <w:tabs>
          <w:tab w:val="left" w:pos="3480"/>
          <w:tab w:val="left" w:pos="3596"/>
          <w:tab w:val="right" w:pos="8306"/>
        </w:tabs>
        <w:jc w:val="right"/>
        <w:rPr>
          <w:rFonts w:eastAsiaTheme="minorEastAsia" w:hAnsi="Calibri"/>
          <w:color w:val="000000" w:themeColor="text1"/>
          <w:kern w:val="24"/>
          <w:sz w:val="40"/>
          <w:szCs w:val="40"/>
        </w:rPr>
      </w:pPr>
      <w:r w:rsidRPr="00E44BAB">
        <w:rPr>
          <w:rFonts w:eastAsiaTheme="minorEastAsia" w:hAnsi="Calibri"/>
          <w:color w:val="000000" w:themeColor="text1"/>
          <w:kern w:val="24"/>
          <w:sz w:val="40"/>
          <w:szCs w:val="40"/>
        </w:rPr>
        <w:t>For the improved urinalysis, Hoberman and associates [12] found 96 percent sensitivity and 93 percent specificity, and they also noted that the Dresence or either</w:t>
      </w:r>
      <w:r w:rsidR="00D129B4" w:rsidRPr="00D129B4">
        <w:t xml:space="preserve"> </w:t>
      </w:r>
      <w:r w:rsidR="00D129B4" w:rsidRPr="00D129B4">
        <w:rPr>
          <w:rFonts w:eastAsiaTheme="minorEastAsia" w:hAnsi="Calibri"/>
          <w:color w:val="000000" w:themeColor="text1"/>
          <w:kern w:val="24"/>
          <w:sz w:val="40"/>
          <w:szCs w:val="40"/>
        </w:rPr>
        <w:t>pyuria or bacteriuria, as well as the presence of both, have the highest sensitivity (95 percent) and positive predictive value (85 percent). According to Shaw et al. [10], enhanced urinalysis was the most sensitive (94%) at detecting UTI, although it had more false-positive results (16%) than the urine dipstick (leukocyte esterase or nitrite) or Gram stain (3%</w:t>
      </w:r>
      <w:r w:rsidR="00D129B4">
        <w:rPr>
          <w:rFonts w:eastAsiaTheme="minorEastAsia" w:hAnsi="Calibri"/>
          <w:color w:val="000000" w:themeColor="text1"/>
          <w:kern w:val="24"/>
          <w:sz w:val="40"/>
          <w:szCs w:val="40"/>
        </w:rPr>
        <w:t>).</w:t>
      </w:r>
      <w:r w:rsidR="00D129B4" w:rsidRPr="00D129B4">
        <w:rPr>
          <w:rFonts w:eastAsiaTheme="minorEastAsia" w:hAnsi="Calibri" w:cs="Arial"/>
          <w:color w:val="000000" w:themeColor="text1"/>
          <w:kern w:val="24"/>
          <w:sz w:val="40"/>
          <w:szCs w:val="40"/>
          <w:rtl/>
        </w:rPr>
        <w:t xml:space="preserve">) </w:t>
      </w:r>
    </w:p>
    <w:p w:rsidR="0036129C" w:rsidRDefault="00D129B4" w:rsidP="00D129B4">
      <w:pPr>
        <w:tabs>
          <w:tab w:val="left" w:pos="3480"/>
          <w:tab w:val="left" w:pos="3596"/>
          <w:tab w:val="right" w:pos="8306"/>
        </w:tabs>
        <w:jc w:val="right"/>
        <w:rPr>
          <w:rFonts w:eastAsiaTheme="minorEastAsia" w:hAnsi="Calibri"/>
          <w:color w:val="000000" w:themeColor="text1"/>
          <w:kern w:val="24"/>
          <w:sz w:val="40"/>
          <w:szCs w:val="40"/>
        </w:rPr>
      </w:pPr>
      <w:r w:rsidRPr="00D129B4">
        <w:rPr>
          <w:rFonts w:eastAsiaTheme="minorEastAsia" w:hAnsi="Calibri"/>
          <w:color w:val="000000" w:themeColor="text1"/>
          <w:kern w:val="24"/>
          <w:sz w:val="40"/>
          <w:szCs w:val="40"/>
        </w:rPr>
        <w:t>We were unable to determine the number of leukocytes per cubic millimeter in urine samples since we did not count them</w:t>
      </w:r>
      <w:r>
        <w:rPr>
          <w:rFonts w:eastAsiaTheme="minorEastAsia" w:hAnsi="Calibri"/>
          <w:color w:val="000000" w:themeColor="text1"/>
          <w:kern w:val="24"/>
          <w:sz w:val="40"/>
          <w:szCs w:val="40"/>
        </w:rPr>
        <w:t>.</w:t>
      </w:r>
    </w:p>
    <w:p w:rsidR="00FA6C81" w:rsidRDefault="002A08FB" w:rsidP="00D129B4">
      <w:pPr>
        <w:tabs>
          <w:tab w:val="left" w:pos="3480"/>
          <w:tab w:val="left" w:pos="3596"/>
          <w:tab w:val="right" w:pos="8306"/>
        </w:tabs>
        <w:jc w:val="right"/>
        <w:rPr>
          <w:rFonts w:eastAsiaTheme="minorEastAsia" w:hAnsi="Calibri"/>
          <w:kern w:val="24"/>
          <w:sz w:val="36"/>
          <w:szCs w:val="36"/>
        </w:rPr>
      </w:pPr>
      <w:r w:rsidRPr="006F6F67">
        <w:rPr>
          <w:rFonts w:eastAsiaTheme="minorEastAsia" w:hAnsi="Calibri"/>
          <w:b/>
          <w:bCs/>
          <w:color w:val="FF0000"/>
          <w:kern w:val="24"/>
          <w:sz w:val="40"/>
          <w:szCs w:val="40"/>
        </w:rPr>
        <w:lastRenderedPageBreak/>
        <w:t>•</w:t>
      </w:r>
      <w:r w:rsidR="00FA6C81" w:rsidRPr="00FA6C81">
        <w:rPr>
          <w:rFonts w:eastAsiaTheme="minorEastAsia" w:hAnsi="Calibri"/>
          <w:b/>
          <w:bCs/>
          <w:color w:val="FF0000"/>
          <w:kern w:val="24"/>
          <w:sz w:val="40"/>
          <w:szCs w:val="40"/>
        </w:rPr>
        <w:t>Conclusion</w:t>
      </w:r>
      <w:r w:rsidR="00FA6C81">
        <w:rPr>
          <w:rFonts w:eastAsiaTheme="minorEastAsia" w:hAnsi="Calibri"/>
          <w:color w:val="FF0000"/>
          <w:kern w:val="24"/>
          <w:sz w:val="40"/>
          <w:szCs w:val="40"/>
        </w:rPr>
        <w:t>:-</w:t>
      </w:r>
      <w:r w:rsidR="00FA6C81" w:rsidRPr="00FA6C81">
        <w:t xml:space="preserve"> </w:t>
      </w:r>
      <w:r w:rsidR="00FA6C81" w:rsidRPr="00FA6C81">
        <w:rPr>
          <w:rFonts w:eastAsiaTheme="minorEastAsia" w:hAnsi="Calibri"/>
          <w:kern w:val="24"/>
          <w:sz w:val="36"/>
          <w:szCs w:val="36"/>
        </w:rPr>
        <w:t xml:space="preserve">Our data revealed that a combination of pyuria and gram had the highest specificity </w:t>
      </w:r>
      <w:r w:rsidR="00FA6C81" w:rsidRPr="00FA6C81">
        <w:rPr>
          <w:rFonts w:eastAsiaTheme="minorEastAsia" w:hAnsi="Calibri"/>
          <w:kern w:val="24"/>
          <w:sz w:val="40"/>
          <w:szCs w:val="40"/>
        </w:rPr>
        <w:t>(90%) but</w:t>
      </w:r>
      <w:r w:rsidR="00FA6C81" w:rsidRPr="00FA6C81">
        <w:rPr>
          <w:rFonts w:eastAsiaTheme="minorEastAsia" w:hAnsi="Calibri"/>
          <w:color w:val="FF0000"/>
          <w:kern w:val="24"/>
          <w:sz w:val="40"/>
          <w:szCs w:val="40"/>
        </w:rPr>
        <w:t xml:space="preserve"> </w:t>
      </w:r>
      <w:r w:rsidR="00FA6C81" w:rsidRPr="00FA6C81">
        <w:rPr>
          <w:rFonts w:eastAsiaTheme="minorEastAsia" w:hAnsi="Calibri"/>
          <w:kern w:val="24"/>
          <w:sz w:val="36"/>
          <w:szCs w:val="36"/>
        </w:rPr>
        <w:t>the lowest sensitivity (42%); urine Gram stain had the highest specificity (90%) but the lowest sensitivity (42%); and total urinalysis had the lowest specificity (3.5%).</w:t>
      </w:r>
    </w:p>
    <w:p w:rsidR="00D129B4" w:rsidRDefault="00FA6C81" w:rsidP="00FA6C81">
      <w:pPr>
        <w:tabs>
          <w:tab w:val="left" w:pos="3480"/>
          <w:tab w:val="left" w:pos="3596"/>
          <w:tab w:val="right" w:pos="8306"/>
        </w:tabs>
        <w:jc w:val="right"/>
        <w:rPr>
          <w:rFonts w:eastAsiaTheme="minorEastAsia" w:hAnsi="Calibri"/>
          <w:kern w:val="24"/>
          <w:sz w:val="36"/>
          <w:szCs w:val="36"/>
        </w:rPr>
      </w:pPr>
      <w:r w:rsidRPr="00FA6C81">
        <w:rPr>
          <w:rFonts w:eastAsiaTheme="minorEastAsia" w:hAnsi="Calibri"/>
          <w:kern w:val="24"/>
          <w:sz w:val="36"/>
          <w:szCs w:val="36"/>
        </w:rPr>
        <w:t xml:space="preserve"> In light of these data, we believe that neither urine screening technology nor a urine culture should</w:t>
      </w:r>
      <w:r>
        <w:rPr>
          <w:rFonts w:eastAsiaTheme="minorEastAsia" w:hAnsi="Calibri"/>
          <w:kern w:val="24"/>
          <w:sz w:val="36"/>
          <w:szCs w:val="36"/>
        </w:rPr>
        <w:t xml:space="preserve"> be used in symptomatic chilhood.</w:t>
      </w:r>
    </w:p>
    <w:p w:rsidR="00FA6C81" w:rsidRPr="00FA6C81" w:rsidRDefault="002A08FB" w:rsidP="00E72B2E">
      <w:pPr>
        <w:tabs>
          <w:tab w:val="left" w:pos="3480"/>
          <w:tab w:val="left" w:pos="3596"/>
          <w:tab w:val="right" w:pos="8306"/>
        </w:tabs>
        <w:jc w:val="right"/>
        <w:rPr>
          <w:rFonts w:eastAsiaTheme="minorEastAsia" w:hAnsi="Calibri"/>
          <w:b/>
          <w:bCs/>
          <w:color w:val="FF0000"/>
          <w:kern w:val="24"/>
          <w:sz w:val="40"/>
          <w:szCs w:val="40"/>
          <w:rtl/>
        </w:rPr>
      </w:pPr>
      <w:r w:rsidRPr="006F6F67">
        <w:rPr>
          <w:rFonts w:eastAsiaTheme="minorEastAsia" w:hAnsi="Calibri"/>
          <w:b/>
          <w:bCs/>
          <w:color w:val="FF0000"/>
          <w:kern w:val="24"/>
          <w:sz w:val="40"/>
          <w:szCs w:val="40"/>
        </w:rPr>
        <w:t>•</w:t>
      </w:r>
      <w:r w:rsidR="00FA6C81" w:rsidRPr="00FA6C81">
        <w:rPr>
          <w:rFonts w:eastAsiaTheme="minorEastAsia" w:hAnsi="Calibri"/>
          <w:b/>
          <w:bCs/>
          <w:color w:val="FF0000"/>
          <w:kern w:val="24"/>
          <w:sz w:val="40"/>
          <w:szCs w:val="40"/>
        </w:rPr>
        <w:t>References</w:t>
      </w:r>
      <w:r w:rsidR="00FA6C81" w:rsidRPr="00E72B2E">
        <w:rPr>
          <w:rFonts w:eastAsiaTheme="minorEastAsia" w:hAnsi="Calibri"/>
          <w:color w:val="000000" w:themeColor="text1"/>
          <w:kern w:val="24"/>
          <w:sz w:val="40"/>
          <w:szCs w:val="40"/>
          <w:u w:val="single"/>
        </w:rPr>
        <w:t>:-</w:t>
      </w:r>
      <w:r w:rsidR="00E72B2E" w:rsidRPr="00E72B2E">
        <w:rPr>
          <w:color w:val="000000" w:themeColor="text1"/>
          <w:u w:val="single"/>
        </w:rPr>
        <w:t xml:space="preserve"> </w:t>
      </w:r>
      <w:r w:rsidR="00E72B2E" w:rsidRPr="00E72B2E">
        <w:rPr>
          <w:rFonts w:eastAsiaTheme="minorEastAsia" w:hAnsi="Calibri"/>
          <w:color w:val="000000" w:themeColor="text1"/>
          <w:kern w:val="24"/>
          <w:sz w:val="40"/>
          <w:szCs w:val="40"/>
          <w:u w:val="single"/>
        </w:rPr>
        <w:t>Arslan S, Caksen H, Rastgeldi L, Uner A, Oner AF, Odabaş D. Use of urinary gram stain for detection of urinary tract infection in childhood. Yale J Biol Med. 2002 Mar-Apr;75(2):73-8</w:t>
      </w:r>
    </w:p>
    <w:p w:rsidR="00773847" w:rsidRPr="00E72B2E" w:rsidRDefault="00773847" w:rsidP="00E72B2E">
      <w:pPr>
        <w:tabs>
          <w:tab w:val="left" w:pos="3480"/>
          <w:tab w:val="left" w:pos="3596"/>
          <w:tab w:val="right" w:pos="8306"/>
        </w:tabs>
        <w:jc w:val="right"/>
        <w:rPr>
          <w:rFonts w:eastAsiaTheme="minorEastAsia" w:hAnsi="Calibri"/>
          <w:color w:val="FF0000"/>
          <w:kern w:val="24"/>
          <w:sz w:val="36"/>
          <w:szCs w:val="36"/>
          <w:u w:val="single"/>
        </w:rPr>
      </w:pPr>
    </w:p>
    <w:sectPr w:rsidR="00773847" w:rsidRPr="00E72B2E" w:rsidSect="00B92E6C">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4F13" w:rsidRDefault="00BA4F13" w:rsidP="00773847">
      <w:pPr>
        <w:spacing w:after="0" w:line="240" w:lineRule="auto"/>
      </w:pPr>
      <w:r>
        <w:separator/>
      </w:r>
    </w:p>
  </w:endnote>
  <w:endnote w:type="continuationSeparator" w:id="0">
    <w:p w:rsidR="00BA4F13" w:rsidRDefault="00BA4F13" w:rsidP="007738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D1B" w:rsidRDefault="00B24D1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612890507"/>
      <w:docPartObj>
        <w:docPartGallery w:val="Page Numbers (Bottom of Page)"/>
        <w:docPartUnique/>
      </w:docPartObj>
    </w:sdtPr>
    <w:sdtEndPr/>
    <w:sdtContent>
      <w:p w:rsidR="00B24D1B" w:rsidRDefault="00B24D1B" w:rsidP="00B24D1B">
        <w:pPr>
          <w:pStyle w:val="a5"/>
        </w:pPr>
        <w:r>
          <w:t xml:space="preserve">           </w:t>
        </w:r>
        <w:r w:rsidRPr="00B24D1B">
          <w:rPr>
            <w:b/>
            <w:bCs/>
            <w:sz w:val="36"/>
            <w:szCs w:val="36"/>
          </w:rPr>
          <w:fldChar w:fldCharType="begin"/>
        </w:r>
        <w:r w:rsidRPr="00B24D1B">
          <w:rPr>
            <w:b/>
            <w:bCs/>
            <w:sz w:val="36"/>
            <w:szCs w:val="36"/>
          </w:rPr>
          <w:instrText>PAGE   \* MERGEFORMAT</w:instrText>
        </w:r>
        <w:r w:rsidRPr="00B24D1B">
          <w:rPr>
            <w:b/>
            <w:bCs/>
            <w:sz w:val="36"/>
            <w:szCs w:val="36"/>
          </w:rPr>
          <w:fldChar w:fldCharType="separate"/>
        </w:r>
        <w:r w:rsidR="00E97624" w:rsidRPr="00E97624">
          <w:rPr>
            <w:b/>
            <w:bCs/>
            <w:noProof/>
            <w:sz w:val="36"/>
            <w:szCs w:val="36"/>
            <w:rtl/>
            <w:lang w:val="ar-SA"/>
          </w:rPr>
          <w:t>14</w:t>
        </w:r>
        <w:r w:rsidRPr="00B24D1B">
          <w:rPr>
            <w:b/>
            <w:bCs/>
            <w:sz w:val="36"/>
            <w:szCs w:val="36"/>
          </w:rPr>
          <w:fldChar w:fldCharType="end"/>
        </w:r>
        <w:r>
          <w:rPr>
            <w:b/>
            <w:bCs/>
            <w:sz w:val="36"/>
            <w:szCs w:val="36"/>
          </w:rPr>
          <w:t xml:space="preserve">        </w:t>
        </w:r>
        <w:r w:rsidRPr="00B24D1B">
          <w:rPr>
            <w:b/>
            <w:bCs/>
            <w:sz w:val="36"/>
            <w:szCs w:val="36"/>
          </w:rPr>
          <w:t xml:space="preserve"> </w:t>
        </w:r>
        <w:r>
          <w:rPr>
            <w:rFonts w:hint="cs"/>
            <w:rtl/>
          </w:rPr>
          <w:t xml:space="preserve">   </w:t>
        </w:r>
      </w:p>
    </w:sdtContent>
  </w:sdt>
  <w:p w:rsidR="00B24D1B" w:rsidRDefault="00B24D1B">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D1B" w:rsidRDefault="00B24D1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4F13" w:rsidRDefault="00BA4F13" w:rsidP="00773847">
      <w:pPr>
        <w:spacing w:after="0" w:line="240" w:lineRule="auto"/>
      </w:pPr>
      <w:r>
        <w:separator/>
      </w:r>
    </w:p>
  </w:footnote>
  <w:footnote w:type="continuationSeparator" w:id="0">
    <w:p w:rsidR="00BA4F13" w:rsidRDefault="00BA4F13" w:rsidP="007738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D1B" w:rsidRDefault="00B24D1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D1B" w:rsidRDefault="00B24D1B">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D1B" w:rsidRDefault="00B24D1B">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F01"/>
    <w:rsid w:val="000424A9"/>
    <w:rsid w:val="00055887"/>
    <w:rsid w:val="00133AFB"/>
    <w:rsid w:val="00197E15"/>
    <w:rsid w:val="001E0F19"/>
    <w:rsid w:val="002A08FB"/>
    <w:rsid w:val="003110BD"/>
    <w:rsid w:val="003342FE"/>
    <w:rsid w:val="0036129C"/>
    <w:rsid w:val="003978D6"/>
    <w:rsid w:val="004D7F6E"/>
    <w:rsid w:val="004E5714"/>
    <w:rsid w:val="00566B6D"/>
    <w:rsid w:val="005C260A"/>
    <w:rsid w:val="005C5A2F"/>
    <w:rsid w:val="006344D0"/>
    <w:rsid w:val="006C7907"/>
    <w:rsid w:val="006E71D9"/>
    <w:rsid w:val="006F6F67"/>
    <w:rsid w:val="00773847"/>
    <w:rsid w:val="007C2D63"/>
    <w:rsid w:val="00862A41"/>
    <w:rsid w:val="0094476E"/>
    <w:rsid w:val="0094575A"/>
    <w:rsid w:val="00946FD4"/>
    <w:rsid w:val="00A6354F"/>
    <w:rsid w:val="00AA6B37"/>
    <w:rsid w:val="00AB51E0"/>
    <w:rsid w:val="00AE127B"/>
    <w:rsid w:val="00B24D1B"/>
    <w:rsid w:val="00B92E6C"/>
    <w:rsid w:val="00BA4F13"/>
    <w:rsid w:val="00BF082A"/>
    <w:rsid w:val="00D129B4"/>
    <w:rsid w:val="00D8316E"/>
    <w:rsid w:val="00E44BAB"/>
    <w:rsid w:val="00E72B2E"/>
    <w:rsid w:val="00E97624"/>
    <w:rsid w:val="00EE0EDE"/>
    <w:rsid w:val="00F22D4F"/>
    <w:rsid w:val="00F31F01"/>
    <w:rsid w:val="00FA6C81"/>
    <w:rsid w:val="00FC07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179F421-4D63-4A5F-8B91-1428BDBBF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31F01"/>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862A41"/>
    <w:rPr>
      <w:color w:val="0000FF"/>
      <w:u w:val="single"/>
    </w:rPr>
  </w:style>
  <w:style w:type="paragraph" w:styleId="a4">
    <w:name w:val="header"/>
    <w:basedOn w:val="a"/>
    <w:link w:val="Char"/>
    <w:uiPriority w:val="99"/>
    <w:unhideWhenUsed/>
    <w:rsid w:val="00773847"/>
    <w:pPr>
      <w:tabs>
        <w:tab w:val="center" w:pos="4153"/>
        <w:tab w:val="right" w:pos="8306"/>
      </w:tabs>
      <w:spacing w:after="0" w:line="240" w:lineRule="auto"/>
    </w:pPr>
  </w:style>
  <w:style w:type="character" w:customStyle="1" w:styleId="Char">
    <w:name w:val="رأس الصفحة Char"/>
    <w:basedOn w:val="a0"/>
    <w:link w:val="a4"/>
    <w:uiPriority w:val="99"/>
    <w:rsid w:val="00773847"/>
  </w:style>
  <w:style w:type="paragraph" w:styleId="a5">
    <w:name w:val="footer"/>
    <w:basedOn w:val="a"/>
    <w:link w:val="Char0"/>
    <w:uiPriority w:val="99"/>
    <w:unhideWhenUsed/>
    <w:rsid w:val="00773847"/>
    <w:pPr>
      <w:tabs>
        <w:tab w:val="center" w:pos="4153"/>
        <w:tab w:val="right" w:pos="8306"/>
      </w:tabs>
      <w:spacing w:after="0" w:line="240" w:lineRule="auto"/>
    </w:pPr>
  </w:style>
  <w:style w:type="character" w:customStyle="1" w:styleId="Char0">
    <w:name w:val="تذييل الصفحة Char"/>
    <w:basedOn w:val="a0"/>
    <w:link w:val="a5"/>
    <w:uiPriority w:val="99"/>
    <w:rsid w:val="007738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013765">
      <w:bodyDiv w:val="1"/>
      <w:marLeft w:val="0"/>
      <w:marRight w:val="0"/>
      <w:marTop w:val="0"/>
      <w:marBottom w:val="0"/>
      <w:divBdr>
        <w:top w:val="none" w:sz="0" w:space="0" w:color="auto"/>
        <w:left w:val="none" w:sz="0" w:space="0" w:color="auto"/>
        <w:bottom w:val="none" w:sz="0" w:space="0" w:color="auto"/>
        <w:right w:val="none" w:sz="0" w:space="0" w:color="auto"/>
      </w:divBdr>
    </w:div>
    <w:div w:id="1824856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chart" Target="charts/chart2.xml"/><Relationship Id="rId18" Type="http://schemas.openxmlformats.org/officeDocument/2006/relationships/header" Target="header3.xm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image" Target="media/image2.jpg"/><Relationship Id="rId12" Type="http://schemas.openxmlformats.org/officeDocument/2006/relationships/chart" Target="charts/chart1.xml"/><Relationship Id="rId17"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jpg"/><Relationship Id="rId5" Type="http://schemas.openxmlformats.org/officeDocument/2006/relationships/endnotes" Target="endnotes.xml"/><Relationship Id="rId15" Type="http://schemas.openxmlformats.org/officeDocument/2006/relationships/header" Target="header2.xml"/><Relationship Id="rId10" Type="http://schemas.openxmlformats.org/officeDocument/2006/relationships/image" Target="media/image5.jpg"/><Relationship Id="rId19"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image" Target="media/image4.jp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26734940944881891"/>
          <c:y val="2.8026597055183608E-2"/>
          <c:w val="0.57122033852911247"/>
          <c:h val="0.97197340294481638"/>
        </c:manualLayout>
      </c:layout>
      <c:pieChart>
        <c:varyColors val="1"/>
        <c:ser>
          <c:idx val="0"/>
          <c:order val="0"/>
          <c:tx>
            <c:strRef>
              <c:f>ورقة1!$B$1</c:f>
              <c:strCache>
                <c:ptCount val="1"/>
                <c:pt idx="0">
                  <c:v>المبيعات</c:v>
                </c:pt>
              </c:strCache>
            </c:strRef>
          </c:tx>
          <c:explosion val="1"/>
          <c:dPt>
            <c:idx val="0"/>
            <c:bubble3D val="0"/>
            <c:explosion val="0"/>
            <c:spPr>
              <a:solidFill>
                <a:schemeClr val="accent1">
                  <a:shade val="58000"/>
                </a:schemeClr>
              </a:solidFill>
              <a:ln w="19050">
                <a:solidFill>
                  <a:schemeClr val="lt1"/>
                </a:solidFill>
              </a:ln>
              <a:effectLst/>
            </c:spPr>
          </c:dPt>
          <c:dPt>
            <c:idx val="1"/>
            <c:bubble3D val="0"/>
            <c:explosion val="0"/>
            <c:spPr>
              <a:solidFill>
                <a:schemeClr val="accent1">
                  <a:shade val="86000"/>
                </a:schemeClr>
              </a:solidFill>
              <a:ln w="19050">
                <a:solidFill>
                  <a:schemeClr val="lt1"/>
                </a:solidFill>
              </a:ln>
              <a:effectLst/>
            </c:spPr>
          </c:dPt>
          <c:dPt>
            <c:idx val="2"/>
            <c:bubble3D val="0"/>
            <c:explosion val="0"/>
            <c:spPr>
              <a:solidFill>
                <a:schemeClr val="accent1">
                  <a:tint val="86000"/>
                </a:schemeClr>
              </a:solidFill>
              <a:ln w="19050">
                <a:solidFill>
                  <a:schemeClr val="lt1"/>
                </a:solidFill>
              </a:ln>
              <a:effectLst/>
            </c:spPr>
          </c:dPt>
          <c:dPt>
            <c:idx val="3"/>
            <c:bubble3D val="0"/>
            <c:spPr>
              <a:solidFill>
                <a:schemeClr val="accent1">
                  <a:tint val="58000"/>
                </a:schemeClr>
              </a:solidFill>
              <a:ln w="19050">
                <a:solidFill>
                  <a:schemeClr val="lt1"/>
                </a:solidFill>
              </a:ln>
              <a:effectLst/>
            </c:spPr>
          </c:dPt>
          <c:dLbls>
            <c:dLbl>
              <c:idx val="0"/>
              <c:layout>
                <c:manualLayout>
                  <c:x val="-0.15507915809886821"/>
                  <c:y val="0.16257004676445902"/>
                </c:manualLayout>
              </c:layout>
              <c:tx>
                <c:rich>
                  <a:bodyPr/>
                  <a:lstStyle/>
                  <a:p>
                    <a:fld id="{D674E9F7-022D-4AD5-9EAE-3DBFC1008A5D}" type="CATEGORYNAME">
                      <a:rPr lang="en-US" sz="2000"/>
                      <a:pPr/>
                      <a:t>[اسم الفئة]</a:t>
                    </a:fld>
                    <a:r>
                      <a:rPr lang="en-US" sz="2000" baseline="0" dirty="0"/>
                      <a:t>
</a:t>
                    </a:r>
                    <a:fld id="{118A9D0F-B1C6-4733-BCEF-AA651D10FFE7}" type="PERCENTAGE">
                      <a:rPr lang="en-US" sz="2000" baseline="0"/>
                      <a:pPr/>
                      <a:t>[النسبة المئوية]</a:t>
                    </a:fld>
                    <a:endParaRPr lang="en-US" sz="2000" baseline="0" dirty="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1"/>
              <c:layout>
                <c:manualLayout>
                  <c:x val="7.5888543390674815E-2"/>
                  <c:y val="-0.23297094208401628"/>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9D87F242-A1CA-4E65-B3BB-10F639E73208}" type="CATEGORYNAME">
                      <a:rPr lang="en-US" sz="2000"/>
                      <a:pPr>
                        <a:defRPr/>
                      </a:pPr>
                      <a:t>[اسم الفئة]</a:t>
                    </a:fld>
                    <a:r>
                      <a:rPr lang="en-US" sz="2000"/>
                      <a:t>
</a:t>
                    </a:r>
                    <a:fld id="{370276FA-6BC1-488D-BC68-3AD54E93D0C5}" type="PERCENTAGE">
                      <a:rPr lang="en-US" sz="2000"/>
                      <a:pPr>
                        <a:defRPr/>
                      </a:pPr>
                      <a:t>[النسبة المئوية]</a:t>
                    </a:fld>
                    <a:endParaRPr lang="en-US" sz="2000"/>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ar-SA"/>
                </a:p>
              </c:txPr>
              <c:dLblPos val="bestFit"/>
              <c:showLegendKey val="0"/>
              <c:showVal val="0"/>
              <c:showCatName val="1"/>
              <c:showSerName val="0"/>
              <c:showPercent val="1"/>
              <c:showBubbleSize val="0"/>
              <c:extLst>
                <c:ext xmlns:c15="http://schemas.microsoft.com/office/drawing/2012/chart" uri="{CE6537A1-D6FC-4f65-9D91-7224C49458BB}">
                  <c15:layout>
                    <c:manualLayout>
                      <c:w val="0.18238845144356952"/>
                      <c:h val="0.1995600676818951"/>
                    </c:manualLayout>
                  </c15:layout>
                  <c15:dlblFieldTable/>
                  <c15:showDataLabelsRange val="0"/>
                </c:ext>
              </c:extLst>
            </c:dLbl>
            <c:dLbl>
              <c:idx val="2"/>
              <c:layout>
                <c:manualLayout>
                  <c:x val="0.1205974890081415"/>
                  <c:y val="9.3012110795795175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585243B2-94A1-49AA-A222-3179AFB5CFA3}" type="CATEGORYNAME">
                      <a:rPr lang="en-US" sz="1800"/>
                      <a:pPr>
                        <a:defRPr/>
                      </a:pPr>
                      <a:t>[اسم الفئة]</a:t>
                    </a:fld>
                    <a:r>
                      <a:rPr lang="en-US" sz="1800" baseline="0" dirty="0"/>
                      <a:t>
</a:t>
                    </a:r>
                    <a:fld id="{CCD8D499-8792-4B8A-9F8E-409333D6FB0E}" type="PERCENTAGE">
                      <a:rPr lang="en-US" sz="1800" baseline="0"/>
                      <a:pPr>
                        <a:defRPr/>
                      </a:pPr>
                      <a:t>[النسبة المئوية]</a:t>
                    </a:fld>
                    <a:endParaRPr lang="en-US" sz="1800" baseline="0" dirty="0"/>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ar-SA"/>
                </a:p>
              </c:txPr>
              <c:dLblPos val="bestFit"/>
              <c:showLegendKey val="0"/>
              <c:showVal val="0"/>
              <c:showCatName val="1"/>
              <c:showSerName val="0"/>
              <c:showPercent val="1"/>
              <c:showBubbleSize val="0"/>
              <c:extLst>
                <c:ext xmlns:c15="http://schemas.microsoft.com/office/drawing/2012/chart" uri="{CE6537A1-D6FC-4f65-9D91-7224C49458BB}">
                  <c15:layout>
                    <c:manualLayout>
                      <c:w val="0.16173469387755102"/>
                      <c:h val="0.27580046796917612"/>
                    </c:manualLayout>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SA"/>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ورقة1!$A$2:$A$5</c:f>
              <c:strCache>
                <c:ptCount val="3"/>
                <c:pt idx="0">
                  <c:v>no growth </c:v>
                </c:pt>
                <c:pt idx="1">
                  <c:v>over all</c:v>
                </c:pt>
                <c:pt idx="2">
                  <c:v>significal growth </c:v>
                </c:pt>
              </c:strCache>
            </c:strRef>
          </c:cat>
          <c:val>
            <c:numRef>
              <c:f>ورقة1!$B$2:$B$5</c:f>
              <c:numCache>
                <c:formatCode>General</c:formatCode>
                <c:ptCount val="4"/>
                <c:pt idx="0">
                  <c:v>2</c:v>
                </c:pt>
                <c:pt idx="1">
                  <c:v>8</c:v>
                </c:pt>
                <c:pt idx="2">
                  <c:v>1.4</c:v>
                </c:pt>
              </c:numCache>
            </c:numRef>
          </c:val>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SA"/>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pieChart>
        <c:varyColors val="1"/>
        <c:ser>
          <c:idx val="0"/>
          <c:order val="0"/>
          <c:tx>
            <c:strRef>
              <c:f>ورقة1!$B$1</c:f>
              <c:strCache>
                <c:ptCount val="1"/>
                <c:pt idx="0">
                  <c:v>المبيعات</c:v>
                </c:pt>
              </c:strCache>
            </c:strRef>
          </c:tx>
          <c:dPt>
            <c:idx val="0"/>
            <c:bubble3D val="0"/>
            <c:spPr>
              <a:gradFill rotWithShape="1">
                <a:gsLst>
                  <a:gs pos="0">
                    <a:schemeClr val="accent4">
                      <a:shade val="58000"/>
                      <a:satMod val="103000"/>
                      <a:lumMod val="102000"/>
                      <a:tint val="94000"/>
                    </a:schemeClr>
                  </a:gs>
                  <a:gs pos="50000">
                    <a:schemeClr val="accent4">
                      <a:shade val="58000"/>
                      <a:satMod val="110000"/>
                      <a:lumMod val="100000"/>
                      <a:shade val="100000"/>
                    </a:schemeClr>
                  </a:gs>
                  <a:gs pos="100000">
                    <a:schemeClr val="accent4">
                      <a:shade val="58000"/>
                      <a:lumMod val="99000"/>
                      <a:satMod val="120000"/>
                      <a:shade val="78000"/>
                    </a:schemeClr>
                  </a:gs>
                </a:gsLst>
                <a:lin ang="5400000" scaled="0"/>
              </a:gradFill>
              <a:ln>
                <a:noFill/>
              </a:ln>
              <a:effectLst/>
            </c:spPr>
          </c:dPt>
          <c:dPt>
            <c:idx val="1"/>
            <c:bubble3D val="0"/>
            <c:spPr>
              <a:gradFill rotWithShape="1">
                <a:gsLst>
                  <a:gs pos="0">
                    <a:schemeClr val="accent4">
                      <a:shade val="86000"/>
                      <a:satMod val="103000"/>
                      <a:lumMod val="102000"/>
                      <a:tint val="94000"/>
                    </a:schemeClr>
                  </a:gs>
                  <a:gs pos="50000">
                    <a:schemeClr val="accent4">
                      <a:shade val="86000"/>
                      <a:satMod val="110000"/>
                      <a:lumMod val="100000"/>
                      <a:shade val="100000"/>
                    </a:schemeClr>
                  </a:gs>
                  <a:gs pos="100000">
                    <a:schemeClr val="accent4">
                      <a:shade val="86000"/>
                      <a:lumMod val="99000"/>
                      <a:satMod val="120000"/>
                      <a:shade val="78000"/>
                    </a:schemeClr>
                  </a:gs>
                </a:gsLst>
                <a:lin ang="5400000" scaled="0"/>
              </a:gradFill>
              <a:ln>
                <a:noFill/>
              </a:ln>
              <a:effectLst/>
            </c:spPr>
          </c:dPt>
          <c:dPt>
            <c:idx val="2"/>
            <c:bubble3D val="0"/>
            <c:spPr>
              <a:gradFill rotWithShape="1">
                <a:gsLst>
                  <a:gs pos="0">
                    <a:schemeClr val="accent4">
                      <a:tint val="86000"/>
                      <a:satMod val="103000"/>
                      <a:lumMod val="102000"/>
                      <a:tint val="94000"/>
                    </a:schemeClr>
                  </a:gs>
                  <a:gs pos="50000">
                    <a:schemeClr val="accent4">
                      <a:tint val="86000"/>
                      <a:satMod val="110000"/>
                      <a:lumMod val="100000"/>
                      <a:shade val="100000"/>
                    </a:schemeClr>
                  </a:gs>
                  <a:gs pos="100000">
                    <a:schemeClr val="accent4">
                      <a:tint val="86000"/>
                      <a:lumMod val="99000"/>
                      <a:satMod val="120000"/>
                      <a:shade val="78000"/>
                    </a:schemeClr>
                  </a:gs>
                </a:gsLst>
                <a:lin ang="5400000" scaled="0"/>
              </a:gradFill>
              <a:ln>
                <a:noFill/>
              </a:ln>
              <a:effectLst/>
            </c:spPr>
          </c:dPt>
          <c:dPt>
            <c:idx val="3"/>
            <c:bubble3D val="0"/>
            <c:spPr>
              <a:gradFill rotWithShape="1">
                <a:gsLst>
                  <a:gs pos="0">
                    <a:schemeClr val="accent4">
                      <a:tint val="58000"/>
                      <a:satMod val="103000"/>
                      <a:lumMod val="102000"/>
                      <a:tint val="94000"/>
                    </a:schemeClr>
                  </a:gs>
                  <a:gs pos="50000">
                    <a:schemeClr val="accent4">
                      <a:tint val="58000"/>
                      <a:satMod val="110000"/>
                      <a:lumMod val="100000"/>
                      <a:shade val="100000"/>
                    </a:schemeClr>
                  </a:gs>
                  <a:gs pos="100000">
                    <a:schemeClr val="accent4">
                      <a:tint val="58000"/>
                      <a:lumMod val="99000"/>
                      <a:satMod val="120000"/>
                      <a:shade val="78000"/>
                    </a:schemeClr>
                  </a:gs>
                </a:gsLst>
                <a:lin ang="5400000" scaled="0"/>
              </a:gradFill>
              <a:ln>
                <a:noFill/>
              </a:ln>
              <a:effectLst/>
            </c:spPr>
          </c:dPt>
          <c:dLbls>
            <c:dLbl>
              <c:idx val="0"/>
              <c:layout>
                <c:manualLayout>
                  <c:x val="-0.22838395200599926"/>
                  <c:y val="-0.23296641491242159"/>
                </c:manualLayout>
              </c:layout>
              <c:tx>
                <c:rich>
                  <a:bodyPr/>
                  <a:lstStyle/>
                  <a:p>
                    <a:fld id="{92032899-935D-4733-9ACF-7CEEE984CE48}" type="CATEGORYNAME">
                      <a:rPr lang="en-US" sz="2000"/>
                      <a:pPr/>
                      <a:t>[اسم الفئة]</a:t>
                    </a:fld>
                    <a:r>
                      <a:rPr lang="en-US" sz="2000" baseline="0"/>
                      <a:t>
</a:t>
                    </a:r>
                    <a:fld id="{977F549A-7AA7-4BD2-BD8D-B5D1B054DD50}" type="PERCENTAGE">
                      <a:rPr lang="en-US" sz="2000" baseline="0"/>
                      <a:pPr/>
                      <a:t>[النسبة المئوية]</a:t>
                    </a:fld>
                    <a:endParaRPr lang="en-US" sz="2000"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1"/>
              <c:tx>
                <c:rich>
                  <a:bodyPr/>
                  <a:lstStyle/>
                  <a:p>
                    <a:fld id="{6CE9D097-3D44-4509-8C83-4A961454627E}" type="CATEGORYNAME">
                      <a:rPr lang="en-US" sz="1800"/>
                      <a:pPr/>
                      <a:t>[اسم الفئة]</a:t>
                    </a:fld>
                    <a:r>
                      <a:rPr lang="en-US" sz="1800" baseline="0"/>
                      <a:t>
</a:t>
                    </a:r>
                    <a:fld id="{5F12CCDB-D9C8-4A7E-A113-9C5784491782}" type="PERCENTAGE">
                      <a:rPr lang="en-US" sz="1800" baseline="0"/>
                      <a:pPr/>
                      <a:t>[النسبة المئوية]</a:t>
                    </a:fld>
                    <a:endParaRPr lang="en-US" sz="1800" baseline="0"/>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2"/>
              <c:tx>
                <c:rich>
                  <a:bodyPr/>
                  <a:lstStyle/>
                  <a:p>
                    <a:fld id="{F779A3A7-5F23-4F4A-8616-DAD050E1C350}" type="CATEGORYNAME">
                      <a:rPr lang="en-US" sz="2000"/>
                      <a:pPr/>
                      <a:t>[اسم الفئة]</a:t>
                    </a:fld>
                    <a:r>
                      <a:rPr lang="en-US" baseline="0"/>
                      <a:t>
</a:t>
                    </a:r>
                    <a:fld id="{B78530F7-86DB-44AC-AC55-17243E624922}" type="PERCENTAGE">
                      <a:rPr lang="en-US" baseline="0"/>
                      <a:pPr/>
                      <a:t>[النسبة المئوية]</a:t>
                    </a:fld>
                    <a:endParaRPr lang="en-US" baseline="0"/>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2"/>
                    </a:solidFill>
                    <a:latin typeface="+mn-lt"/>
                    <a:ea typeface="+mn-ea"/>
                    <a:cs typeface="+mn-cs"/>
                  </a:defRPr>
                </a:pPr>
                <a:endParaRPr lang="ar-SA"/>
              </a:p>
            </c:txPr>
            <c:dLblPos val="in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ورقة1!$A$2:$A$5</c:f>
              <c:strCache>
                <c:ptCount val="3"/>
                <c:pt idx="0">
                  <c:v>no growth</c:v>
                </c:pt>
                <c:pt idx="1">
                  <c:v>overall</c:v>
                </c:pt>
                <c:pt idx="2">
                  <c:v>signfical growt  </c:v>
                </c:pt>
              </c:strCache>
            </c:strRef>
          </c:cat>
          <c:val>
            <c:numRef>
              <c:f>ورقة1!$B$2:$B$5</c:f>
              <c:numCache>
                <c:formatCode>General</c:formatCode>
                <c:ptCount val="4"/>
                <c:pt idx="0">
                  <c:v>8</c:v>
                </c:pt>
                <c:pt idx="1">
                  <c:v>3</c:v>
                </c:pt>
                <c:pt idx="2">
                  <c:v>0</c:v>
                </c:pt>
              </c:numCache>
            </c:numRef>
          </c:val>
        </c:ser>
        <c:dLbls>
          <c:dLblPos val="inEnd"/>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ar-SA"/>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5">
  <cs:axisTitle>
    <cs:lnRef idx="0"/>
    <cs:fillRef idx="0"/>
    <cs:effectRef idx="0"/>
    <cs:fontRef idx="minor">
      <a:schemeClr val="tx2"/>
    </cs:fontRef>
    <cs:defRPr sz="1197"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1197" kern="1200"/>
  </cs:chartArea>
  <cs:dataLabel>
    <cs:lnRef idx="0"/>
    <cs:fillRef idx="0"/>
    <cs:effectRef idx="0"/>
    <cs:fontRef idx="minor">
      <a:schemeClr val="tx2"/>
    </cs:fontRef>
    <cs:defRPr sz="1197"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1197"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1197"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2128"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1197"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1197" kern="1200"/>
  </cs:valueAxis>
  <cs:wall>
    <cs:lnRef idx="0"/>
    <cs:fillRef idx="0"/>
    <cs:effectRef idx="0"/>
    <cs:fontRef idx="minor">
      <a:schemeClr val="tx2"/>
    </cs:fontRef>
  </cs:wall>
</cs:chartStyle>
</file>

<file path=word/drawings/drawing1.xml><?xml version="1.0" encoding="utf-8"?>
<c:userShapes xmlns:c="http://schemas.openxmlformats.org/drawingml/2006/chart">
  <cdr:relSizeAnchor xmlns:cdr="http://schemas.openxmlformats.org/drawingml/2006/chartDrawing">
    <cdr:from>
      <cdr:x>0.02892</cdr:x>
      <cdr:y>0.20347</cdr:y>
    </cdr:from>
    <cdr:to>
      <cdr:x>0.26467</cdr:x>
      <cdr:y>0.3643</cdr:y>
    </cdr:to>
    <cdr:sp macro="" textlink="">
      <cdr:nvSpPr>
        <cdr:cNvPr id="3" name="مستطيل 2"/>
        <cdr:cNvSpPr/>
      </cdr:nvSpPr>
      <cdr:spPr>
        <a:xfrm xmlns:a="http://schemas.openxmlformats.org/drawingml/2006/main">
          <a:off x="172770" y="714366"/>
          <a:ext cx="1408380" cy="564660"/>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en-US" sz="2400" dirty="0" smtClean="0"/>
            <a:t>Graphs 1 </a:t>
          </a:r>
          <a:endParaRPr lang="en-US" sz="2400" dirty="0"/>
        </a:p>
      </cdr:txBody>
    </cdr:sp>
  </cdr:relSizeAnchor>
</c:userShapes>
</file>

<file path=word/drawings/drawing2.xml><?xml version="1.0" encoding="utf-8"?>
<c:userShapes xmlns:c="http://schemas.openxmlformats.org/drawingml/2006/chart">
  <cdr:relSizeAnchor xmlns:cdr="http://schemas.openxmlformats.org/drawingml/2006/chartDrawing">
    <cdr:from>
      <cdr:x>0.01195</cdr:x>
      <cdr:y>0.0849</cdr:y>
    </cdr:from>
    <cdr:to>
      <cdr:x>0.248</cdr:x>
      <cdr:y>0.23645</cdr:y>
    </cdr:to>
    <cdr:sp macro="" textlink="">
      <cdr:nvSpPr>
        <cdr:cNvPr id="2" name="مستطيل 1"/>
        <cdr:cNvSpPr/>
      </cdr:nvSpPr>
      <cdr:spPr>
        <a:xfrm xmlns:a="http://schemas.openxmlformats.org/drawingml/2006/main">
          <a:off x="71391" y="338142"/>
          <a:ext cx="1410186" cy="603571"/>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a:lstStyle xmlns:a="http://schemas.openxmlformats.org/drawingml/2006/main"/>
        <a:p xmlns:a="http://schemas.openxmlformats.org/drawingml/2006/main">
          <a:r>
            <a:rPr lang="en-US" sz="2000"/>
            <a:t>Graph</a:t>
          </a:r>
          <a:r>
            <a:rPr lang="en-US" sz="2000" baseline="0"/>
            <a:t> 2</a:t>
          </a:r>
          <a:endParaRPr lang="en-US" sz="2000"/>
        </a:p>
      </cdr:txBody>
    </cdr:sp>
  </cdr:relSizeAnchor>
</c:userShape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1445</Words>
  <Characters>8243</Characters>
  <Application>Microsoft Office Word</Application>
  <DocSecurity>0</DocSecurity>
  <Lines>68</Lines>
  <Paragraphs>19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2</cp:revision>
  <dcterms:created xsi:type="dcterms:W3CDTF">2022-06-20T20:33:00Z</dcterms:created>
  <dcterms:modified xsi:type="dcterms:W3CDTF">2022-06-20T20:33:00Z</dcterms:modified>
</cp:coreProperties>
</file>