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B1A88" w:rsidRDefault="000E6554">
      <w:pPr>
        <w:tabs>
          <w:tab w:val="left" w:pos="7269"/>
        </w:tabs>
        <w:spacing w:line="360" w:lineRule="auto"/>
        <w:jc w:val="both"/>
        <w:rPr>
          <w:b/>
          <w:sz w:val="36"/>
          <w:szCs w:val="36"/>
        </w:rPr>
      </w:pPr>
      <w:r>
        <w:rPr>
          <w:b/>
          <w:noProof/>
          <w:sz w:val="36"/>
          <w:szCs w:val="36"/>
        </w:rPr>
        <w:drawing>
          <wp:anchor distT="0" distB="0" distL="114300" distR="114300" simplePos="0" relativeHeight="251658240" behindDoc="0" locked="0" layoutInCell="1" hidden="0" allowOverlap="1">
            <wp:simplePos x="0" y="0"/>
            <wp:positionH relativeFrom="margin">
              <wp:posOffset>-801623</wp:posOffset>
            </wp:positionH>
            <wp:positionV relativeFrom="margin">
              <wp:posOffset>-543534</wp:posOffset>
            </wp:positionV>
            <wp:extent cx="703580" cy="528320"/>
            <wp:effectExtent l="0" t="0" r="0" b="0"/>
            <wp:wrapSquare wrapText="bothSides" distT="0" distB="0" distL="114300" distR="114300"/>
            <wp:docPr id="4" name="image5.png" descr="LIMU Logo"/>
            <wp:cNvGraphicFramePr/>
            <a:graphic xmlns:a="http://schemas.openxmlformats.org/drawingml/2006/main">
              <a:graphicData uri="http://schemas.openxmlformats.org/drawingml/2006/picture">
                <pic:pic xmlns:pic="http://schemas.openxmlformats.org/drawingml/2006/picture">
                  <pic:nvPicPr>
                    <pic:cNvPr id="0" name="image5.png" descr="LIMU Logo"/>
                    <pic:cNvPicPr preferRelativeResize="0"/>
                  </pic:nvPicPr>
                  <pic:blipFill>
                    <a:blip r:embed="rId7"/>
                    <a:srcRect/>
                    <a:stretch>
                      <a:fillRect/>
                    </a:stretch>
                  </pic:blipFill>
                  <pic:spPr>
                    <a:xfrm>
                      <a:off x="0" y="0"/>
                      <a:ext cx="703580" cy="528320"/>
                    </a:xfrm>
                    <a:prstGeom prst="rect">
                      <a:avLst/>
                    </a:prstGeom>
                    <a:ln/>
                  </pic:spPr>
                </pic:pic>
              </a:graphicData>
            </a:graphic>
          </wp:anchor>
        </w:drawing>
      </w:r>
      <w:r>
        <w:rPr>
          <w:b/>
          <w:sz w:val="36"/>
          <w:szCs w:val="36"/>
        </w:rPr>
        <w:tab/>
      </w:r>
      <w:r>
        <w:rPr>
          <w:noProof/>
        </w:rPr>
        <mc:AlternateContent>
          <mc:Choice Requires="wps">
            <w:drawing>
              <wp:anchor distT="0" distB="0" distL="114300" distR="114300" simplePos="0" relativeHeight="251659264" behindDoc="0" locked="0" layoutInCell="1" hidden="0" allowOverlap="1">
                <wp:simplePos x="0" y="0"/>
                <wp:positionH relativeFrom="column">
                  <wp:posOffset>5411420</wp:posOffset>
                </wp:positionH>
                <wp:positionV relativeFrom="paragraph">
                  <wp:posOffset>-585215</wp:posOffset>
                </wp:positionV>
                <wp:extent cx="694360" cy="570586"/>
                <wp:effectExtent l="0" t="0" r="17145" b="13970"/>
                <wp:wrapNone/>
                <wp:docPr id="1" name=""/>
                <wp:cNvGraphicFramePr/>
                <a:graphic xmlns:a="http://schemas.openxmlformats.org/drawingml/2006/main">
                  <a:graphicData uri="http://schemas.microsoft.com/office/word/2010/wordprocessingShape">
                    <wps:wsp>
                      <wps:cNvSpPr/>
                      <wps:spPr>
                        <a:xfrm>
                          <a:off x="0" y="0"/>
                          <a:ext cx="694360" cy="570586"/>
                        </a:xfrm>
                        <a:prstGeom prst="rect">
                          <a:avLst/>
                        </a:prstGeom>
                        <a:blipFill>
                          <a:blip r:embed="rId8"/>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5411420</wp:posOffset>
                </wp:positionH>
                <wp:positionV relativeFrom="paragraph">
                  <wp:posOffset>-585215</wp:posOffset>
                </wp:positionV>
                <wp:extent cx="711505" cy="584556"/>
                <wp:effectExtent b="0" l="0" r="0" t="0"/>
                <wp:wrapNone/>
                <wp:docPr id="1" name="image4.png"/>
                <a:graphic>
                  <a:graphicData uri="http://schemas.openxmlformats.org/drawingml/2006/picture">
                    <pic:pic>
                      <pic:nvPicPr>
                        <pic:cNvPr id="0" name="image4.png"/>
                        <pic:cNvPicPr preferRelativeResize="0"/>
                      </pic:nvPicPr>
                      <pic:blipFill>
                        <a:blip r:embed="rId9"/>
                        <a:srcRect b="0" l="0" r="0" t="0"/>
                        <a:stretch>
                          <a:fillRect/>
                        </a:stretch>
                      </pic:blipFill>
                      <pic:spPr>
                        <a:xfrm>
                          <a:off x="0" y="0"/>
                          <a:ext cx="711505" cy="584556"/>
                        </a:xfrm>
                        <a:prstGeom prst="rect"/>
                        <a:ln/>
                      </pic:spPr>
                    </pic:pic>
                  </a:graphicData>
                </a:graphic>
              </wp:anchor>
            </w:drawing>
          </mc:Fallback>
        </mc:AlternateContent>
      </w:r>
    </w:p>
    <w:p w:rsidR="004B1A88" w:rsidRDefault="000E6554">
      <w:pPr>
        <w:spacing w:line="360" w:lineRule="auto"/>
        <w:jc w:val="center"/>
        <w:rPr>
          <w:sz w:val="28"/>
          <w:szCs w:val="28"/>
        </w:rPr>
      </w:pPr>
      <w:r>
        <w:rPr>
          <w:sz w:val="28"/>
          <w:szCs w:val="28"/>
        </w:rPr>
        <w:t>Libyan International Medical University</w:t>
      </w:r>
    </w:p>
    <w:p w:rsidR="004B1A88" w:rsidRDefault="000E6554">
      <w:pPr>
        <w:spacing w:line="360" w:lineRule="auto"/>
        <w:jc w:val="center"/>
        <w:rPr>
          <w:sz w:val="28"/>
          <w:szCs w:val="28"/>
        </w:rPr>
      </w:pPr>
      <w:r>
        <w:rPr>
          <w:sz w:val="28"/>
          <w:szCs w:val="28"/>
        </w:rPr>
        <w:t>Second Year Basic Medical science</w:t>
      </w:r>
    </w:p>
    <w:p w:rsidR="004B1A88" w:rsidRDefault="004B1A88">
      <w:pPr>
        <w:spacing w:line="360" w:lineRule="auto"/>
        <w:jc w:val="center"/>
        <w:rPr>
          <w:sz w:val="28"/>
          <w:szCs w:val="28"/>
        </w:rPr>
      </w:pPr>
    </w:p>
    <w:p w:rsidR="004B1A88" w:rsidRDefault="000E6554">
      <w:pPr>
        <w:spacing w:line="360" w:lineRule="auto"/>
        <w:jc w:val="center"/>
        <w:rPr>
          <w:sz w:val="32"/>
          <w:szCs w:val="32"/>
        </w:rPr>
      </w:pPr>
      <w:r>
        <w:rPr>
          <w:sz w:val="32"/>
          <w:szCs w:val="32"/>
        </w:rPr>
        <w:t xml:space="preserve">Asymptomatic </w:t>
      </w:r>
      <w:proofErr w:type="spellStart"/>
      <w:r>
        <w:rPr>
          <w:sz w:val="32"/>
          <w:szCs w:val="32"/>
        </w:rPr>
        <w:t>bacteriuria</w:t>
      </w:r>
      <w:proofErr w:type="spellEnd"/>
      <w:r>
        <w:rPr>
          <w:sz w:val="32"/>
          <w:szCs w:val="32"/>
        </w:rPr>
        <w:t xml:space="preserve"> </w:t>
      </w:r>
      <w:r w:rsidR="001E59C8">
        <w:rPr>
          <w:sz w:val="32"/>
          <w:szCs w:val="32"/>
        </w:rPr>
        <w:t xml:space="preserve"> (</w:t>
      </w:r>
      <w:r w:rsidR="00D97DCD">
        <w:rPr>
          <w:sz w:val="32"/>
          <w:szCs w:val="32"/>
        </w:rPr>
        <w:t xml:space="preserve">ASB) </w:t>
      </w:r>
      <w:r>
        <w:rPr>
          <w:sz w:val="32"/>
          <w:szCs w:val="32"/>
        </w:rPr>
        <w:t xml:space="preserve">among </w:t>
      </w:r>
      <w:r w:rsidR="001E59C8">
        <w:rPr>
          <w:sz w:val="32"/>
          <w:szCs w:val="32"/>
        </w:rPr>
        <w:t>undergraduate</w:t>
      </w:r>
      <w:r>
        <w:rPr>
          <w:sz w:val="32"/>
          <w:szCs w:val="32"/>
        </w:rPr>
        <w:t xml:space="preserve"> students</w:t>
      </w: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0E6554">
      <w:pPr>
        <w:spacing w:line="360" w:lineRule="auto"/>
        <w:jc w:val="both"/>
      </w:pPr>
      <w:r>
        <w:rPr>
          <w:b/>
          <w:sz w:val="28"/>
          <w:szCs w:val="28"/>
        </w:rPr>
        <w:t xml:space="preserve">Name          </w:t>
      </w:r>
      <w:r w:rsidR="00A43DFB">
        <w:rPr>
          <w:b/>
          <w:sz w:val="28"/>
          <w:szCs w:val="28"/>
          <w:rtl/>
        </w:rPr>
        <w:t xml:space="preserve">إستبرق مسعود عبدالزين مسعود </w:t>
      </w:r>
      <w:r>
        <w:rPr>
          <w:b/>
          <w:sz w:val="28"/>
          <w:szCs w:val="28"/>
        </w:rPr>
        <w:t xml:space="preserve">                  </w:t>
      </w:r>
    </w:p>
    <w:p w:rsidR="004B1A88" w:rsidRDefault="00DF1A12">
      <w:pPr>
        <w:spacing w:line="360" w:lineRule="auto"/>
        <w:jc w:val="both"/>
      </w:pPr>
      <w:r>
        <w:rPr>
          <w:b/>
        </w:rPr>
        <w:t>Student number :</w:t>
      </w:r>
      <w:r w:rsidR="000E6554">
        <w:rPr>
          <w:b/>
        </w:rPr>
        <w:t xml:space="preserve">    </w:t>
      </w:r>
      <w:r w:rsidR="00915047">
        <w:rPr>
          <w:b/>
        </w:rPr>
        <w:t>2324</w:t>
      </w:r>
      <w:r w:rsidR="000E6554">
        <w:rPr>
          <w:b/>
        </w:rPr>
        <w:t xml:space="preserve">   </w:t>
      </w:r>
      <w:r w:rsidR="000E6554">
        <w:t xml:space="preserve">                       </w:t>
      </w:r>
    </w:p>
    <w:p w:rsidR="001C1E69" w:rsidRPr="001C1E69" w:rsidRDefault="001C1E69" w:rsidP="001C1E69">
      <w:pPr>
        <w:spacing w:line="360" w:lineRule="auto"/>
        <w:jc w:val="both"/>
        <w:rPr>
          <w:b/>
        </w:rPr>
      </w:pPr>
      <w:r w:rsidRPr="001C1E69">
        <w:rPr>
          <w:b/>
        </w:rPr>
        <w:t>Supervisor's names : </w:t>
      </w:r>
    </w:p>
    <w:p w:rsidR="001C1E69" w:rsidRPr="001C1E69" w:rsidRDefault="001C1E69" w:rsidP="001C1E69">
      <w:pPr>
        <w:spacing w:line="360" w:lineRule="auto"/>
        <w:jc w:val="both"/>
        <w:rPr>
          <w:b/>
        </w:rPr>
      </w:pPr>
      <w:r w:rsidRPr="001C1E69">
        <w:rPr>
          <w:b/>
          <w:rtl/>
        </w:rPr>
        <w:t> </w:t>
      </w:r>
      <w:r w:rsidRPr="001C1E69">
        <w:rPr>
          <w:rFonts w:hint="eastAsia"/>
          <w:b/>
          <w:rtl/>
        </w:rPr>
        <w:t>د</w:t>
      </w:r>
      <w:r w:rsidRPr="001C1E69">
        <w:rPr>
          <w:b/>
          <w:rtl/>
        </w:rPr>
        <w:t xml:space="preserve">. </w:t>
      </w:r>
      <w:r w:rsidRPr="001C1E69">
        <w:rPr>
          <w:rFonts w:hint="eastAsia"/>
          <w:b/>
          <w:rtl/>
        </w:rPr>
        <w:t>انتصار الناجي</w:t>
      </w:r>
    </w:p>
    <w:p w:rsidR="001C1E69" w:rsidRPr="001C1E69" w:rsidRDefault="001C1E69" w:rsidP="001C1E69">
      <w:pPr>
        <w:spacing w:line="360" w:lineRule="auto"/>
        <w:jc w:val="both"/>
        <w:rPr>
          <w:b/>
        </w:rPr>
      </w:pPr>
    </w:p>
    <w:p w:rsidR="001C1E69" w:rsidRPr="001C1E69" w:rsidRDefault="001C1E69" w:rsidP="001C1E69">
      <w:pPr>
        <w:spacing w:line="360" w:lineRule="auto"/>
        <w:jc w:val="both"/>
        <w:rPr>
          <w:b/>
        </w:rPr>
      </w:pPr>
      <w:r w:rsidRPr="001C1E69">
        <w:rPr>
          <w:b/>
        </w:rPr>
        <w:t>Assistant by :</w:t>
      </w:r>
    </w:p>
    <w:p w:rsidR="001C1E69" w:rsidRPr="001C1E69" w:rsidRDefault="001C1E69" w:rsidP="001C1E69">
      <w:pPr>
        <w:spacing w:line="360" w:lineRule="auto"/>
        <w:jc w:val="both"/>
        <w:rPr>
          <w:b/>
        </w:rPr>
      </w:pPr>
      <w:r w:rsidRPr="001C1E69">
        <w:rPr>
          <w:rFonts w:hint="eastAsia"/>
          <w:b/>
          <w:rtl/>
        </w:rPr>
        <w:t>أ</w:t>
      </w:r>
      <w:r w:rsidRPr="001C1E69">
        <w:rPr>
          <w:b/>
          <w:rtl/>
        </w:rPr>
        <w:t>. </w:t>
      </w:r>
      <w:r w:rsidRPr="001C1E69">
        <w:rPr>
          <w:rFonts w:hint="eastAsia"/>
          <w:b/>
          <w:rtl/>
        </w:rPr>
        <w:t>ناجي</w:t>
      </w:r>
      <w:r w:rsidRPr="001C1E69">
        <w:rPr>
          <w:b/>
          <w:rtl/>
        </w:rPr>
        <w:t xml:space="preserve"> </w:t>
      </w:r>
      <w:r w:rsidRPr="001C1E69">
        <w:rPr>
          <w:rFonts w:hint="eastAsia"/>
          <w:b/>
          <w:rtl/>
        </w:rPr>
        <w:t>الحمري</w:t>
      </w:r>
      <w:r w:rsidRPr="001C1E69">
        <w:rPr>
          <w:b/>
          <w:rtl/>
        </w:rPr>
        <w:t xml:space="preserve"> -</w:t>
      </w:r>
    </w:p>
    <w:p w:rsidR="001C1E69" w:rsidRPr="001C1E69" w:rsidRDefault="001C1E69" w:rsidP="001C1E69">
      <w:pPr>
        <w:spacing w:line="360" w:lineRule="auto"/>
        <w:jc w:val="both"/>
        <w:rPr>
          <w:b/>
        </w:rPr>
      </w:pPr>
      <w:r w:rsidRPr="001C1E69">
        <w:rPr>
          <w:rFonts w:hint="eastAsia"/>
          <w:b/>
          <w:rtl/>
        </w:rPr>
        <w:t>أ</w:t>
      </w:r>
      <w:r w:rsidRPr="001C1E69">
        <w:rPr>
          <w:b/>
          <w:rtl/>
        </w:rPr>
        <w:t xml:space="preserve">. </w:t>
      </w:r>
      <w:r w:rsidRPr="001C1E69">
        <w:rPr>
          <w:rFonts w:hint="eastAsia"/>
          <w:b/>
          <w:rtl/>
        </w:rPr>
        <w:t>أسماء</w:t>
      </w:r>
      <w:r w:rsidRPr="001C1E69">
        <w:rPr>
          <w:b/>
          <w:rtl/>
        </w:rPr>
        <w:t xml:space="preserve"> </w:t>
      </w:r>
      <w:r w:rsidRPr="001C1E69">
        <w:rPr>
          <w:rFonts w:hint="eastAsia"/>
          <w:b/>
          <w:rtl/>
        </w:rPr>
        <w:t>الكوافي</w:t>
      </w:r>
      <w:r w:rsidRPr="001C1E69">
        <w:rPr>
          <w:b/>
          <w:rtl/>
        </w:rPr>
        <w:t xml:space="preserve"> -</w:t>
      </w:r>
    </w:p>
    <w:p w:rsidR="005B0C01" w:rsidRDefault="001C1E69" w:rsidP="005B0C01">
      <w:pPr>
        <w:spacing w:line="360" w:lineRule="auto"/>
        <w:jc w:val="both"/>
      </w:pPr>
      <w:r w:rsidRPr="001C1E69">
        <w:rPr>
          <w:rFonts w:hint="eastAsia"/>
          <w:b/>
          <w:rtl/>
        </w:rPr>
        <w:t> المشرفيين</w:t>
      </w:r>
      <w:r w:rsidRPr="001C1E69">
        <w:rPr>
          <w:b/>
          <w:rtl/>
        </w:rPr>
        <w:t xml:space="preserve"> </w:t>
      </w:r>
      <w:r w:rsidRPr="001C1E69">
        <w:rPr>
          <w:rFonts w:hint="eastAsia"/>
          <w:b/>
          <w:rtl/>
        </w:rPr>
        <w:t>فنيين</w:t>
      </w:r>
      <w:r w:rsidRPr="001C1E69">
        <w:rPr>
          <w:b/>
          <w:rtl/>
        </w:rPr>
        <w:t xml:space="preserve"> </w:t>
      </w:r>
      <w:r w:rsidRPr="001C1E69">
        <w:rPr>
          <w:rFonts w:hint="eastAsia"/>
          <w:b/>
          <w:rtl/>
        </w:rPr>
        <w:t>المعامل</w:t>
      </w:r>
      <w:r w:rsidRPr="001C1E69">
        <w:rPr>
          <w:b/>
          <w:rtl/>
        </w:rPr>
        <w:t xml:space="preserve"> </w:t>
      </w:r>
      <w:r w:rsidR="00756613">
        <w:rPr>
          <w:b/>
          <w:rtl/>
        </w:rPr>
        <w:t>–</w:t>
      </w:r>
      <w:r w:rsidR="000E6554">
        <w:t xml:space="preserve"> </w:t>
      </w:r>
    </w:p>
    <w:p w:rsidR="004B1A88" w:rsidRDefault="005B0C01" w:rsidP="005B0C01">
      <w:pPr>
        <w:spacing w:line="360" w:lineRule="auto"/>
        <w:jc w:val="both"/>
      </w:pPr>
      <w:r>
        <w:t>-</w:t>
      </w:r>
      <w:r w:rsidR="000E6554">
        <w:t xml:space="preserve"> </w:t>
      </w:r>
      <w:r w:rsidR="00756613">
        <w:rPr>
          <w:rtl/>
        </w:rPr>
        <w:t>د. لجين الشكماك</w:t>
      </w:r>
    </w:p>
    <w:p w:rsidR="00A02345" w:rsidRDefault="00A02345" w:rsidP="005B0C01">
      <w:pPr>
        <w:spacing w:line="360" w:lineRule="auto"/>
        <w:jc w:val="both"/>
      </w:pPr>
      <w:r>
        <w:rPr>
          <w:rtl/>
        </w:rPr>
        <w:t>د. أريج -</w:t>
      </w:r>
    </w:p>
    <w:p w:rsidR="005B0C01" w:rsidRPr="001C1E69" w:rsidRDefault="005B0C01" w:rsidP="005B0C01">
      <w:pPr>
        <w:spacing w:line="360" w:lineRule="auto"/>
        <w:jc w:val="both"/>
        <w:rPr>
          <w:b/>
        </w:rPr>
      </w:pPr>
    </w:p>
    <w:p w:rsidR="004B1A88" w:rsidRDefault="004B1A88">
      <w:pPr>
        <w:spacing w:line="360" w:lineRule="auto"/>
        <w:jc w:val="both"/>
        <w:rPr>
          <w:b/>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4B1A88">
      <w:pPr>
        <w:spacing w:line="360" w:lineRule="auto"/>
        <w:jc w:val="both"/>
        <w:rPr>
          <w:sz w:val="18"/>
          <w:szCs w:val="18"/>
        </w:rPr>
      </w:pPr>
    </w:p>
    <w:p w:rsidR="004B1A88" w:rsidRDefault="000E6554">
      <w:pPr>
        <w:spacing w:line="360" w:lineRule="auto"/>
        <w:jc w:val="both"/>
        <w:rPr>
          <w:sz w:val="18"/>
          <w:szCs w:val="18"/>
        </w:rPr>
      </w:pPr>
      <w:r>
        <w:rPr>
          <w:sz w:val="18"/>
          <w:szCs w:val="18"/>
        </w:rPr>
        <w:t xml:space="preserve">This report is made for fulfillments of  the requirements of </w:t>
      </w:r>
      <w:r w:rsidR="004715B0">
        <w:rPr>
          <w:sz w:val="18"/>
          <w:szCs w:val="18"/>
        </w:rPr>
        <w:t>PT</w:t>
      </w:r>
      <w:r>
        <w:rPr>
          <w:sz w:val="18"/>
          <w:szCs w:val="18"/>
        </w:rPr>
        <w:t>S block</w:t>
      </w:r>
    </w:p>
    <w:p w:rsidR="004B1A88" w:rsidRDefault="004B1A88">
      <w:pPr>
        <w:spacing w:line="360" w:lineRule="auto"/>
        <w:jc w:val="both"/>
        <w:rPr>
          <w:b/>
          <w:sz w:val="28"/>
          <w:szCs w:val="28"/>
        </w:rPr>
      </w:pPr>
    </w:p>
    <w:p w:rsidR="004B1A88" w:rsidRDefault="000E6554">
      <w:pPr>
        <w:spacing w:line="360" w:lineRule="auto"/>
        <w:jc w:val="both"/>
        <w:rPr>
          <w:sz w:val="18"/>
          <w:szCs w:val="18"/>
        </w:rPr>
      </w:pPr>
      <w:r>
        <w:rPr>
          <w:b/>
          <w:sz w:val="28"/>
          <w:szCs w:val="28"/>
        </w:rPr>
        <w:t>ABSTRACT</w:t>
      </w:r>
    </w:p>
    <w:p w:rsidR="004B1A88" w:rsidRDefault="005103E1">
      <w:pPr>
        <w:spacing w:line="360" w:lineRule="auto"/>
        <w:jc w:val="both"/>
      </w:pPr>
      <w:r>
        <w:t xml:space="preserve"> </w:t>
      </w:r>
      <w:r w:rsidR="000E6554">
        <w:t xml:space="preserve">Asymptomatic </w:t>
      </w:r>
      <w:proofErr w:type="spellStart"/>
      <w:r w:rsidR="000E6554">
        <w:t>bacteriuria</w:t>
      </w:r>
      <w:proofErr w:type="spellEnd"/>
      <w:r w:rsidR="000E6554">
        <w:t xml:space="preserve"> (ASB) is defined as the presence of bacteria in urine without having signs and symptoms</w:t>
      </w:r>
      <w:r w:rsidR="009E41E2">
        <w:t xml:space="preserve"> in the patient</w:t>
      </w:r>
      <w:r w:rsidR="00081159">
        <w:t xml:space="preserve"> </w:t>
      </w:r>
      <w:r w:rsidR="000E6554">
        <w:t>. This condition affects all groups</w:t>
      </w:r>
      <w:r w:rsidR="00AA7BA3">
        <w:t xml:space="preserve"> male , female </w:t>
      </w:r>
      <w:r w:rsidR="006C0636">
        <w:t>( old and middle age ) and sometimes children</w:t>
      </w:r>
      <w:r w:rsidR="00721CDB">
        <w:t xml:space="preserve"> </w:t>
      </w:r>
      <w:r w:rsidR="00854599">
        <w:t>(</w:t>
      </w:r>
      <w:r w:rsidR="00854599" w:rsidRPr="00854599">
        <w:t xml:space="preserve">While less than 0.5% of infants and toddlers have asymptomatic </w:t>
      </w:r>
      <w:proofErr w:type="spellStart"/>
      <w:r w:rsidR="00854599" w:rsidRPr="00854599">
        <w:t>bacteriuria</w:t>
      </w:r>
      <w:proofErr w:type="spellEnd"/>
      <w:r w:rsidR="00854599">
        <w:t xml:space="preserve">) </w:t>
      </w:r>
      <w:r w:rsidR="000E6554">
        <w:t xml:space="preserve">, but women, particularly pregnant women, are more susceptible than men because </w:t>
      </w:r>
      <w:r w:rsidR="00ED3E1B">
        <w:t xml:space="preserve">or due to the </w:t>
      </w:r>
      <w:r w:rsidR="000E6554">
        <w:t xml:space="preserve"> short</w:t>
      </w:r>
      <w:r w:rsidR="000818C0">
        <w:t xml:space="preserve">ness of the </w:t>
      </w:r>
      <w:r w:rsidR="000E6554">
        <w:t xml:space="preserve"> urethra and easy contamination of the </w:t>
      </w:r>
      <w:r w:rsidR="00D57CFF">
        <w:t xml:space="preserve">duct or </w:t>
      </w:r>
      <w:r w:rsidR="000E6554">
        <w:t>tract with fecal flora</w:t>
      </w:r>
      <w:r w:rsidR="00041417">
        <w:t xml:space="preserve"> , </w:t>
      </w:r>
      <w:r w:rsidR="000E6554">
        <w:t xml:space="preserve">The purpose of this report is to </w:t>
      </w:r>
      <w:r w:rsidR="0015396F">
        <w:t>consider</w:t>
      </w:r>
      <w:r w:rsidR="000E6554">
        <w:t xml:space="preserve"> the prevalence of Asymptomatic </w:t>
      </w:r>
      <w:proofErr w:type="spellStart"/>
      <w:r w:rsidR="000E6554">
        <w:t>bacteriuria</w:t>
      </w:r>
      <w:proofErr w:type="spellEnd"/>
      <w:r w:rsidR="000E6554">
        <w:t xml:space="preserve"> among</w:t>
      </w:r>
      <w:r w:rsidR="005E3970">
        <w:t xml:space="preserve"> </w:t>
      </w:r>
      <w:r w:rsidR="00041417">
        <w:t>Libyan</w:t>
      </w:r>
      <w:r w:rsidR="005E3970">
        <w:t xml:space="preserve"> international medical university </w:t>
      </w:r>
      <w:r w:rsidR="000E6554">
        <w:t>LIMU students</w:t>
      </w:r>
      <w:r w:rsidR="00703900">
        <w:t xml:space="preserve"> </w:t>
      </w:r>
      <w:r w:rsidR="000E6554">
        <w:t>,</w:t>
      </w:r>
      <w:r w:rsidR="00703900">
        <w:t xml:space="preserve"> and </w:t>
      </w:r>
      <w:r w:rsidR="000E6554">
        <w:t xml:space="preserve"> </w:t>
      </w:r>
      <w:r w:rsidR="00703900">
        <w:t>af</w:t>
      </w:r>
      <w:r w:rsidR="000E6554">
        <w:t xml:space="preserve">ter </w:t>
      </w:r>
      <w:r w:rsidR="00010CFC">
        <w:t>they were</w:t>
      </w:r>
      <w:r w:rsidR="000E6554">
        <w:t xml:space="preserve"> cultured</w:t>
      </w:r>
      <w:r w:rsidR="00010CFC">
        <w:t xml:space="preserve"> in the </w:t>
      </w:r>
      <w:r w:rsidR="008D36CE">
        <w:t xml:space="preserve">microbiology laboratory </w:t>
      </w:r>
      <w:r w:rsidR="000E6554">
        <w:t xml:space="preserve">, 13 samples revealed bacterial growth, </w:t>
      </w:r>
      <w:r w:rsidR="0078524E">
        <w:t xml:space="preserve">of which </w:t>
      </w:r>
      <w:r w:rsidR="000E6554">
        <w:t>3 samples belong</w:t>
      </w:r>
      <w:r w:rsidR="001F391F">
        <w:t xml:space="preserve"> </w:t>
      </w:r>
      <w:r w:rsidR="000E6554">
        <w:t xml:space="preserve">to the </w:t>
      </w:r>
      <w:r w:rsidR="001F391F">
        <w:t>males</w:t>
      </w:r>
      <w:r w:rsidR="000E6554">
        <w:t xml:space="preserve"> and 9</w:t>
      </w:r>
      <w:r w:rsidR="003D06BC">
        <w:t xml:space="preserve"> samples</w:t>
      </w:r>
      <w:r w:rsidR="00CF0639">
        <w:t xml:space="preserve"> </w:t>
      </w:r>
      <w:r w:rsidR="003D06BC">
        <w:t xml:space="preserve">belong to </w:t>
      </w:r>
      <w:r w:rsidR="000E6554">
        <w:t xml:space="preserve"> the </w:t>
      </w:r>
      <w:r w:rsidR="003D06BC">
        <w:t>females</w:t>
      </w:r>
      <w:r w:rsidR="000E6554">
        <w:t xml:space="preserve"> , </w:t>
      </w:r>
      <w:r w:rsidR="003C4143">
        <w:t xml:space="preserve"> given </w:t>
      </w:r>
      <w:r w:rsidR="000E6554">
        <w:t xml:space="preserve">the </w:t>
      </w:r>
      <w:r w:rsidR="003C4143">
        <w:t>percentages</w:t>
      </w:r>
      <w:r w:rsidR="000E6554">
        <w:t xml:space="preserve"> </w:t>
      </w:r>
      <w:r w:rsidR="00886B94">
        <w:t xml:space="preserve">the rate of </w:t>
      </w:r>
      <w:r w:rsidR="000E6554">
        <w:t xml:space="preserve">25.0 percent </w:t>
      </w:r>
      <w:r w:rsidR="00886B94">
        <w:t xml:space="preserve"> was </w:t>
      </w:r>
      <w:r w:rsidR="00F05943">
        <w:t xml:space="preserve">a ban for male </w:t>
      </w:r>
      <w:r w:rsidR="000E6554">
        <w:t>and 83.3 percent</w:t>
      </w:r>
      <w:r w:rsidR="00F05943">
        <w:t xml:space="preserve"> for female </w:t>
      </w:r>
      <w:r w:rsidR="000E6554">
        <w:t xml:space="preserve"> respectively, P Value was calculated to see if there was any correlation regarding gender differences (P=0.004), According to</w:t>
      </w:r>
      <w:r w:rsidR="00C32E6B">
        <w:t xml:space="preserve"> </w:t>
      </w:r>
      <w:r w:rsidR="000E6554">
        <w:t xml:space="preserve"> another study </w:t>
      </w:r>
      <w:r w:rsidR="00CB4C52">
        <w:t>conducted in the Asian country of</w:t>
      </w:r>
      <w:r w:rsidR="00787717">
        <w:t xml:space="preserve"> </w:t>
      </w:r>
      <w:r w:rsidR="000E6554">
        <w:t xml:space="preserve"> Iran</w:t>
      </w:r>
      <w:r w:rsidR="00696432">
        <w:t xml:space="preserve"> </w:t>
      </w:r>
      <w:r w:rsidR="000E6554">
        <w:t xml:space="preserve">, The overall prevalence of </w:t>
      </w:r>
      <w:r w:rsidR="00392F54">
        <w:t xml:space="preserve"> </w:t>
      </w:r>
      <w:r w:rsidR="000E6554">
        <w:t>ASB among pregnant women was 0.13 (95% CI: 0.09, 0.17) .The prevalence of ASB in the northern and southern regions of Iran was 0.13 (95% CI: 0.09, 0.18) and 0.11 (95% CI: 0.05, 0.16), respectively,</w:t>
      </w:r>
      <w:r w:rsidR="000E6554">
        <w:rPr>
          <w:sz w:val="22"/>
          <w:szCs w:val="22"/>
        </w:rPr>
        <w:t xml:space="preserve"> The results of this report indicated the prevalence of ASB among women is considerable, thus  preventative planning and control of ASB among women is</w:t>
      </w:r>
      <w:r w:rsidR="00370F55">
        <w:rPr>
          <w:sz w:val="22"/>
          <w:szCs w:val="22"/>
        </w:rPr>
        <w:t xml:space="preserve"> essential and extremely </w:t>
      </w:r>
      <w:r w:rsidR="009A4376">
        <w:rPr>
          <w:sz w:val="22"/>
          <w:szCs w:val="22"/>
        </w:rPr>
        <w:t>important globally .</w:t>
      </w: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DE42CD">
      <w:pPr>
        <w:spacing w:line="360" w:lineRule="auto"/>
        <w:jc w:val="both"/>
        <w:rPr>
          <w:b/>
          <w:sz w:val="28"/>
          <w:szCs w:val="28"/>
        </w:rPr>
      </w:pPr>
      <w:r>
        <w:rPr>
          <w:b/>
          <w:sz w:val="28"/>
          <w:szCs w:val="28"/>
        </w:rPr>
        <w:t xml:space="preserve"> </w:t>
      </w: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0E6554">
      <w:pPr>
        <w:spacing w:line="360" w:lineRule="auto"/>
        <w:jc w:val="both"/>
        <w:rPr>
          <w:b/>
          <w:sz w:val="28"/>
          <w:szCs w:val="28"/>
        </w:rPr>
      </w:pPr>
      <w:r>
        <w:rPr>
          <w:b/>
          <w:sz w:val="28"/>
          <w:szCs w:val="28"/>
        </w:rPr>
        <w:t xml:space="preserve">Introduction </w:t>
      </w:r>
    </w:p>
    <w:p w:rsidR="004B1A88" w:rsidRDefault="004B1A88">
      <w:pPr>
        <w:spacing w:line="360" w:lineRule="auto"/>
        <w:jc w:val="both"/>
      </w:pPr>
    </w:p>
    <w:p w:rsidR="00821D57" w:rsidRDefault="00821D57" w:rsidP="00E938B9">
      <w:pPr>
        <w:spacing w:line="360" w:lineRule="auto"/>
        <w:jc w:val="both"/>
        <w:rPr>
          <w:sz w:val="32"/>
          <w:szCs w:val="32"/>
          <w:vertAlign w:val="superscript"/>
        </w:rPr>
      </w:pPr>
      <w:r w:rsidRPr="00DA01A0">
        <w:rPr>
          <w:sz w:val="32"/>
          <w:szCs w:val="32"/>
          <w:vertAlign w:val="superscript"/>
        </w:rPr>
        <w:t xml:space="preserve">Asymptomatic </w:t>
      </w:r>
      <w:proofErr w:type="spellStart"/>
      <w:r w:rsidRPr="00DA01A0">
        <w:rPr>
          <w:sz w:val="32"/>
          <w:szCs w:val="32"/>
          <w:vertAlign w:val="superscript"/>
        </w:rPr>
        <w:t>bacteriuria</w:t>
      </w:r>
      <w:proofErr w:type="spellEnd"/>
      <w:r w:rsidRPr="00DA01A0">
        <w:rPr>
          <w:sz w:val="32"/>
          <w:szCs w:val="32"/>
          <w:vertAlign w:val="superscript"/>
        </w:rPr>
        <w:t xml:space="preserve"> (ASB) is defined as the presence of bacteria in urine without having signs and symptoms ( is a positive urine culture in a patient with no signs or</w:t>
      </w:r>
      <w:r w:rsidR="00E938B9" w:rsidRPr="00DA01A0">
        <w:rPr>
          <w:sz w:val="32"/>
          <w:szCs w:val="32"/>
          <w:vertAlign w:val="superscript"/>
        </w:rPr>
        <w:t xml:space="preserve"> </w:t>
      </w:r>
      <w:r w:rsidRPr="00DA01A0">
        <w:rPr>
          <w:sz w:val="32"/>
          <w:szCs w:val="32"/>
          <w:vertAlign w:val="superscript"/>
        </w:rPr>
        <w:t>symptoms of a urinary tract infection (e.g., dysuria, frequency, urgency, fever, flank pain).</w:t>
      </w:r>
    </w:p>
    <w:p w:rsidR="0048446B" w:rsidRDefault="0048446B" w:rsidP="00821D57">
      <w:pPr>
        <w:spacing w:line="360" w:lineRule="auto"/>
        <w:jc w:val="both"/>
        <w:rPr>
          <w:sz w:val="32"/>
          <w:szCs w:val="32"/>
          <w:vertAlign w:val="superscript"/>
        </w:rPr>
      </w:pPr>
      <w:r w:rsidRPr="0048446B">
        <w:rPr>
          <w:sz w:val="32"/>
          <w:szCs w:val="32"/>
          <w:vertAlign w:val="superscript"/>
        </w:rPr>
        <w:t xml:space="preserve">Escherichia coli is the most common bacteria identified in asymptomatic </w:t>
      </w:r>
      <w:proofErr w:type="spellStart"/>
      <w:r w:rsidRPr="0048446B">
        <w:rPr>
          <w:sz w:val="32"/>
          <w:szCs w:val="32"/>
          <w:vertAlign w:val="superscript"/>
        </w:rPr>
        <w:t>bacteriuria</w:t>
      </w:r>
      <w:proofErr w:type="spellEnd"/>
      <w:r w:rsidRPr="0048446B">
        <w:rPr>
          <w:sz w:val="32"/>
          <w:szCs w:val="32"/>
          <w:vertAlign w:val="superscript"/>
        </w:rPr>
        <w:t>.</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 xml:space="preserve"> ASB is common and often </w:t>
      </w:r>
      <w:r w:rsidR="008B0E67" w:rsidRPr="00DA01A0">
        <w:rPr>
          <w:sz w:val="32"/>
          <w:szCs w:val="32"/>
          <w:vertAlign w:val="superscript"/>
        </w:rPr>
        <w:t>associated</w:t>
      </w:r>
      <w:r w:rsidRPr="00DA01A0">
        <w:rPr>
          <w:sz w:val="32"/>
          <w:szCs w:val="32"/>
          <w:vertAlign w:val="superscript"/>
        </w:rPr>
        <w:t xml:space="preserve"> with pyuria (urine containing ≥10 white blood cells per</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 xml:space="preserve">high-powered field). </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 xml:space="preserve"> This condition affects all groups, but women, particularly pregnant women, are more susceptible than men because of a short urethra and easy contamination of the tract with fecal flora Asymptomatic </w:t>
      </w:r>
      <w:proofErr w:type="spellStart"/>
      <w:r w:rsidRPr="00DA01A0">
        <w:rPr>
          <w:sz w:val="32"/>
          <w:szCs w:val="32"/>
          <w:vertAlign w:val="superscript"/>
        </w:rPr>
        <w:t>bacteriuria</w:t>
      </w:r>
      <w:proofErr w:type="spellEnd"/>
      <w:r w:rsidRPr="00DA01A0">
        <w:rPr>
          <w:sz w:val="32"/>
          <w:szCs w:val="32"/>
          <w:vertAlign w:val="superscript"/>
        </w:rPr>
        <w:t xml:space="preserve"> (ASB) is defined as two consecutive voided urine specimens or one properly collected specimen of urine from pregnant women any signs and symptoms of urinary tract infection with isolation of the same bacterial strain in quantitative counts of 105 </w:t>
      </w:r>
      <w:proofErr w:type="spellStart"/>
      <w:r w:rsidRPr="00DA01A0">
        <w:rPr>
          <w:sz w:val="32"/>
          <w:szCs w:val="32"/>
          <w:vertAlign w:val="superscript"/>
        </w:rPr>
        <w:t>cfu</w:t>
      </w:r>
      <w:proofErr w:type="spellEnd"/>
      <w:r w:rsidRPr="00DA01A0">
        <w:rPr>
          <w:sz w:val="32"/>
          <w:szCs w:val="32"/>
          <w:vertAlign w:val="superscript"/>
        </w:rPr>
        <w:t>/</w:t>
      </w:r>
      <w:proofErr w:type="spellStart"/>
      <w:r w:rsidRPr="00DA01A0">
        <w:rPr>
          <w:sz w:val="32"/>
          <w:szCs w:val="32"/>
          <w:vertAlign w:val="superscript"/>
        </w:rPr>
        <w:t>mL.</w:t>
      </w:r>
      <w:proofErr w:type="spellEnd"/>
      <w:r w:rsidRPr="00DA01A0">
        <w:rPr>
          <w:sz w:val="32"/>
          <w:szCs w:val="32"/>
          <w:vertAlign w:val="superscript"/>
        </w:rPr>
        <w:t xml:space="preserve"> ASB during pregnancy relates to the physiologic and anatomic changes in the urinary tract. The prevalence of ABS in pregnant women is estimated to be approximately 1.9–15%, Pregnant women with ASB are at an increased risk for severe outcomes so that without antibiotic therapy, approximately 30% of pregnant women affected by symptomatic </w:t>
      </w:r>
      <w:proofErr w:type="spellStart"/>
      <w:r w:rsidRPr="00DA01A0">
        <w:rPr>
          <w:sz w:val="32"/>
          <w:szCs w:val="32"/>
          <w:vertAlign w:val="superscript"/>
        </w:rPr>
        <w:t>bacteriuria</w:t>
      </w:r>
      <w:proofErr w:type="spellEnd"/>
      <w:r w:rsidRPr="00DA01A0">
        <w:rPr>
          <w:sz w:val="32"/>
          <w:szCs w:val="32"/>
          <w:vertAlign w:val="superscript"/>
        </w:rPr>
        <w:t xml:space="preserve"> may have complications such as preterm delivery and low birth weight infants. In addition, the risk of </w:t>
      </w:r>
      <w:r w:rsidRPr="00DA01A0">
        <w:rPr>
          <w:sz w:val="32"/>
          <w:szCs w:val="32"/>
          <w:vertAlign w:val="superscript"/>
        </w:rPr>
        <w:lastRenderedPageBreak/>
        <w:t xml:space="preserve">developing pyelonephritis during pregnancy is approximately 20–30 fold higher than that in women without </w:t>
      </w:r>
      <w:proofErr w:type="spellStart"/>
      <w:r w:rsidRPr="00DA01A0">
        <w:rPr>
          <w:sz w:val="32"/>
          <w:szCs w:val="32"/>
          <w:vertAlign w:val="superscript"/>
        </w:rPr>
        <w:t>bacteriuria</w:t>
      </w:r>
      <w:proofErr w:type="spellEnd"/>
      <w:r w:rsidRPr="00DA01A0">
        <w:rPr>
          <w:sz w:val="32"/>
          <w:szCs w:val="32"/>
          <w:vertAlign w:val="superscript"/>
        </w:rPr>
        <w:t>.</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 xml:space="preserve"> The majority of patients with ASB and/or asymptomatic pyuria SHOULD NOT be treated.</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Studies have demonstrated that treatment of ASB does not prevent urinary tract infections</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(UTIs), but is associated with adverse events related to antibiotic use and the development of</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future UTIs that are antibiotic resistant.</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But there are some exceptions:</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 xml:space="preserve"> such as pregnant women or patients:</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treatment prevents preterm labor and pyelonephritis.</w:t>
      </w:r>
    </w:p>
    <w:p w:rsidR="00821D57" w:rsidRPr="00DA01A0" w:rsidRDefault="00821D57" w:rsidP="00821D57">
      <w:pPr>
        <w:spacing w:line="360" w:lineRule="auto"/>
        <w:jc w:val="both"/>
        <w:rPr>
          <w:sz w:val="32"/>
          <w:szCs w:val="32"/>
          <w:vertAlign w:val="superscript"/>
        </w:rPr>
      </w:pPr>
    </w:p>
    <w:p w:rsidR="00821D57" w:rsidRPr="00DA01A0" w:rsidRDefault="00821D57" w:rsidP="00821D57">
      <w:pPr>
        <w:spacing w:line="360" w:lineRule="auto"/>
        <w:jc w:val="both"/>
        <w:rPr>
          <w:sz w:val="32"/>
          <w:szCs w:val="32"/>
          <w:vertAlign w:val="superscript"/>
        </w:rPr>
      </w:pPr>
      <w:r w:rsidRPr="00DA01A0">
        <w:rPr>
          <w:sz w:val="32"/>
          <w:szCs w:val="32"/>
          <w:vertAlign w:val="superscript"/>
        </w:rPr>
        <w:t>and Patients about to undergo a urologic procedure in which mucosal bleeding is expected</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(not urinary catheter placement): treatment prevents urosepsis.</w:t>
      </w:r>
    </w:p>
    <w:p w:rsidR="00821D57" w:rsidRPr="00DA01A0" w:rsidRDefault="00821D57" w:rsidP="00821D57">
      <w:pPr>
        <w:spacing w:line="360" w:lineRule="auto"/>
        <w:jc w:val="both"/>
        <w:rPr>
          <w:sz w:val="32"/>
          <w:szCs w:val="32"/>
          <w:vertAlign w:val="superscript"/>
        </w:rPr>
      </w:pPr>
      <w:r w:rsidRPr="00DA01A0">
        <w:rPr>
          <w:sz w:val="32"/>
          <w:szCs w:val="32"/>
          <w:vertAlign w:val="superscript"/>
        </w:rPr>
        <w:t>In addition, foul-smelling or turbid urine does not always indicate the presence of a urinary tract infection.</w:t>
      </w:r>
    </w:p>
    <w:p w:rsidR="00821D57" w:rsidRPr="00DA01A0" w:rsidRDefault="00821D57" w:rsidP="000B1F99">
      <w:pPr>
        <w:spacing w:line="360" w:lineRule="auto"/>
        <w:jc w:val="both"/>
        <w:rPr>
          <w:sz w:val="32"/>
          <w:szCs w:val="32"/>
          <w:vertAlign w:val="superscript"/>
        </w:rPr>
      </w:pPr>
      <w:r w:rsidRPr="00DA01A0">
        <w:rPr>
          <w:sz w:val="32"/>
          <w:szCs w:val="32"/>
          <w:vertAlign w:val="superscript"/>
        </w:rPr>
        <w:t>Accordingly, Do not order urine cultures unless your patient has signs and symptoms of a UTI, including in</w:t>
      </w:r>
      <w:r w:rsidR="00E938B9" w:rsidRPr="00DA01A0">
        <w:rPr>
          <w:sz w:val="32"/>
          <w:szCs w:val="32"/>
          <w:vertAlign w:val="superscript"/>
        </w:rPr>
        <w:t xml:space="preserve"> </w:t>
      </w:r>
      <w:r w:rsidRPr="00DA01A0">
        <w:rPr>
          <w:sz w:val="32"/>
          <w:szCs w:val="32"/>
          <w:vertAlign w:val="superscript"/>
        </w:rPr>
        <w:t>patients undergoing preoperative evaluation or patients with urinary catheters (except in</w:t>
      </w:r>
      <w:r w:rsidR="000B1F99">
        <w:rPr>
          <w:sz w:val="32"/>
          <w:szCs w:val="32"/>
          <w:vertAlign w:val="superscript"/>
        </w:rPr>
        <w:t xml:space="preserve"> </w:t>
      </w:r>
      <w:r w:rsidRPr="00DA01A0">
        <w:rPr>
          <w:sz w:val="32"/>
          <w:szCs w:val="32"/>
          <w:vertAlign w:val="superscript"/>
        </w:rPr>
        <w:t>pregnant patients or those about to undergo a urologic procedure in which mucosal bleeding is</w:t>
      </w:r>
    </w:p>
    <w:p w:rsidR="004B1A88" w:rsidRPr="00DA01A0" w:rsidRDefault="00821D57">
      <w:pPr>
        <w:spacing w:line="360" w:lineRule="auto"/>
        <w:jc w:val="both"/>
        <w:rPr>
          <w:sz w:val="32"/>
          <w:szCs w:val="32"/>
          <w:vertAlign w:val="superscript"/>
        </w:rPr>
      </w:pPr>
      <w:r w:rsidRPr="00DA01A0">
        <w:rPr>
          <w:sz w:val="32"/>
          <w:szCs w:val="32"/>
          <w:vertAlign w:val="superscript"/>
        </w:rPr>
        <w:t>expected).</w:t>
      </w:r>
    </w:p>
    <w:p w:rsidR="004B1A88" w:rsidRDefault="004B1A88">
      <w:pPr>
        <w:spacing w:line="360" w:lineRule="auto"/>
        <w:jc w:val="both"/>
        <w:rPr>
          <w:vertAlign w:val="superscript"/>
        </w:rPr>
      </w:pPr>
    </w:p>
    <w:p w:rsidR="004B1A88" w:rsidRDefault="000E6554">
      <w:pPr>
        <w:spacing w:line="360" w:lineRule="auto"/>
        <w:jc w:val="both"/>
        <w:rPr>
          <w:b/>
          <w:sz w:val="28"/>
          <w:szCs w:val="28"/>
        </w:rPr>
      </w:pPr>
      <w:r>
        <w:rPr>
          <w:b/>
          <w:sz w:val="28"/>
          <w:szCs w:val="28"/>
        </w:rPr>
        <w:t>Aim</w:t>
      </w:r>
    </w:p>
    <w:p w:rsidR="004B1A88" w:rsidRDefault="000E6554">
      <w:pPr>
        <w:spacing w:line="360" w:lineRule="auto"/>
        <w:jc w:val="both"/>
        <w:rPr>
          <w:sz w:val="32"/>
          <w:szCs w:val="32"/>
        </w:rPr>
      </w:pPr>
      <w:r>
        <w:t xml:space="preserve">The purpose of this report is to look into the prevalence of Asymptomatic </w:t>
      </w:r>
      <w:proofErr w:type="spellStart"/>
      <w:r>
        <w:t>bacteriuria</w:t>
      </w:r>
      <w:proofErr w:type="spellEnd"/>
      <w:r>
        <w:t xml:space="preserve"> among</w:t>
      </w:r>
      <w:r w:rsidR="0091724F">
        <w:t xml:space="preserve"> </w:t>
      </w:r>
      <w:proofErr w:type="spellStart"/>
      <w:r w:rsidR="0091724F">
        <w:t>libyan</w:t>
      </w:r>
      <w:proofErr w:type="spellEnd"/>
      <w:r w:rsidR="0091724F">
        <w:t xml:space="preserve"> international medical university </w:t>
      </w:r>
      <w:r>
        <w:t xml:space="preserve">LIMU students. </w:t>
      </w:r>
    </w:p>
    <w:p w:rsidR="004B1A88" w:rsidRDefault="004B1A88">
      <w:pPr>
        <w:spacing w:line="360" w:lineRule="auto"/>
        <w:jc w:val="both"/>
        <w:rPr>
          <w:b/>
          <w:sz w:val="28"/>
          <w:szCs w:val="28"/>
        </w:rPr>
      </w:pPr>
    </w:p>
    <w:p w:rsidR="004B1A88" w:rsidRDefault="000E6554">
      <w:pPr>
        <w:spacing w:line="360" w:lineRule="auto"/>
        <w:jc w:val="both"/>
      </w:pPr>
      <w:r>
        <w:rPr>
          <w:b/>
          <w:sz w:val="28"/>
          <w:szCs w:val="28"/>
        </w:rPr>
        <w:t>Materials and Methods</w:t>
      </w:r>
    </w:p>
    <w:p w:rsidR="004B1A88" w:rsidRDefault="000E6554">
      <w:pPr>
        <w:spacing w:line="360" w:lineRule="auto"/>
        <w:jc w:val="both"/>
      </w:pPr>
      <w:r>
        <w:t xml:space="preserve">A sample was collected in a sterile container, the samples were cultured and incubated overnight (24 hours) to detect any observable bacterial growth, and each specimen was checked to determine </w:t>
      </w:r>
      <w:r w:rsidR="00005FDB">
        <w:t xml:space="preserve"> for </w:t>
      </w:r>
      <w:r>
        <w:t xml:space="preserve">its color, curd, and bubbling after the samples were collected. </w:t>
      </w:r>
      <w:r w:rsidR="00B33230">
        <w:t>Then the u</w:t>
      </w:r>
      <w:r>
        <w:t>rine culture is used to determine the existence</w:t>
      </w:r>
      <w:r w:rsidR="00A64BA6">
        <w:t xml:space="preserve"> or presence </w:t>
      </w:r>
      <w:r>
        <w:t xml:space="preserve"> of bacteria in a </w:t>
      </w:r>
      <w:r>
        <w:lastRenderedPageBreak/>
        <w:t>urine sample by culturing. the samples were cultured on blood agar by manually striking and dispersing them on a Petri-dish.</w:t>
      </w:r>
    </w:p>
    <w:p w:rsidR="004B1A88" w:rsidRDefault="004B1A88">
      <w:pPr>
        <w:spacing w:line="360" w:lineRule="auto"/>
        <w:jc w:val="both"/>
        <w:rPr>
          <w:b/>
        </w:rPr>
      </w:pPr>
    </w:p>
    <w:p w:rsidR="004B1A88" w:rsidRDefault="004B1A88">
      <w:pPr>
        <w:spacing w:line="360" w:lineRule="auto"/>
        <w:jc w:val="both"/>
        <w:rPr>
          <w:b/>
          <w:sz w:val="28"/>
          <w:szCs w:val="28"/>
        </w:rPr>
      </w:pPr>
    </w:p>
    <w:p w:rsidR="004B1A88" w:rsidRDefault="004B1A88">
      <w:pPr>
        <w:spacing w:line="360" w:lineRule="auto"/>
        <w:jc w:val="both"/>
        <w:rPr>
          <w:b/>
          <w:sz w:val="28"/>
          <w:szCs w:val="28"/>
        </w:rPr>
      </w:pPr>
    </w:p>
    <w:p w:rsidR="004B1A88" w:rsidRDefault="000E6554">
      <w:pPr>
        <w:spacing w:line="360" w:lineRule="auto"/>
        <w:jc w:val="both"/>
        <w:rPr>
          <w:b/>
          <w:sz w:val="28"/>
          <w:szCs w:val="28"/>
        </w:rPr>
      </w:pPr>
      <w:r>
        <w:rPr>
          <w:b/>
          <w:sz w:val="28"/>
          <w:szCs w:val="28"/>
        </w:rPr>
        <w:t xml:space="preserve">Results &amp; Discussion  </w:t>
      </w:r>
    </w:p>
    <w:p w:rsidR="005E0030" w:rsidRDefault="000E6554">
      <w:pPr>
        <w:spacing w:line="360" w:lineRule="auto"/>
        <w:jc w:val="both"/>
        <w:rPr>
          <w:vertAlign w:val="superscript"/>
        </w:rPr>
      </w:pPr>
      <w:r>
        <w:t xml:space="preserve">After </w:t>
      </w:r>
      <w:r w:rsidR="00E524F6">
        <w:t xml:space="preserve">being cultured </w:t>
      </w:r>
      <w:r w:rsidR="00EE773C">
        <w:t>,13 samples revealed bacterial growth, of which 3 samples belong to the males and 9 samples</w:t>
      </w:r>
      <w:r w:rsidR="00CF0639">
        <w:t xml:space="preserve"> </w:t>
      </w:r>
      <w:r w:rsidR="00EE773C">
        <w:t xml:space="preserve">belong to  the females ,  given the percentages the rate of 25.0 percent  was a ban for male and 83.3 percent for female  respectively  </w:t>
      </w:r>
      <w:r>
        <w:t xml:space="preserve">, P Value was calculated to see if there was any correlation regarding gender differences (P=0.004), the results after statistically analyzing the numbers indicated that the association between the growth of bacteria in both genders is higher in females than males. </w:t>
      </w:r>
      <w:r w:rsidR="00775D11">
        <w:rPr>
          <w:vertAlign w:val="superscript"/>
        </w:rPr>
        <w:t>1</w:t>
      </w:r>
    </w:p>
    <w:p w:rsidR="004B1A88" w:rsidRPr="00775D11" w:rsidRDefault="00B03692">
      <w:pPr>
        <w:spacing w:line="360" w:lineRule="auto"/>
        <w:jc w:val="both"/>
        <w:rPr>
          <w:sz w:val="32"/>
          <w:szCs w:val="32"/>
          <w:vertAlign w:val="superscript"/>
        </w:rPr>
      </w:pPr>
      <w:r w:rsidRPr="00D9248C">
        <w:rPr>
          <w:sz w:val="32"/>
          <w:szCs w:val="32"/>
          <w:vertAlign w:val="superscript"/>
        </w:rPr>
        <w:t xml:space="preserve">( </w:t>
      </w:r>
      <w:r w:rsidR="00280E89" w:rsidRPr="00D9248C">
        <w:rPr>
          <w:sz w:val="32"/>
          <w:szCs w:val="32"/>
          <w:vertAlign w:val="superscript"/>
        </w:rPr>
        <w:t xml:space="preserve">This is due to the difference in body composition </w:t>
      </w:r>
      <w:r w:rsidR="00D9248C" w:rsidRPr="00D9248C">
        <w:rPr>
          <w:sz w:val="32"/>
          <w:szCs w:val="32"/>
          <w:vertAlign w:val="superscript"/>
        </w:rPr>
        <w:t>)</w:t>
      </w:r>
      <w:r w:rsidR="000D7B26">
        <w:rPr>
          <w:sz w:val="32"/>
          <w:szCs w:val="32"/>
          <w:vertAlign w:val="superscript"/>
        </w:rPr>
        <w:t>.</w:t>
      </w:r>
    </w:p>
    <w:p w:rsidR="004B1A88" w:rsidRDefault="000E6554">
      <w:pPr>
        <w:spacing w:line="360" w:lineRule="auto"/>
        <w:jc w:val="both"/>
      </w:pPr>
      <w:r>
        <w:t xml:space="preserve"> See (Table 1) show bacterial growth in selected individuals</w:t>
      </w:r>
    </w:p>
    <w:p w:rsidR="004B1A88" w:rsidRDefault="004B1A88">
      <w:pPr>
        <w:spacing w:line="360" w:lineRule="auto"/>
        <w:jc w:val="both"/>
      </w:pPr>
    </w:p>
    <w:p w:rsidR="004B1A88" w:rsidRDefault="000E6554">
      <w:pPr>
        <w:spacing w:line="360" w:lineRule="auto"/>
        <w:jc w:val="both"/>
        <w:rPr>
          <w:rFonts w:ascii="Calibri" w:eastAsia="Calibri" w:hAnsi="Calibri" w:cs="Calibri"/>
          <w:sz w:val="22"/>
          <w:szCs w:val="22"/>
        </w:rPr>
      </w:pPr>
      <w:r>
        <w:t xml:space="preserve">   </w:t>
      </w:r>
      <w:r>
        <w:rPr>
          <w:rFonts w:ascii="Calibri" w:eastAsia="Calibri" w:hAnsi="Calibri" w:cs="Calibri"/>
          <w:noProof/>
          <w:sz w:val="22"/>
          <w:szCs w:val="22"/>
        </w:rPr>
        <w:drawing>
          <wp:inline distT="0" distB="0" distL="0" distR="0">
            <wp:extent cx="5274000" cy="168910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5274000" cy="1689100"/>
                    </a:xfrm>
                    <a:prstGeom prst="rect">
                      <a:avLst/>
                    </a:prstGeom>
                    <a:ln/>
                  </pic:spPr>
                </pic:pic>
              </a:graphicData>
            </a:graphic>
          </wp:inline>
        </w:drawing>
      </w:r>
    </w:p>
    <w:p w:rsidR="004B1A88" w:rsidRDefault="000E6554">
      <w:pPr>
        <w:spacing w:after="200" w:line="276" w:lineRule="auto"/>
        <w:rPr>
          <w:rFonts w:ascii="Calibri" w:eastAsia="Calibri" w:hAnsi="Calibri" w:cs="Calibri"/>
          <w:sz w:val="22"/>
          <w:szCs w:val="22"/>
        </w:rPr>
      </w:pPr>
      <w:r>
        <w:rPr>
          <w:rFonts w:ascii="Calibri" w:eastAsia="Calibri" w:hAnsi="Calibri" w:cs="Calibri"/>
          <w:sz w:val="22"/>
          <w:szCs w:val="22"/>
        </w:rPr>
        <w:t xml:space="preserve">Table 1 </w:t>
      </w:r>
    </w:p>
    <w:p w:rsidR="004B1A88" w:rsidRDefault="004B1A88">
      <w:pPr>
        <w:spacing w:after="200" w:line="276" w:lineRule="auto"/>
        <w:rPr>
          <w:rFonts w:ascii="Calibri" w:eastAsia="Calibri" w:hAnsi="Calibri" w:cs="Calibri"/>
          <w:sz w:val="22"/>
          <w:szCs w:val="22"/>
        </w:rPr>
      </w:pPr>
    </w:p>
    <w:p w:rsidR="004B1A88" w:rsidRDefault="004B1A88"/>
    <w:tbl>
      <w:tblPr>
        <w:tblStyle w:val="a"/>
        <w:tblW w:w="77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83"/>
        <w:gridCol w:w="737"/>
        <w:gridCol w:w="2337"/>
        <w:gridCol w:w="1030"/>
        <w:gridCol w:w="1030"/>
        <w:gridCol w:w="1030"/>
      </w:tblGrid>
      <w:tr w:rsidR="004B1A88">
        <w:tc>
          <w:tcPr>
            <w:tcW w:w="7747" w:type="dxa"/>
            <w:gridSpan w:val="6"/>
            <w:tcBorders>
              <w:top w:val="nil"/>
              <w:left w:val="nil"/>
              <w:bottom w:val="nil"/>
              <w:right w:val="nil"/>
            </w:tcBorders>
            <w:shd w:val="clear" w:color="auto" w:fill="FFFFFF"/>
            <w:tcMar>
              <w:top w:w="0" w:type="dxa"/>
              <w:bottom w:w="0" w:type="dxa"/>
            </w:tcMar>
            <w:vAlign w:val="center"/>
          </w:tcPr>
          <w:p w:rsidR="004B1A88" w:rsidRDefault="000E6554">
            <w:pPr>
              <w:spacing w:line="276" w:lineRule="auto"/>
              <w:ind w:left="60" w:right="60"/>
              <w:jc w:val="center"/>
              <w:rPr>
                <w:rFonts w:ascii="Arial" w:eastAsia="Arial" w:hAnsi="Arial" w:cs="Arial"/>
                <w:color w:val="010205"/>
                <w:sz w:val="22"/>
                <w:szCs w:val="22"/>
              </w:rPr>
            </w:pPr>
            <w:proofErr w:type="spellStart"/>
            <w:r>
              <w:rPr>
                <w:rFonts w:ascii="Arial" w:eastAsia="Arial" w:hAnsi="Arial" w:cs="Arial"/>
                <w:b/>
                <w:color w:val="010205"/>
                <w:sz w:val="22"/>
                <w:szCs w:val="22"/>
              </w:rPr>
              <w:t>bacterialgrowth</w:t>
            </w:r>
            <w:proofErr w:type="spellEnd"/>
            <w:r>
              <w:rPr>
                <w:rFonts w:ascii="Arial" w:eastAsia="Arial" w:hAnsi="Arial" w:cs="Arial"/>
                <w:b/>
                <w:color w:val="010205"/>
                <w:sz w:val="22"/>
                <w:szCs w:val="22"/>
              </w:rPr>
              <w:t xml:space="preserve"> * Gender </w:t>
            </w:r>
            <w:proofErr w:type="spellStart"/>
            <w:r>
              <w:rPr>
                <w:rFonts w:ascii="Arial" w:eastAsia="Arial" w:hAnsi="Arial" w:cs="Arial"/>
                <w:b/>
                <w:color w:val="010205"/>
                <w:sz w:val="22"/>
                <w:szCs w:val="22"/>
              </w:rPr>
              <w:t>Crosstabulation</w:t>
            </w:r>
            <w:proofErr w:type="spellEnd"/>
          </w:p>
        </w:tc>
      </w:tr>
      <w:tr w:rsidR="004B1A88">
        <w:tc>
          <w:tcPr>
            <w:tcW w:w="4657" w:type="dxa"/>
            <w:gridSpan w:val="3"/>
            <w:vMerge w:val="restart"/>
            <w:tcBorders>
              <w:top w:val="nil"/>
              <w:left w:val="nil"/>
              <w:bottom w:val="nil"/>
              <w:right w:val="nil"/>
            </w:tcBorders>
            <w:shd w:val="clear" w:color="auto" w:fill="FFFFFF"/>
            <w:tcMar>
              <w:top w:w="0" w:type="dxa"/>
              <w:bottom w:w="0" w:type="dxa"/>
            </w:tcMar>
            <w:vAlign w:val="bottom"/>
          </w:tcPr>
          <w:p w:rsidR="004B1A88" w:rsidRDefault="004B1A88"/>
        </w:tc>
        <w:tc>
          <w:tcPr>
            <w:tcW w:w="2060" w:type="dxa"/>
            <w:gridSpan w:val="2"/>
            <w:tcBorders>
              <w:top w:val="nil"/>
              <w:left w:val="nil"/>
              <w:bottom w:val="nil"/>
              <w:right w:val="single" w:sz="8" w:space="0" w:color="E0E0E0"/>
            </w:tcBorders>
            <w:shd w:val="clear" w:color="auto" w:fill="FFFFFF"/>
            <w:tcMar>
              <w:top w:w="0" w:type="dxa"/>
              <w:bottom w:w="0" w:type="dxa"/>
            </w:tcMar>
            <w:vAlign w:val="bottom"/>
          </w:tcPr>
          <w:p w:rsidR="004B1A88" w:rsidRDefault="000E6554">
            <w:pPr>
              <w:spacing w:line="276" w:lineRule="auto"/>
              <w:ind w:left="60" w:right="60"/>
              <w:jc w:val="center"/>
              <w:rPr>
                <w:rFonts w:ascii="Arial" w:eastAsia="Arial" w:hAnsi="Arial" w:cs="Arial"/>
                <w:color w:val="264A60"/>
                <w:sz w:val="18"/>
                <w:szCs w:val="18"/>
              </w:rPr>
            </w:pPr>
            <w:r>
              <w:rPr>
                <w:rFonts w:ascii="Arial" w:eastAsia="Arial" w:hAnsi="Arial" w:cs="Arial"/>
                <w:color w:val="264A60"/>
                <w:sz w:val="18"/>
                <w:szCs w:val="18"/>
              </w:rPr>
              <w:t>Gender</w:t>
            </w:r>
          </w:p>
        </w:tc>
        <w:tc>
          <w:tcPr>
            <w:tcW w:w="1030" w:type="dxa"/>
            <w:vMerge w:val="restart"/>
            <w:tcBorders>
              <w:top w:val="nil"/>
              <w:left w:val="single" w:sz="8" w:space="0" w:color="E0E0E0"/>
              <w:bottom w:val="nil"/>
              <w:right w:val="nil"/>
            </w:tcBorders>
            <w:shd w:val="clear" w:color="auto" w:fill="FFFFFF"/>
            <w:tcMar>
              <w:top w:w="0" w:type="dxa"/>
              <w:bottom w:w="0" w:type="dxa"/>
            </w:tcMar>
            <w:vAlign w:val="bottom"/>
          </w:tcPr>
          <w:p w:rsidR="004B1A88" w:rsidRDefault="000E6554">
            <w:pPr>
              <w:spacing w:line="276" w:lineRule="auto"/>
              <w:ind w:left="60" w:right="60"/>
              <w:jc w:val="center"/>
              <w:rPr>
                <w:rFonts w:ascii="Arial" w:eastAsia="Arial" w:hAnsi="Arial" w:cs="Arial"/>
                <w:color w:val="264A60"/>
                <w:sz w:val="18"/>
                <w:szCs w:val="18"/>
              </w:rPr>
            </w:pPr>
            <w:r>
              <w:rPr>
                <w:rFonts w:ascii="Arial" w:eastAsia="Arial" w:hAnsi="Arial" w:cs="Arial"/>
                <w:color w:val="264A60"/>
                <w:sz w:val="18"/>
                <w:szCs w:val="18"/>
              </w:rPr>
              <w:t>Total</w:t>
            </w:r>
          </w:p>
        </w:tc>
      </w:tr>
      <w:tr w:rsidR="004B1A88">
        <w:tc>
          <w:tcPr>
            <w:tcW w:w="4657" w:type="dxa"/>
            <w:gridSpan w:val="3"/>
            <w:vMerge/>
            <w:tcBorders>
              <w:top w:val="nil"/>
              <w:left w:val="nil"/>
              <w:bottom w:val="nil"/>
              <w:right w:val="nil"/>
            </w:tcBorders>
            <w:shd w:val="clear" w:color="auto" w:fill="FFFFFF"/>
            <w:tcMar>
              <w:top w:w="0" w:type="dxa"/>
              <w:bottom w:w="0" w:type="dxa"/>
            </w:tcMar>
            <w:vAlign w:val="bottom"/>
          </w:tcPr>
          <w:p w:rsidR="004B1A88" w:rsidRDefault="004B1A88">
            <w:pPr>
              <w:widowControl w:val="0"/>
              <w:spacing w:line="276" w:lineRule="auto"/>
              <w:rPr>
                <w:rFonts w:ascii="Arial" w:eastAsia="Arial" w:hAnsi="Arial" w:cs="Arial"/>
                <w:color w:val="264A60"/>
                <w:sz w:val="18"/>
                <w:szCs w:val="18"/>
              </w:rPr>
            </w:pPr>
          </w:p>
        </w:tc>
        <w:tc>
          <w:tcPr>
            <w:tcW w:w="1030" w:type="dxa"/>
            <w:tcBorders>
              <w:top w:val="nil"/>
              <w:left w:val="nil"/>
              <w:bottom w:val="single" w:sz="8" w:space="0" w:color="152935"/>
              <w:right w:val="single" w:sz="8" w:space="0" w:color="E0E0E0"/>
            </w:tcBorders>
            <w:shd w:val="clear" w:color="auto" w:fill="FFFFFF"/>
            <w:tcMar>
              <w:top w:w="0" w:type="dxa"/>
              <w:bottom w:w="0" w:type="dxa"/>
            </w:tcMar>
            <w:vAlign w:val="bottom"/>
          </w:tcPr>
          <w:p w:rsidR="004B1A88" w:rsidRDefault="000E6554">
            <w:pPr>
              <w:spacing w:line="276" w:lineRule="auto"/>
              <w:ind w:left="60" w:right="60"/>
              <w:jc w:val="center"/>
              <w:rPr>
                <w:rFonts w:ascii="Arial" w:eastAsia="Arial" w:hAnsi="Arial" w:cs="Arial"/>
                <w:color w:val="264A60"/>
                <w:sz w:val="18"/>
                <w:szCs w:val="18"/>
              </w:rPr>
            </w:pPr>
            <w:r>
              <w:rPr>
                <w:rFonts w:ascii="Arial" w:eastAsia="Arial" w:hAnsi="Arial" w:cs="Arial"/>
                <w:color w:val="264A60"/>
                <w:sz w:val="18"/>
                <w:szCs w:val="18"/>
              </w:rPr>
              <w:t>Male</w:t>
            </w:r>
          </w:p>
        </w:tc>
        <w:tc>
          <w:tcPr>
            <w:tcW w:w="1030"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4B1A88" w:rsidRDefault="000E6554">
            <w:pPr>
              <w:spacing w:line="276" w:lineRule="auto"/>
              <w:ind w:left="60" w:right="60"/>
              <w:jc w:val="center"/>
              <w:rPr>
                <w:rFonts w:ascii="Arial" w:eastAsia="Arial" w:hAnsi="Arial" w:cs="Arial"/>
                <w:color w:val="264A60"/>
                <w:sz w:val="18"/>
                <w:szCs w:val="18"/>
              </w:rPr>
            </w:pPr>
            <w:r>
              <w:rPr>
                <w:rFonts w:ascii="Arial" w:eastAsia="Arial" w:hAnsi="Arial" w:cs="Arial"/>
                <w:color w:val="264A60"/>
                <w:sz w:val="18"/>
                <w:szCs w:val="18"/>
              </w:rPr>
              <w:t>Female</w:t>
            </w:r>
          </w:p>
        </w:tc>
        <w:tc>
          <w:tcPr>
            <w:tcW w:w="1030" w:type="dxa"/>
            <w:vMerge/>
            <w:tcBorders>
              <w:top w:val="nil"/>
              <w:left w:val="single" w:sz="8" w:space="0" w:color="E0E0E0"/>
              <w:bottom w:val="nil"/>
              <w:right w:val="nil"/>
            </w:tcBorders>
            <w:shd w:val="clear" w:color="auto" w:fill="FFFFFF"/>
            <w:tcMar>
              <w:top w:w="0" w:type="dxa"/>
              <w:bottom w:w="0" w:type="dxa"/>
            </w:tcMar>
            <w:vAlign w:val="bottom"/>
          </w:tcPr>
          <w:p w:rsidR="004B1A88" w:rsidRDefault="004B1A88">
            <w:pPr>
              <w:widowControl w:val="0"/>
              <w:spacing w:line="276" w:lineRule="auto"/>
              <w:rPr>
                <w:rFonts w:ascii="Arial" w:eastAsia="Arial" w:hAnsi="Arial" w:cs="Arial"/>
                <w:color w:val="264A60"/>
                <w:sz w:val="18"/>
                <w:szCs w:val="18"/>
              </w:rPr>
            </w:pPr>
          </w:p>
        </w:tc>
      </w:tr>
      <w:tr w:rsidR="004B1A88">
        <w:tc>
          <w:tcPr>
            <w:tcW w:w="1583" w:type="dxa"/>
            <w:vMerge w:val="restart"/>
            <w:tcBorders>
              <w:top w:val="single" w:sz="8" w:space="0" w:color="152935"/>
              <w:left w:val="nil"/>
              <w:bottom w:val="nil"/>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proofErr w:type="spellStart"/>
            <w:r>
              <w:rPr>
                <w:rFonts w:ascii="Arial" w:eastAsia="Arial" w:hAnsi="Arial" w:cs="Arial"/>
                <w:color w:val="264A60"/>
                <w:sz w:val="18"/>
                <w:szCs w:val="18"/>
              </w:rPr>
              <w:t>bacterialgrowth</w:t>
            </w:r>
            <w:proofErr w:type="spellEnd"/>
          </w:p>
        </w:tc>
        <w:tc>
          <w:tcPr>
            <w:tcW w:w="737" w:type="dxa"/>
            <w:vMerge w:val="restart"/>
            <w:tcBorders>
              <w:top w:val="single" w:sz="8" w:space="0" w:color="152935"/>
              <w:left w:val="nil"/>
              <w:bottom w:val="nil"/>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1.00</w:t>
            </w:r>
          </w:p>
        </w:tc>
        <w:tc>
          <w:tcPr>
            <w:tcW w:w="2337" w:type="dxa"/>
            <w:tcBorders>
              <w:top w:val="single" w:sz="8" w:space="0" w:color="152935"/>
              <w:left w:val="nil"/>
              <w:bottom w:val="single" w:sz="8" w:space="0" w:color="AEAEAE"/>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030" w:type="dxa"/>
            <w:tcBorders>
              <w:top w:val="single" w:sz="8" w:space="0" w:color="152935"/>
              <w:left w:val="nil"/>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9</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030" w:type="dxa"/>
            <w:tcBorders>
              <w:top w:val="single" w:sz="8" w:space="0" w:color="152935"/>
              <w:left w:val="single" w:sz="8" w:space="0" w:color="E0E0E0"/>
              <w:bottom w:val="single" w:sz="8" w:space="0" w:color="AEAEAE"/>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11</w:t>
            </w:r>
          </w:p>
        </w:tc>
      </w:tr>
      <w:tr w:rsidR="004B1A88">
        <w:tc>
          <w:tcPr>
            <w:tcW w:w="1583" w:type="dxa"/>
            <w:vMerge/>
            <w:tcBorders>
              <w:top w:val="single" w:sz="8" w:space="0" w:color="152935"/>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737" w:type="dxa"/>
            <w:vMerge/>
            <w:tcBorders>
              <w:top w:val="single" w:sz="8" w:space="0" w:color="152935"/>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2337" w:type="dxa"/>
            <w:tcBorders>
              <w:top w:val="single" w:sz="8" w:space="0" w:color="AEAEAE"/>
              <w:left w:val="nil"/>
              <w:bottom w:val="single" w:sz="8" w:space="0" w:color="AEAEAE"/>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 xml:space="preserve">% within </w:t>
            </w:r>
            <w:proofErr w:type="spellStart"/>
            <w:r>
              <w:rPr>
                <w:rFonts w:ascii="Arial" w:eastAsia="Arial" w:hAnsi="Arial" w:cs="Arial"/>
                <w:color w:val="264A60"/>
                <w:sz w:val="18"/>
                <w:szCs w:val="18"/>
              </w:rPr>
              <w:t>bacterialgrowth</w:t>
            </w:r>
            <w:proofErr w:type="spellEnd"/>
          </w:p>
        </w:tc>
        <w:tc>
          <w:tcPr>
            <w:tcW w:w="103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81.8%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18.2%</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4B1A88">
        <w:tc>
          <w:tcPr>
            <w:tcW w:w="1583" w:type="dxa"/>
            <w:vMerge/>
            <w:tcBorders>
              <w:top w:val="single" w:sz="8" w:space="0" w:color="152935"/>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737" w:type="dxa"/>
            <w:vMerge/>
            <w:tcBorders>
              <w:top w:val="single" w:sz="8" w:space="0" w:color="152935"/>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2337" w:type="dxa"/>
            <w:tcBorders>
              <w:top w:val="single" w:sz="8" w:space="0" w:color="AEAEAE"/>
              <w:left w:val="nil"/>
              <w:bottom w:val="nil"/>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 within Gender</w:t>
            </w:r>
          </w:p>
        </w:tc>
        <w:tc>
          <w:tcPr>
            <w:tcW w:w="1030" w:type="dxa"/>
            <w:tcBorders>
              <w:top w:val="single" w:sz="8" w:space="0" w:color="AEAEAE"/>
              <w:left w:val="nil"/>
              <w:bottom w:val="nil"/>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75.0%</w:t>
            </w:r>
          </w:p>
        </w:tc>
        <w:tc>
          <w:tcPr>
            <w:tcW w:w="1030"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16.7%</w:t>
            </w:r>
          </w:p>
        </w:tc>
        <w:tc>
          <w:tcPr>
            <w:tcW w:w="1030" w:type="dxa"/>
            <w:tcBorders>
              <w:top w:val="single" w:sz="8" w:space="0" w:color="AEAEAE"/>
              <w:left w:val="single" w:sz="8" w:space="0" w:color="E0E0E0"/>
              <w:bottom w:val="nil"/>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45.8%</w:t>
            </w:r>
          </w:p>
        </w:tc>
      </w:tr>
      <w:tr w:rsidR="004B1A88">
        <w:tc>
          <w:tcPr>
            <w:tcW w:w="1583" w:type="dxa"/>
            <w:vMerge/>
            <w:tcBorders>
              <w:top w:val="single" w:sz="8" w:space="0" w:color="152935"/>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737" w:type="dxa"/>
            <w:vMerge w:val="restart"/>
            <w:tcBorders>
              <w:top w:val="single" w:sz="8" w:space="0" w:color="AEAEAE"/>
              <w:left w:val="nil"/>
              <w:bottom w:val="nil"/>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2.00</w:t>
            </w:r>
          </w:p>
        </w:tc>
        <w:tc>
          <w:tcPr>
            <w:tcW w:w="2337" w:type="dxa"/>
            <w:tcBorders>
              <w:top w:val="single" w:sz="8" w:space="0" w:color="AEAEAE"/>
              <w:left w:val="nil"/>
              <w:bottom w:val="single" w:sz="8" w:space="0" w:color="AEAEAE"/>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8</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11</w:t>
            </w:r>
          </w:p>
        </w:tc>
      </w:tr>
      <w:tr w:rsidR="004B1A88">
        <w:tc>
          <w:tcPr>
            <w:tcW w:w="1583" w:type="dxa"/>
            <w:vMerge/>
            <w:tcBorders>
              <w:top w:val="single" w:sz="8" w:space="0" w:color="152935"/>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737" w:type="dxa"/>
            <w:vMerge/>
            <w:tcBorders>
              <w:top w:val="single" w:sz="8" w:space="0" w:color="AEAEAE"/>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2337" w:type="dxa"/>
            <w:tcBorders>
              <w:top w:val="single" w:sz="8" w:space="0" w:color="AEAEAE"/>
              <w:left w:val="nil"/>
              <w:bottom w:val="single" w:sz="8" w:space="0" w:color="AEAEAE"/>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 xml:space="preserve">% within </w:t>
            </w:r>
            <w:proofErr w:type="spellStart"/>
            <w:r>
              <w:rPr>
                <w:rFonts w:ascii="Arial" w:eastAsia="Arial" w:hAnsi="Arial" w:cs="Arial"/>
                <w:color w:val="264A60"/>
                <w:sz w:val="18"/>
                <w:szCs w:val="18"/>
              </w:rPr>
              <w:t>bacterialgrowth</w:t>
            </w:r>
            <w:proofErr w:type="spellEnd"/>
          </w:p>
        </w:tc>
        <w:tc>
          <w:tcPr>
            <w:tcW w:w="103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27.3%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72.7%</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4B1A88">
        <w:tc>
          <w:tcPr>
            <w:tcW w:w="1583" w:type="dxa"/>
            <w:vMerge/>
            <w:tcBorders>
              <w:top w:val="single" w:sz="8" w:space="0" w:color="152935"/>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737" w:type="dxa"/>
            <w:vMerge/>
            <w:tcBorders>
              <w:top w:val="single" w:sz="8" w:space="0" w:color="AEAEAE"/>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2337" w:type="dxa"/>
            <w:tcBorders>
              <w:top w:val="single" w:sz="8" w:space="0" w:color="AEAEAE"/>
              <w:left w:val="nil"/>
              <w:bottom w:val="nil"/>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 within Gender</w:t>
            </w:r>
          </w:p>
        </w:tc>
        <w:tc>
          <w:tcPr>
            <w:tcW w:w="1030" w:type="dxa"/>
            <w:tcBorders>
              <w:top w:val="single" w:sz="8" w:space="0" w:color="AEAEAE"/>
              <w:left w:val="nil"/>
              <w:bottom w:val="nil"/>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25.0%</w:t>
            </w:r>
          </w:p>
        </w:tc>
        <w:tc>
          <w:tcPr>
            <w:tcW w:w="1030"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66.7%</w:t>
            </w:r>
          </w:p>
        </w:tc>
        <w:tc>
          <w:tcPr>
            <w:tcW w:w="1030" w:type="dxa"/>
            <w:tcBorders>
              <w:top w:val="single" w:sz="8" w:space="0" w:color="AEAEAE"/>
              <w:left w:val="single" w:sz="8" w:space="0" w:color="E0E0E0"/>
              <w:bottom w:val="nil"/>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45.8%</w:t>
            </w:r>
          </w:p>
        </w:tc>
      </w:tr>
      <w:tr w:rsidR="004B1A88">
        <w:tc>
          <w:tcPr>
            <w:tcW w:w="1583" w:type="dxa"/>
            <w:vMerge/>
            <w:tcBorders>
              <w:top w:val="single" w:sz="8" w:space="0" w:color="152935"/>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737" w:type="dxa"/>
            <w:vMerge w:val="restart"/>
            <w:tcBorders>
              <w:top w:val="single" w:sz="8" w:space="0" w:color="AEAEAE"/>
              <w:left w:val="nil"/>
              <w:bottom w:val="nil"/>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3.00</w:t>
            </w:r>
          </w:p>
        </w:tc>
        <w:tc>
          <w:tcPr>
            <w:tcW w:w="2337" w:type="dxa"/>
            <w:tcBorders>
              <w:top w:val="single" w:sz="8" w:space="0" w:color="AEAEAE"/>
              <w:left w:val="nil"/>
              <w:bottom w:val="single" w:sz="8" w:space="0" w:color="AEAEAE"/>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2</w:t>
            </w:r>
          </w:p>
        </w:tc>
      </w:tr>
      <w:tr w:rsidR="004B1A88">
        <w:tc>
          <w:tcPr>
            <w:tcW w:w="1583" w:type="dxa"/>
            <w:vMerge/>
            <w:tcBorders>
              <w:top w:val="single" w:sz="8" w:space="0" w:color="152935"/>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737" w:type="dxa"/>
            <w:vMerge/>
            <w:tcBorders>
              <w:top w:val="single" w:sz="8" w:space="0" w:color="AEAEAE"/>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2337" w:type="dxa"/>
            <w:tcBorders>
              <w:top w:val="single" w:sz="8" w:space="0" w:color="AEAEAE"/>
              <w:left w:val="nil"/>
              <w:bottom w:val="single" w:sz="8" w:space="0" w:color="AEAEAE"/>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 xml:space="preserve">% within </w:t>
            </w:r>
            <w:proofErr w:type="spellStart"/>
            <w:r>
              <w:rPr>
                <w:rFonts w:ascii="Arial" w:eastAsia="Arial" w:hAnsi="Arial" w:cs="Arial"/>
                <w:color w:val="264A60"/>
                <w:sz w:val="18"/>
                <w:szCs w:val="18"/>
              </w:rPr>
              <w:t>bacterialgrowth</w:t>
            </w:r>
            <w:proofErr w:type="spellEnd"/>
          </w:p>
        </w:tc>
        <w:tc>
          <w:tcPr>
            <w:tcW w:w="103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4B1A88">
        <w:tc>
          <w:tcPr>
            <w:tcW w:w="1583" w:type="dxa"/>
            <w:vMerge/>
            <w:tcBorders>
              <w:top w:val="single" w:sz="8" w:space="0" w:color="152935"/>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737" w:type="dxa"/>
            <w:vMerge/>
            <w:tcBorders>
              <w:top w:val="single" w:sz="8" w:space="0" w:color="AEAEAE"/>
              <w:left w:val="nil"/>
              <w:bottom w:val="nil"/>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2337" w:type="dxa"/>
            <w:tcBorders>
              <w:top w:val="single" w:sz="8" w:space="0" w:color="AEAEAE"/>
              <w:left w:val="nil"/>
              <w:bottom w:val="nil"/>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 within Gender</w:t>
            </w:r>
          </w:p>
        </w:tc>
        <w:tc>
          <w:tcPr>
            <w:tcW w:w="1030" w:type="dxa"/>
            <w:tcBorders>
              <w:top w:val="single" w:sz="8" w:space="0" w:color="AEAEAE"/>
              <w:left w:val="nil"/>
              <w:bottom w:val="nil"/>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0.0%</w:t>
            </w:r>
          </w:p>
        </w:tc>
        <w:tc>
          <w:tcPr>
            <w:tcW w:w="1030"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16.7%</w:t>
            </w:r>
          </w:p>
        </w:tc>
        <w:tc>
          <w:tcPr>
            <w:tcW w:w="1030" w:type="dxa"/>
            <w:tcBorders>
              <w:top w:val="single" w:sz="8" w:space="0" w:color="AEAEAE"/>
              <w:left w:val="single" w:sz="8" w:space="0" w:color="E0E0E0"/>
              <w:bottom w:val="nil"/>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8.3%</w:t>
            </w:r>
          </w:p>
        </w:tc>
      </w:tr>
      <w:tr w:rsidR="004B1A88">
        <w:tc>
          <w:tcPr>
            <w:tcW w:w="2320" w:type="dxa"/>
            <w:gridSpan w:val="2"/>
            <w:vMerge w:val="restart"/>
            <w:tcBorders>
              <w:top w:val="single" w:sz="8" w:space="0" w:color="AEAEAE"/>
              <w:left w:val="nil"/>
              <w:bottom w:val="single" w:sz="8" w:space="0" w:color="152935"/>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Total</w:t>
            </w:r>
          </w:p>
        </w:tc>
        <w:tc>
          <w:tcPr>
            <w:tcW w:w="2337" w:type="dxa"/>
            <w:tcBorders>
              <w:top w:val="single" w:sz="8" w:space="0" w:color="AEAEAE"/>
              <w:left w:val="nil"/>
              <w:bottom w:val="single" w:sz="8" w:space="0" w:color="AEAEAE"/>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12</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24</w:t>
            </w:r>
          </w:p>
        </w:tc>
      </w:tr>
      <w:tr w:rsidR="004B1A88">
        <w:tc>
          <w:tcPr>
            <w:tcW w:w="2320" w:type="dxa"/>
            <w:gridSpan w:val="2"/>
            <w:vMerge/>
            <w:tcBorders>
              <w:top w:val="single" w:sz="8" w:space="0" w:color="AEAEAE"/>
              <w:left w:val="nil"/>
              <w:bottom w:val="single" w:sz="8" w:space="0" w:color="152935"/>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2337" w:type="dxa"/>
            <w:tcBorders>
              <w:top w:val="single" w:sz="8" w:space="0" w:color="AEAEAE"/>
              <w:left w:val="nil"/>
              <w:bottom w:val="single" w:sz="8" w:space="0" w:color="AEAEAE"/>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 xml:space="preserve">% within </w:t>
            </w:r>
            <w:proofErr w:type="spellStart"/>
            <w:r>
              <w:rPr>
                <w:rFonts w:ascii="Arial" w:eastAsia="Arial" w:hAnsi="Arial" w:cs="Arial"/>
                <w:color w:val="264A60"/>
                <w:sz w:val="18"/>
                <w:szCs w:val="18"/>
              </w:rPr>
              <w:t>bacterialgrowth</w:t>
            </w:r>
            <w:proofErr w:type="spellEnd"/>
          </w:p>
        </w:tc>
        <w:tc>
          <w:tcPr>
            <w:tcW w:w="103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50.0%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50.0%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4B1A88">
        <w:tc>
          <w:tcPr>
            <w:tcW w:w="2320" w:type="dxa"/>
            <w:gridSpan w:val="2"/>
            <w:vMerge/>
            <w:tcBorders>
              <w:top w:val="single" w:sz="8" w:space="0" w:color="AEAEAE"/>
              <w:left w:val="nil"/>
              <w:bottom w:val="single" w:sz="8" w:space="0" w:color="152935"/>
              <w:right w:val="nil"/>
            </w:tcBorders>
            <w:shd w:val="clear" w:color="auto" w:fill="E0E0E0"/>
            <w:tcMar>
              <w:top w:w="0" w:type="dxa"/>
              <w:bottom w:w="0" w:type="dxa"/>
            </w:tcMar>
          </w:tcPr>
          <w:p w:rsidR="004B1A88" w:rsidRDefault="004B1A88">
            <w:pPr>
              <w:widowControl w:val="0"/>
              <w:spacing w:line="276" w:lineRule="auto"/>
              <w:rPr>
                <w:rFonts w:ascii="Arial" w:eastAsia="Arial" w:hAnsi="Arial" w:cs="Arial"/>
                <w:color w:val="010205"/>
                <w:sz w:val="18"/>
                <w:szCs w:val="18"/>
              </w:rPr>
            </w:pPr>
          </w:p>
        </w:tc>
        <w:tc>
          <w:tcPr>
            <w:tcW w:w="2337" w:type="dxa"/>
            <w:tcBorders>
              <w:top w:val="single" w:sz="8" w:space="0" w:color="AEAEAE"/>
              <w:left w:val="nil"/>
              <w:bottom w:val="single" w:sz="8" w:space="0" w:color="152935"/>
              <w:right w:val="nil"/>
            </w:tcBorders>
            <w:shd w:val="clear" w:color="auto" w:fill="E0E0E0"/>
            <w:tcMar>
              <w:top w:w="0" w:type="dxa"/>
              <w:bottom w:w="0" w:type="dxa"/>
            </w:tcMar>
          </w:tcPr>
          <w:p w:rsidR="004B1A88" w:rsidRDefault="000E6554">
            <w:pPr>
              <w:spacing w:line="276" w:lineRule="auto"/>
              <w:ind w:left="60" w:right="60"/>
              <w:rPr>
                <w:rFonts w:ascii="Arial" w:eastAsia="Arial" w:hAnsi="Arial" w:cs="Arial"/>
                <w:color w:val="264A60"/>
                <w:sz w:val="18"/>
                <w:szCs w:val="18"/>
              </w:rPr>
            </w:pPr>
            <w:r>
              <w:rPr>
                <w:rFonts w:ascii="Arial" w:eastAsia="Arial" w:hAnsi="Arial" w:cs="Arial"/>
                <w:color w:val="264A60"/>
                <w:sz w:val="18"/>
                <w:szCs w:val="18"/>
              </w:rPr>
              <w:t>% within Gender</w:t>
            </w:r>
          </w:p>
        </w:tc>
        <w:tc>
          <w:tcPr>
            <w:tcW w:w="1030" w:type="dxa"/>
            <w:tcBorders>
              <w:top w:val="single" w:sz="8" w:space="0" w:color="AEAEAE"/>
              <w:left w:val="nil"/>
              <w:bottom w:val="single" w:sz="8" w:space="0" w:color="152935"/>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Mar>
              <w:top w:w="0" w:type="dxa"/>
              <w:bottom w:w="0" w:type="dxa"/>
            </w:tcMar>
          </w:tcPr>
          <w:p w:rsidR="004B1A88" w:rsidRDefault="000E6554">
            <w:pPr>
              <w:spacing w:line="276" w:lineRule="auto"/>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bl>
    <w:p w:rsidR="004B1A88" w:rsidRDefault="000E6554">
      <w:pPr>
        <w:spacing w:line="276" w:lineRule="auto"/>
      </w:pPr>
      <w:r>
        <w:t>Table 2</w:t>
      </w:r>
      <w:r w:rsidR="00CB196A">
        <w:t>.</w:t>
      </w:r>
    </w:p>
    <w:p w:rsidR="004B1A88" w:rsidRDefault="000E6554">
      <w:r>
        <w:rPr>
          <w:noProof/>
        </w:rPr>
        <w:drawing>
          <wp:inline distT="0" distB="0" distL="0" distR="0">
            <wp:extent cx="5274000" cy="30988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5274000" cy="3098800"/>
                    </a:xfrm>
                    <a:prstGeom prst="rect">
                      <a:avLst/>
                    </a:prstGeom>
                    <a:ln/>
                  </pic:spPr>
                </pic:pic>
              </a:graphicData>
            </a:graphic>
          </wp:inline>
        </w:drawing>
      </w:r>
    </w:p>
    <w:p w:rsidR="004B1A88" w:rsidRDefault="000E6554" w:rsidP="00CB196A">
      <w:pPr>
        <w:spacing w:line="360" w:lineRule="auto"/>
        <w:jc w:val="both"/>
      </w:pPr>
      <w:r>
        <w:rPr>
          <w:b/>
        </w:rPr>
        <w:t xml:space="preserve">Figure </w:t>
      </w:r>
      <w:r w:rsidR="00CB196A">
        <w:rPr>
          <w:b/>
        </w:rPr>
        <w:t>1</w:t>
      </w:r>
    </w:p>
    <w:p w:rsidR="004B1A88" w:rsidRDefault="004B1A88">
      <w:pPr>
        <w:spacing w:line="360" w:lineRule="auto"/>
        <w:jc w:val="both"/>
      </w:pPr>
    </w:p>
    <w:p w:rsidR="004B1A88" w:rsidRDefault="000E6554">
      <w:pPr>
        <w:spacing w:line="360" w:lineRule="auto"/>
        <w:jc w:val="both"/>
      </w:pPr>
      <w:r>
        <w:t xml:space="preserve">Table 2 reveals the P-value of asymptomatic bacterial growth in. both genders is (0.004).  </w:t>
      </w:r>
    </w:p>
    <w:p w:rsidR="004B1A88" w:rsidRDefault="000E6554">
      <w:pPr>
        <w:spacing w:line="360" w:lineRule="auto"/>
        <w:jc w:val="both"/>
      </w:pPr>
      <w:r>
        <w:t xml:space="preserve"> </w:t>
      </w:r>
    </w:p>
    <w:p w:rsidR="003241BF" w:rsidRDefault="004661EE" w:rsidP="003241BF">
      <w:pPr>
        <w:spacing w:line="360" w:lineRule="auto"/>
        <w:jc w:val="both"/>
      </w:pPr>
      <w:r>
        <w:rPr>
          <w:noProof/>
        </w:rPr>
        <w:drawing>
          <wp:anchor distT="0" distB="0" distL="114300" distR="114300" simplePos="0" relativeHeight="251660288" behindDoc="0" locked="0" layoutInCell="1" allowOverlap="1">
            <wp:simplePos x="0" y="0"/>
            <wp:positionH relativeFrom="column">
              <wp:posOffset>1905</wp:posOffset>
            </wp:positionH>
            <wp:positionV relativeFrom="paragraph">
              <wp:posOffset>64135</wp:posOffset>
            </wp:positionV>
            <wp:extent cx="5274310" cy="1980565"/>
            <wp:effectExtent l="0" t="0" r="2540" b="63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74310" cy="1980565"/>
                    </a:xfrm>
                    <a:prstGeom prst="rect">
                      <a:avLst/>
                    </a:prstGeom>
                  </pic:spPr>
                </pic:pic>
              </a:graphicData>
            </a:graphic>
            <wp14:sizeRelV relativeFrom="margin">
              <wp14:pctHeight>0</wp14:pctHeight>
            </wp14:sizeRelV>
          </wp:anchor>
        </w:drawing>
      </w:r>
      <w:r w:rsidR="0010685A">
        <w:t xml:space="preserve">Taple3 ( </w:t>
      </w:r>
      <w:r w:rsidR="0059438D">
        <w:t xml:space="preserve"> The </w:t>
      </w:r>
      <w:r w:rsidR="0010685A">
        <w:t>summary taple).</w:t>
      </w:r>
    </w:p>
    <w:p w:rsidR="004661EE" w:rsidRDefault="004661EE">
      <w:pPr>
        <w:spacing w:line="360" w:lineRule="auto"/>
        <w:jc w:val="both"/>
      </w:pPr>
    </w:p>
    <w:p w:rsidR="004661EE" w:rsidRDefault="004661EE">
      <w:pPr>
        <w:spacing w:line="360" w:lineRule="auto"/>
        <w:jc w:val="both"/>
      </w:pPr>
    </w:p>
    <w:p w:rsidR="00E86491" w:rsidRDefault="000E6554" w:rsidP="00E86491">
      <w:pPr>
        <w:spacing w:line="360" w:lineRule="auto"/>
        <w:jc w:val="both"/>
      </w:pPr>
      <w:r>
        <w:t xml:space="preserve">Asymptomatic </w:t>
      </w:r>
      <w:proofErr w:type="spellStart"/>
      <w:r>
        <w:t>bacteriuria</w:t>
      </w:r>
      <w:proofErr w:type="spellEnd"/>
      <w:r>
        <w:t xml:space="preserve"> is affected by the age, sexual identity, sexual behaviors</w:t>
      </w:r>
      <w:r w:rsidR="00274905">
        <w:t>(</w:t>
      </w:r>
      <w:r w:rsidR="00BA76DE">
        <w:t>is very common in clinical practice</w:t>
      </w:r>
      <w:r w:rsidR="0069149C">
        <w:t>)</w:t>
      </w:r>
      <w:r>
        <w:t xml:space="preserve">, </w:t>
      </w:r>
      <w:r w:rsidR="00E86491">
        <w:t xml:space="preserve">and the existence of urogenital inconsistencies, When women are in decent shape, the incidence of </w:t>
      </w:r>
      <w:proofErr w:type="spellStart"/>
      <w:r w:rsidR="00E86491">
        <w:t>bacteriuria</w:t>
      </w:r>
      <w:proofErr w:type="spellEnd"/>
      <w:r w:rsidR="00E86491">
        <w:t xml:space="preserve"> rises with age, from about 1% in girls aged 5 to 14 to more than 30% in community-dwelling women over the age of 80( as high as 40 to 50 percent after age 80).</w:t>
      </w:r>
    </w:p>
    <w:p w:rsidR="00E86491" w:rsidRDefault="00E86491" w:rsidP="00E86491">
      <w:pPr>
        <w:spacing w:line="360" w:lineRule="auto"/>
        <w:jc w:val="both"/>
      </w:pPr>
      <w:r>
        <w:t>and  the incidence is 15 percent or greater in men age 65 to 80 (That is, the incidence of infection increases with age in both sexes, but at different rates).</w:t>
      </w:r>
    </w:p>
    <w:p w:rsidR="00E86491" w:rsidRDefault="00E86491" w:rsidP="00E86491">
      <w:pPr>
        <w:spacing w:line="360" w:lineRule="auto"/>
        <w:jc w:val="both"/>
      </w:pPr>
    </w:p>
    <w:p w:rsidR="00EE21AE" w:rsidRDefault="00E86491" w:rsidP="00E86491">
      <w:pPr>
        <w:spacing w:line="360" w:lineRule="auto"/>
        <w:jc w:val="both"/>
      </w:pPr>
      <w:r>
        <w:t xml:space="preserve"> 4 Only three male samples have bacterial growth, compared to nine female samples, which is consistent with previous findings. This demonstrates a clear gender divide</w:t>
      </w:r>
      <w:r w:rsidR="00967942">
        <w:t xml:space="preserve"> </w:t>
      </w:r>
      <w:r w:rsidR="00EE21AE">
        <w:t>.</w:t>
      </w:r>
    </w:p>
    <w:p w:rsidR="00EE21AE" w:rsidRDefault="00BA0324" w:rsidP="00BA0324">
      <w:pPr>
        <w:spacing w:line="360" w:lineRule="auto"/>
        <w:jc w:val="both"/>
      </w:pPr>
      <w:r>
        <w:t xml:space="preserve">In male </w:t>
      </w:r>
      <w:r w:rsidRPr="00BA0324">
        <w:t xml:space="preserve">Prostate biopsies may occasionally be done through the urethra or perineum, but the most common approach used to both genders is through the rectum. The </w:t>
      </w:r>
      <w:proofErr w:type="spellStart"/>
      <w:r w:rsidRPr="00BA0324">
        <w:t>transrectal</w:t>
      </w:r>
      <w:proofErr w:type="spellEnd"/>
      <w:r w:rsidRPr="00BA0324">
        <w:t xml:space="preserve"> approach presents the possibility of additional infectious complications, e.g., ASB or UTI, prostatitis, bacteremia, and/or sepsis, following the procedure. Infection is caused by bacteria present in the rectum prior to the biopsy procedure that are seeded into the prostate, bladder, and/or bloodstream by the hollow-core biopsy needle that passes through the rectum into the prostate/bladder. Studies suggest that </w:t>
      </w:r>
      <w:proofErr w:type="spellStart"/>
      <w:r w:rsidRPr="00BA0324">
        <w:t>prebiopsy</w:t>
      </w:r>
      <w:proofErr w:type="spellEnd"/>
      <w:r w:rsidRPr="00BA0324">
        <w:t xml:space="preserve"> urine culture to screen for ASB is unnecessary, except perhaps in men with a history of UTI or urinary retention.</w:t>
      </w:r>
    </w:p>
    <w:p w:rsidR="004B1A88" w:rsidRDefault="00967942" w:rsidP="00E86491">
      <w:pPr>
        <w:spacing w:line="360" w:lineRule="auto"/>
        <w:jc w:val="both"/>
      </w:pPr>
      <w:r>
        <w:t>.</w:t>
      </w:r>
      <w:r w:rsidR="002A0DCC">
        <w:t xml:space="preserve">According to  another study conducted in the Asian country of  Iran , The overall prevalence of  ASB among pregnant women was 0.13 (95% CI: 0.09, 0.17) .The prevalence of ASB in the northern and southern regions of Iran was 0.13 (95% CI: 0.09, 0.18) and 0.11 (95% CI: 0.05, 0.16), </w:t>
      </w:r>
      <w:r w:rsidR="000D140F">
        <w:t>respectively.</w:t>
      </w:r>
      <w:r w:rsidR="000E6554">
        <w:t xml:space="preserve"> According to the quality based on STROBE checklist, the included studies were divided into three categories: 1 study (5%) had high quality, 12 studies (60%) had intermediate quality, and 7 studies (35%) had low quality. The prevalence of ASB in intermediate quality studies (0.14; 95% CI: 0.08, 0.21) was higher than studies with low quality (0.10; 95% CI: 0.08, 0.13). According to date of study conduction, included studies were divided into two groups: studies conducted from 1996 to 2005 (40%) and studies conducted from 2006 to 2013 (60%)</w:t>
      </w:r>
    </w:p>
    <w:p w:rsidR="004B1A88" w:rsidRDefault="000E6554">
      <w:pPr>
        <w:spacing w:line="360" w:lineRule="auto"/>
        <w:jc w:val="both"/>
      </w:pPr>
      <w:r>
        <w:t xml:space="preserve">The results of this meta-analysis showed 13% of pregnant women in Iran had ASB. Our results indicated the difference in prevalence of ASB according to the date of study conduction in Iran was not considerable. Prevalence in recent studies (13%) was slightly lower than older studies (14%). In addition, the prevalence of ASB in southern regions was lower than northern regions. However, the difference was not substantia </w:t>
      </w:r>
      <w:r w:rsidR="00817468">
        <w:t>.</w:t>
      </w:r>
    </w:p>
    <w:p w:rsidR="009303F2" w:rsidRDefault="009303F2" w:rsidP="005B6B6F">
      <w:pPr>
        <w:spacing w:line="360" w:lineRule="auto"/>
        <w:jc w:val="both"/>
        <w:rPr>
          <w:sz w:val="22"/>
          <w:szCs w:val="22"/>
        </w:rPr>
      </w:pPr>
    </w:p>
    <w:p w:rsidR="004B1A88" w:rsidRDefault="004B1A88">
      <w:pPr>
        <w:spacing w:line="360" w:lineRule="auto"/>
        <w:jc w:val="both"/>
        <w:rPr>
          <w:b/>
        </w:rPr>
      </w:pPr>
    </w:p>
    <w:p w:rsidR="00CB064A" w:rsidRDefault="000E6554" w:rsidP="00CB064A">
      <w:pPr>
        <w:spacing w:line="360" w:lineRule="auto"/>
        <w:jc w:val="both"/>
        <w:rPr>
          <w:b/>
        </w:rPr>
      </w:pPr>
      <w:r>
        <w:rPr>
          <w:b/>
        </w:rPr>
        <w:t>Conclusion</w:t>
      </w:r>
    </w:p>
    <w:p w:rsidR="008E33BA" w:rsidRPr="000E50BD" w:rsidRDefault="00720516" w:rsidP="000E50BD">
      <w:pPr>
        <w:rPr>
          <w:bCs/>
          <w:sz w:val="28"/>
          <w:szCs w:val="28"/>
        </w:rPr>
      </w:pPr>
      <w:r w:rsidRPr="000E50BD">
        <w:rPr>
          <w:bCs/>
          <w:sz w:val="28"/>
          <w:szCs w:val="28"/>
        </w:rPr>
        <w:t xml:space="preserve">Systematic treatment of asymptomatic </w:t>
      </w:r>
      <w:proofErr w:type="spellStart"/>
      <w:r w:rsidRPr="000E50BD">
        <w:rPr>
          <w:bCs/>
          <w:sz w:val="28"/>
          <w:szCs w:val="28"/>
        </w:rPr>
        <w:t>bacteriuria</w:t>
      </w:r>
      <w:proofErr w:type="spellEnd"/>
      <w:r w:rsidRPr="000E50BD">
        <w:rPr>
          <w:bCs/>
          <w:sz w:val="28"/>
          <w:szCs w:val="28"/>
        </w:rPr>
        <w:t xml:space="preserve"> is not recommended, and it is associated with a higher probability of </w:t>
      </w:r>
      <w:r w:rsidR="00162116" w:rsidRPr="000E50BD">
        <w:rPr>
          <w:bCs/>
          <w:sz w:val="28"/>
          <w:szCs w:val="28"/>
        </w:rPr>
        <w:t xml:space="preserve">the </w:t>
      </w:r>
      <w:r w:rsidRPr="000E50BD">
        <w:rPr>
          <w:bCs/>
          <w:sz w:val="28"/>
          <w:szCs w:val="28"/>
        </w:rPr>
        <w:t xml:space="preserve">symptomatic UTI and a higher prevalence of antibiotic-resistant </w:t>
      </w:r>
      <w:r w:rsidR="00222E91" w:rsidRPr="000E50BD">
        <w:rPr>
          <w:bCs/>
          <w:sz w:val="28"/>
          <w:szCs w:val="28"/>
        </w:rPr>
        <w:t xml:space="preserve">bacteria. But </w:t>
      </w:r>
      <w:r w:rsidR="008E33BA" w:rsidRPr="000E50BD">
        <w:rPr>
          <w:bCs/>
          <w:sz w:val="28"/>
          <w:szCs w:val="28"/>
        </w:rPr>
        <w:t>with</w:t>
      </w:r>
      <w:r w:rsidR="00C96248" w:rsidRPr="000E50BD">
        <w:rPr>
          <w:bCs/>
          <w:sz w:val="28"/>
          <w:szCs w:val="28"/>
        </w:rPr>
        <w:t xml:space="preserve"> </w:t>
      </w:r>
      <w:r w:rsidR="008E33BA" w:rsidRPr="000E50BD">
        <w:rPr>
          <w:bCs/>
          <w:sz w:val="28"/>
          <w:szCs w:val="28"/>
        </w:rPr>
        <w:t>some exceptions:</w:t>
      </w:r>
    </w:p>
    <w:p w:rsidR="00875DDA" w:rsidRPr="000E50BD" w:rsidRDefault="008E33BA" w:rsidP="000E50BD">
      <w:pPr>
        <w:rPr>
          <w:bCs/>
          <w:sz w:val="28"/>
          <w:szCs w:val="28"/>
        </w:rPr>
      </w:pPr>
      <w:r w:rsidRPr="000E50BD">
        <w:rPr>
          <w:bCs/>
          <w:sz w:val="28"/>
          <w:szCs w:val="28"/>
        </w:rPr>
        <w:t xml:space="preserve"> like a </w:t>
      </w:r>
      <w:r w:rsidR="00610C3E">
        <w:rPr>
          <w:bCs/>
          <w:sz w:val="28"/>
          <w:szCs w:val="28"/>
        </w:rPr>
        <w:t>:</w:t>
      </w:r>
    </w:p>
    <w:p w:rsidR="003F7CDE" w:rsidRPr="000E50BD" w:rsidRDefault="00875DDA" w:rsidP="000E50BD">
      <w:pPr>
        <w:rPr>
          <w:bCs/>
          <w:sz w:val="28"/>
          <w:szCs w:val="28"/>
        </w:rPr>
      </w:pPr>
      <w:r w:rsidRPr="000E50BD">
        <w:rPr>
          <w:bCs/>
          <w:sz w:val="28"/>
          <w:szCs w:val="28"/>
        </w:rPr>
        <w:t>1/</w:t>
      </w:r>
      <w:r w:rsidR="008E33BA" w:rsidRPr="000E50BD">
        <w:rPr>
          <w:bCs/>
          <w:sz w:val="28"/>
          <w:szCs w:val="28"/>
        </w:rPr>
        <w:t xml:space="preserve"> pregnant patients</w:t>
      </w:r>
      <w:r w:rsidR="003F7CDE" w:rsidRPr="000E50BD">
        <w:rPr>
          <w:bCs/>
          <w:sz w:val="28"/>
          <w:szCs w:val="28"/>
        </w:rPr>
        <w:t xml:space="preserve"> :</w:t>
      </w:r>
    </w:p>
    <w:p w:rsidR="00091974" w:rsidRPr="000E50BD" w:rsidRDefault="008E33BA" w:rsidP="000E50BD">
      <w:pPr>
        <w:rPr>
          <w:bCs/>
          <w:sz w:val="28"/>
          <w:szCs w:val="28"/>
        </w:rPr>
      </w:pPr>
      <w:r w:rsidRPr="000E50BD">
        <w:rPr>
          <w:bCs/>
          <w:sz w:val="28"/>
          <w:szCs w:val="28"/>
        </w:rPr>
        <w:t>treatment prevents preterm labor and pyelonephritis.</w:t>
      </w:r>
    </w:p>
    <w:p w:rsidR="008E33BA" w:rsidRPr="000E50BD" w:rsidRDefault="00875DDA" w:rsidP="000E50BD">
      <w:pPr>
        <w:rPr>
          <w:bCs/>
          <w:sz w:val="28"/>
          <w:szCs w:val="28"/>
        </w:rPr>
      </w:pPr>
      <w:r w:rsidRPr="000E50BD">
        <w:rPr>
          <w:bCs/>
          <w:sz w:val="28"/>
          <w:szCs w:val="28"/>
        </w:rPr>
        <w:t xml:space="preserve">2/ </w:t>
      </w:r>
      <w:r w:rsidR="008E33BA" w:rsidRPr="000E50BD">
        <w:rPr>
          <w:bCs/>
          <w:sz w:val="28"/>
          <w:szCs w:val="28"/>
        </w:rPr>
        <w:t>Patients about to undergo a urologic procedure in which mucosal bleeding is expected</w:t>
      </w:r>
    </w:p>
    <w:p w:rsidR="00875DDA" w:rsidRPr="000E50BD" w:rsidRDefault="008E33BA" w:rsidP="000E50BD">
      <w:pPr>
        <w:rPr>
          <w:bCs/>
          <w:sz w:val="28"/>
          <w:szCs w:val="28"/>
        </w:rPr>
      </w:pPr>
      <w:r w:rsidRPr="000E50BD">
        <w:rPr>
          <w:bCs/>
          <w:sz w:val="28"/>
          <w:szCs w:val="28"/>
        </w:rPr>
        <w:t>(not urinary catheter placement): treatment prevents urosepsis</w:t>
      </w:r>
      <w:r w:rsidR="00473FA6" w:rsidRPr="000E50BD">
        <w:rPr>
          <w:bCs/>
          <w:sz w:val="28"/>
          <w:szCs w:val="28"/>
        </w:rPr>
        <w:t>.</w:t>
      </w:r>
      <w:r w:rsidR="00720516" w:rsidRPr="000E50BD">
        <w:rPr>
          <w:bCs/>
          <w:sz w:val="28"/>
          <w:szCs w:val="28"/>
        </w:rPr>
        <w:t xml:space="preserve"> </w:t>
      </w:r>
    </w:p>
    <w:p w:rsidR="007565C3" w:rsidRPr="000E50BD" w:rsidRDefault="00720516" w:rsidP="008E33BA">
      <w:pPr>
        <w:spacing w:line="360" w:lineRule="auto"/>
        <w:jc w:val="both"/>
        <w:rPr>
          <w:bCs/>
          <w:sz w:val="28"/>
          <w:szCs w:val="28"/>
        </w:rPr>
      </w:pPr>
      <w:r w:rsidRPr="000E50BD">
        <w:rPr>
          <w:bCs/>
          <w:sz w:val="28"/>
          <w:szCs w:val="28"/>
        </w:rPr>
        <w:t xml:space="preserve">Improving the diagnosis of asymptomatic </w:t>
      </w:r>
      <w:proofErr w:type="spellStart"/>
      <w:r w:rsidRPr="000E50BD">
        <w:rPr>
          <w:bCs/>
          <w:sz w:val="28"/>
          <w:szCs w:val="28"/>
        </w:rPr>
        <w:t>bacteriuria</w:t>
      </w:r>
      <w:proofErr w:type="spellEnd"/>
      <w:r w:rsidRPr="000E50BD">
        <w:rPr>
          <w:bCs/>
          <w:sz w:val="28"/>
          <w:szCs w:val="28"/>
        </w:rPr>
        <w:t xml:space="preserve"> and optimizing the management of recurrent urinary tract infections, especially through non-antibiotic measures, are needed in order to minimise antimicrobial resistance.</w:t>
      </w:r>
    </w:p>
    <w:p w:rsidR="008F379D" w:rsidRPr="000E50BD" w:rsidRDefault="007565C3" w:rsidP="00C26388">
      <w:pPr>
        <w:spacing w:line="360" w:lineRule="auto"/>
        <w:jc w:val="both"/>
        <w:rPr>
          <w:bCs/>
          <w:sz w:val="28"/>
          <w:szCs w:val="28"/>
        </w:rPr>
      </w:pPr>
      <w:r w:rsidRPr="000E50BD">
        <w:rPr>
          <w:bCs/>
          <w:sz w:val="28"/>
          <w:szCs w:val="28"/>
        </w:rPr>
        <w:t>The</w:t>
      </w:r>
      <w:r w:rsidR="008B7A33" w:rsidRPr="000E50BD">
        <w:rPr>
          <w:bCs/>
          <w:sz w:val="28"/>
          <w:szCs w:val="28"/>
        </w:rPr>
        <w:t xml:space="preserve"> </w:t>
      </w:r>
      <w:r w:rsidR="000E6554" w:rsidRPr="000E50BD">
        <w:rPr>
          <w:bCs/>
          <w:sz w:val="28"/>
          <w:szCs w:val="28"/>
        </w:rPr>
        <w:t>results of this report indicated the prevalence of</w:t>
      </w:r>
      <w:r w:rsidR="00472BCC" w:rsidRPr="000E50BD">
        <w:rPr>
          <w:bCs/>
          <w:sz w:val="28"/>
          <w:szCs w:val="28"/>
        </w:rPr>
        <w:t xml:space="preserve"> </w:t>
      </w:r>
      <w:r w:rsidR="000E6554" w:rsidRPr="000E50BD">
        <w:rPr>
          <w:bCs/>
          <w:sz w:val="28"/>
          <w:szCs w:val="28"/>
        </w:rPr>
        <w:t xml:space="preserve"> </w:t>
      </w:r>
      <w:r w:rsidR="004275EE" w:rsidRPr="000E50BD">
        <w:rPr>
          <w:bCs/>
          <w:sz w:val="28"/>
          <w:szCs w:val="28"/>
        </w:rPr>
        <w:t xml:space="preserve"> </w:t>
      </w:r>
      <w:r w:rsidR="00685BBD" w:rsidRPr="000E50BD">
        <w:rPr>
          <w:bCs/>
          <w:sz w:val="28"/>
          <w:szCs w:val="28"/>
        </w:rPr>
        <w:t xml:space="preserve">Asymptomatic </w:t>
      </w:r>
      <w:proofErr w:type="spellStart"/>
      <w:r w:rsidR="00685BBD" w:rsidRPr="000E50BD">
        <w:rPr>
          <w:bCs/>
          <w:sz w:val="28"/>
          <w:szCs w:val="28"/>
        </w:rPr>
        <w:t>bacteriuria</w:t>
      </w:r>
      <w:proofErr w:type="spellEnd"/>
      <w:r w:rsidR="00685BBD" w:rsidRPr="000E50BD">
        <w:rPr>
          <w:bCs/>
          <w:sz w:val="28"/>
          <w:szCs w:val="28"/>
        </w:rPr>
        <w:t xml:space="preserve"> </w:t>
      </w:r>
      <w:r w:rsidR="000E6554" w:rsidRPr="000E50BD">
        <w:rPr>
          <w:bCs/>
          <w:sz w:val="28"/>
          <w:szCs w:val="28"/>
        </w:rPr>
        <w:t>ASB among</w:t>
      </w:r>
      <w:r w:rsidR="00C26388" w:rsidRPr="000E50BD">
        <w:rPr>
          <w:bCs/>
          <w:sz w:val="28"/>
          <w:szCs w:val="28"/>
        </w:rPr>
        <w:t xml:space="preserve"> </w:t>
      </w:r>
      <w:r w:rsidR="008F379D" w:rsidRPr="000E50BD">
        <w:rPr>
          <w:bCs/>
          <w:sz w:val="28"/>
          <w:szCs w:val="28"/>
        </w:rPr>
        <w:t>women is considerable, thus  preventative planning and control of ASB among women is essential and extremely important globally .</w:t>
      </w:r>
    </w:p>
    <w:p w:rsidR="008F379D" w:rsidRDefault="008F379D" w:rsidP="005B6B6F">
      <w:pPr>
        <w:spacing w:line="360" w:lineRule="auto"/>
        <w:jc w:val="both"/>
        <w:rPr>
          <w:b/>
          <w:sz w:val="28"/>
          <w:szCs w:val="28"/>
        </w:rPr>
      </w:pPr>
    </w:p>
    <w:p w:rsidR="008F379D" w:rsidRDefault="008F379D" w:rsidP="005B6B6F">
      <w:pPr>
        <w:spacing w:line="360" w:lineRule="auto"/>
        <w:jc w:val="both"/>
        <w:rPr>
          <w:b/>
          <w:sz w:val="28"/>
          <w:szCs w:val="28"/>
        </w:rPr>
      </w:pPr>
    </w:p>
    <w:p w:rsidR="008F379D" w:rsidRDefault="008F379D" w:rsidP="005B6B6F">
      <w:pPr>
        <w:spacing w:line="360" w:lineRule="auto"/>
        <w:jc w:val="both"/>
        <w:rPr>
          <w:b/>
          <w:sz w:val="28"/>
          <w:szCs w:val="28"/>
        </w:rPr>
      </w:pPr>
    </w:p>
    <w:p w:rsidR="008F379D" w:rsidRDefault="008F379D" w:rsidP="005B6B6F">
      <w:pPr>
        <w:spacing w:line="360" w:lineRule="auto"/>
        <w:jc w:val="both"/>
        <w:rPr>
          <w:b/>
          <w:sz w:val="28"/>
          <w:szCs w:val="28"/>
        </w:rPr>
      </w:pPr>
    </w:p>
    <w:p w:rsidR="008F379D" w:rsidRDefault="008F379D" w:rsidP="005B6B6F">
      <w:pPr>
        <w:spacing w:line="360" w:lineRule="auto"/>
        <w:jc w:val="both"/>
        <w:rPr>
          <w:b/>
          <w:sz w:val="28"/>
          <w:szCs w:val="28"/>
        </w:rPr>
      </w:pPr>
    </w:p>
    <w:p w:rsidR="008F379D" w:rsidRDefault="008F379D" w:rsidP="005B6B6F">
      <w:pPr>
        <w:spacing w:line="360" w:lineRule="auto"/>
        <w:jc w:val="both"/>
        <w:rPr>
          <w:b/>
          <w:sz w:val="28"/>
          <w:szCs w:val="28"/>
        </w:rPr>
      </w:pPr>
      <w:r>
        <w:rPr>
          <w:b/>
          <w:sz w:val="28"/>
          <w:szCs w:val="28"/>
        </w:rPr>
        <w:t xml:space="preserve"> </w:t>
      </w:r>
    </w:p>
    <w:p w:rsidR="008F379D" w:rsidRDefault="008F379D" w:rsidP="005B6B6F">
      <w:pPr>
        <w:spacing w:line="360" w:lineRule="auto"/>
        <w:jc w:val="both"/>
        <w:rPr>
          <w:b/>
          <w:sz w:val="28"/>
          <w:szCs w:val="28"/>
        </w:rPr>
      </w:pPr>
    </w:p>
    <w:p w:rsidR="008F379D" w:rsidRDefault="008F379D" w:rsidP="005B6B6F">
      <w:pPr>
        <w:spacing w:line="360" w:lineRule="auto"/>
        <w:jc w:val="both"/>
        <w:rPr>
          <w:b/>
          <w:sz w:val="28"/>
          <w:szCs w:val="28"/>
        </w:rPr>
      </w:pPr>
    </w:p>
    <w:p w:rsidR="008F379D" w:rsidRDefault="008F379D" w:rsidP="005B6B6F">
      <w:pPr>
        <w:spacing w:line="360" w:lineRule="auto"/>
        <w:jc w:val="both"/>
        <w:rPr>
          <w:b/>
          <w:sz w:val="28"/>
          <w:szCs w:val="28"/>
        </w:rPr>
      </w:pPr>
    </w:p>
    <w:p w:rsidR="008F379D" w:rsidRDefault="008F379D" w:rsidP="00CB064A">
      <w:pPr>
        <w:spacing w:line="360" w:lineRule="auto"/>
        <w:jc w:val="both"/>
        <w:rPr>
          <w:sz w:val="22"/>
          <w:szCs w:val="22"/>
        </w:rPr>
      </w:pPr>
    </w:p>
    <w:p w:rsidR="000F59AD" w:rsidRDefault="000E6554" w:rsidP="005B6B6F">
      <w:pPr>
        <w:spacing w:line="360" w:lineRule="auto"/>
        <w:jc w:val="both"/>
        <w:rPr>
          <w:b/>
          <w:sz w:val="28"/>
          <w:szCs w:val="28"/>
        </w:rPr>
      </w:pPr>
      <w:r>
        <w:rPr>
          <w:sz w:val="22"/>
          <w:szCs w:val="22"/>
        </w:rPr>
        <w:t xml:space="preserve"> </w:t>
      </w:r>
    </w:p>
    <w:p w:rsidR="004B1A88" w:rsidRDefault="000E6554" w:rsidP="000F59AD">
      <w:pPr>
        <w:spacing w:line="360" w:lineRule="auto"/>
        <w:jc w:val="both"/>
        <w:rPr>
          <w:b/>
          <w:sz w:val="28"/>
          <w:szCs w:val="28"/>
        </w:rPr>
      </w:pPr>
      <w:r>
        <w:rPr>
          <w:b/>
          <w:sz w:val="28"/>
          <w:szCs w:val="28"/>
        </w:rPr>
        <w:t>References</w:t>
      </w:r>
    </w:p>
    <w:p w:rsidR="004B1A88" w:rsidRDefault="000E6554">
      <w:pPr>
        <w:numPr>
          <w:ilvl w:val="0"/>
          <w:numId w:val="1"/>
        </w:numPr>
        <w:pBdr>
          <w:top w:val="nil"/>
          <w:left w:val="nil"/>
          <w:bottom w:val="nil"/>
          <w:right w:val="nil"/>
          <w:between w:val="nil"/>
        </w:pBdr>
        <w:spacing w:line="360" w:lineRule="auto"/>
        <w:jc w:val="both"/>
        <w:rPr>
          <w:rFonts w:ascii="Calibri" w:eastAsia="Calibri" w:hAnsi="Calibri" w:cs="Calibri"/>
          <w:color w:val="000000"/>
        </w:rPr>
      </w:pPr>
      <w:proofErr w:type="spellStart"/>
      <w:r>
        <w:rPr>
          <w:rFonts w:ascii="Calibri" w:eastAsia="Calibri" w:hAnsi="Calibri" w:cs="Calibri"/>
          <w:color w:val="000000"/>
        </w:rPr>
        <w:t>Ghafari</w:t>
      </w:r>
      <w:proofErr w:type="spellEnd"/>
      <w:r>
        <w:rPr>
          <w:rFonts w:ascii="Calibri" w:eastAsia="Calibri" w:hAnsi="Calibri" w:cs="Calibri"/>
          <w:color w:val="000000"/>
        </w:rPr>
        <w:t xml:space="preserve"> M, </w:t>
      </w:r>
      <w:proofErr w:type="spellStart"/>
      <w:r>
        <w:rPr>
          <w:rFonts w:ascii="Calibri" w:eastAsia="Calibri" w:hAnsi="Calibri" w:cs="Calibri"/>
          <w:color w:val="000000"/>
        </w:rPr>
        <w:t>Baigi</w:t>
      </w:r>
      <w:proofErr w:type="spellEnd"/>
      <w:r>
        <w:rPr>
          <w:rFonts w:ascii="Calibri" w:eastAsia="Calibri" w:hAnsi="Calibri" w:cs="Calibri"/>
          <w:color w:val="000000"/>
        </w:rPr>
        <w:t xml:space="preserve"> V, </w:t>
      </w:r>
      <w:proofErr w:type="spellStart"/>
      <w:r>
        <w:rPr>
          <w:rFonts w:ascii="Calibri" w:eastAsia="Calibri" w:hAnsi="Calibri" w:cs="Calibri"/>
          <w:color w:val="000000"/>
        </w:rPr>
        <w:t>Cheraghi</w:t>
      </w:r>
      <w:proofErr w:type="spellEnd"/>
      <w:r>
        <w:rPr>
          <w:rFonts w:ascii="Calibri" w:eastAsia="Calibri" w:hAnsi="Calibri" w:cs="Calibri"/>
          <w:color w:val="000000"/>
        </w:rPr>
        <w:t xml:space="preserve"> Z, </w:t>
      </w:r>
      <w:proofErr w:type="spellStart"/>
      <w:r>
        <w:rPr>
          <w:rFonts w:ascii="Calibri" w:eastAsia="Calibri" w:hAnsi="Calibri" w:cs="Calibri"/>
          <w:color w:val="000000"/>
        </w:rPr>
        <w:t>Doosti-Irani</w:t>
      </w:r>
      <w:proofErr w:type="spellEnd"/>
      <w:r>
        <w:rPr>
          <w:rFonts w:ascii="Calibri" w:eastAsia="Calibri" w:hAnsi="Calibri" w:cs="Calibri"/>
          <w:color w:val="000000"/>
        </w:rPr>
        <w:t xml:space="preserve"> A. The Prevalence of Asymptomatic </w:t>
      </w:r>
      <w:proofErr w:type="spellStart"/>
      <w:r>
        <w:rPr>
          <w:rFonts w:ascii="Calibri" w:eastAsia="Calibri" w:hAnsi="Calibri" w:cs="Calibri"/>
          <w:color w:val="000000"/>
        </w:rPr>
        <w:t>Bacteriuria</w:t>
      </w:r>
      <w:proofErr w:type="spellEnd"/>
      <w:r>
        <w:rPr>
          <w:rFonts w:ascii="Calibri" w:eastAsia="Calibri" w:hAnsi="Calibri" w:cs="Calibri"/>
          <w:color w:val="000000"/>
        </w:rPr>
        <w:t xml:space="preserve"> in Iranian Pregnant Women: A Systematic Review and Meta-Analysis. Rosenfeld CS, ed. PLOS ONE. 2016;11(6):e0158031. doi:10.1371/journal.pone.0158031</w:t>
      </w:r>
    </w:p>
    <w:p w:rsidR="004B1A88" w:rsidRDefault="000E6554">
      <w:pPr>
        <w:numPr>
          <w:ilvl w:val="0"/>
          <w:numId w:val="1"/>
        </w:num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Shaikh N, </w:t>
      </w:r>
      <w:proofErr w:type="spellStart"/>
      <w:r>
        <w:rPr>
          <w:rFonts w:ascii="Calibri" w:eastAsia="Calibri" w:hAnsi="Calibri" w:cs="Calibri"/>
          <w:color w:val="000000"/>
        </w:rPr>
        <w:t>Osio</w:t>
      </w:r>
      <w:proofErr w:type="spellEnd"/>
      <w:r>
        <w:rPr>
          <w:rFonts w:ascii="Calibri" w:eastAsia="Calibri" w:hAnsi="Calibri" w:cs="Calibri"/>
          <w:color w:val="000000"/>
        </w:rPr>
        <w:t xml:space="preserve"> VA, Wessel CB, </w:t>
      </w:r>
      <w:proofErr w:type="spellStart"/>
      <w:r>
        <w:rPr>
          <w:rFonts w:ascii="Calibri" w:eastAsia="Calibri" w:hAnsi="Calibri" w:cs="Calibri"/>
          <w:color w:val="000000"/>
        </w:rPr>
        <w:t>Jeong</w:t>
      </w:r>
      <w:proofErr w:type="spellEnd"/>
      <w:r>
        <w:rPr>
          <w:rFonts w:ascii="Calibri" w:eastAsia="Calibri" w:hAnsi="Calibri" w:cs="Calibri"/>
          <w:color w:val="000000"/>
        </w:rPr>
        <w:t xml:space="preserve"> JH. Prevalence of Asymptomatic </w:t>
      </w:r>
      <w:proofErr w:type="spellStart"/>
      <w:r>
        <w:rPr>
          <w:rFonts w:ascii="Calibri" w:eastAsia="Calibri" w:hAnsi="Calibri" w:cs="Calibri"/>
          <w:color w:val="000000"/>
        </w:rPr>
        <w:t>Bacteriuria</w:t>
      </w:r>
      <w:proofErr w:type="spellEnd"/>
      <w:r>
        <w:rPr>
          <w:rFonts w:ascii="Calibri" w:eastAsia="Calibri" w:hAnsi="Calibri" w:cs="Calibri"/>
          <w:color w:val="000000"/>
        </w:rPr>
        <w:t xml:space="preserve"> in Children: A Meta-Analysis. The Journal of Pediatrics. 2020;217:110-117.e4. doi:10.1016/j.jpeds.2019.10.019</w:t>
      </w:r>
    </w:p>
    <w:p w:rsidR="004B1A88" w:rsidRDefault="004B1A88">
      <w:pPr>
        <w:spacing w:line="360" w:lineRule="auto"/>
        <w:ind w:left="420"/>
        <w:jc w:val="both"/>
      </w:pPr>
    </w:p>
    <w:sectPr w:rsidR="004B1A88">
      <w:footerReference w:type="even" r:id="rId13"/>
      <w:footerReference w:type="default" r:id="rId14"/>
      <w:pgSz w:w="11906" w:h="16838"/>
      <w:pgMar w:top="1440" w:right="1800" w:bottom="1440" w:left="180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F0B1D" w:rsidRDefault="000E6554">
      <w:r>
        <w:separator/>
      </w:r>
    </w:p>
  </w:endnote>
  <w:endnote w:type="continuationSeparator" w:id="0">
    <w:p w:rsidR="00EF0B1D" w:rsidRDefault="000E65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Arial"/>
    <w:panose1 w:val="02020603050405020304"/>
    <w:charset w:val="00"/>
    <w:family w:val="roman"/>
    <w:pitch w:val="variable"/>
    <w:sig w:usb0="00000000"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A88" w:rsidRDefault="000E6554">
    <w:pPr>
      <w:pBdr>
        <w:top w:val="nil"/>
        <w:left w:val="nil"/>
        <w:bottom w:val="nil"/>
        <w:right w:val="nil"/>
        <w:between w:val="nil"/>
      </w:pBdr>
      <w:tabs>
        <w:tab w:val="center" w:pos="4153"/>
        <w:tab w:val="right" w:pos="8306"/>
      </w:tabs>
      <w:bidi/>
      <w:jc w:val="center"/>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sidR="004715B0">
      <w:rPr>
        <w:rFonts w:ascii="Calibri" w:eastAsia="Calibri" w:hAnsi="Calibri" w:cs="Calibri"/>
        <w:color w:val="000000"/>
      </w:rPr>
      <w:fldChar w:fldCharType="separate"/>
    </w:r>
    <w:r>
      <w:rPr>
        <w:rFonts w:ascii="Calibri" w:eastAsia="Calibri" w:hAnsi="Calibri" w:cs="Calibri"/>
        <w:color w:val="000000"/>
      </w:rPr>
      <w:fldChar w:fldCharType="end"/>
    </w:r>
  </w:p>
  <w:p w:rsidR="004B1A88" w:rsidRDefault="004B1A88">
    <w:pPr>
      <w:pBdr>
        <w:top w:val="nil"/>
        <w:left w:val="nil"/>
        <w:bottom w:val="nil"/>
        <w:right w:val="nil"/>
        <w:between w:val="nil"/>
      </w:pBdr>
      <w:tabs>
        <w:tab w:val="center" w:pos="4153"/>
        <w:tab w:val="right" w:pos="8306"/>
      </w:tabs>
      <w:bidi/>
      <w:ind w:right="360" w:firstLine="360"/>
      <w:rPr>
        <w:rFonts w:ascii="Calibri" w:eastAsia="Calibri" w:hAnsi="Calibri" w:cs="Calibri"/>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A88" w:rsidRDefault="000E6554">
    <w:pPr>
      <w:pBdr>
        <w:top w:val="nil"/>
        <w:left w:val="nil"/>
        <w:bottom w:val="nil"/>
        <w:right w:val="nil"/>
        <w:between w:val="nil"/>
      </w:pBdr>
      <w:tabs>
        <w:tab w:val="center" w:pos="4153"/>
        <w:tab w:val="right" w:pos="8306"/>
      </w:tabs>
      <w:bidi/>
      <w:jc w:val="center"/>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sidR="00A43DFB">
      <w:rPr>
        <w:rFonts w:ascii="Calibri" w:eastAsia="Calibri" w:hAnsi="Calibri"/>
        <w:noProof/>
        <w:color w:val="000000"/>
        <w:rtl/>
      </w:rPr>
      <w:t>1</w:t>
    </w:r>
    <w:r>
      <w:rPr>
        <w:rFonts w:ascii="Calibri" w:eastAsia="Calibri" w:hAnsi="Calibri" w:cs="Calibri"/>
        <w:color w:val="000000"/>
      </w:rPr>
      <w:fldChar w:fldCharType="end"/>
    </w:r>
  </w:p>
  <w:p w:rsidR="004B1A88" w:rsidRDefault="004B1A88">
    <w:pPr>
      <w:pBdr>
        <w:top w:val="nil"/>
        <w:left w:val="nil"/>
        <w:bottom w:val="nil"/>
        <w:right w:val="nil"/>
        <w:between w:val="nil"/>
      </w:pBdr>
      <w:tabs>
        <w:tab w:val="center" w:pos="4153"/>
        <w:tab w:val="right" w:pos="8306"/>
      </w:tabs>
      <w:bidi/>
      <w:ind w:right="360" w:firstLine="360"/>
      <w:rPr>
        <w:rFonts w:ascii="Calibri" w:eastAsia="Calibri" w:hAnsi="Calibri" w:cs="Calibri"/>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F0B1D" w:rsidRDefault="000E6554">
      <w:r>
        <w:separator/>
      </w:r>
    </w:p>
  </w:footnote>
  <w:footnote w:type="continuationSeparator" w:id="0">
    <w:p w:rsidR="00EF0B1D" w:rsidRDefault="000E65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694D3C"/>
    <w:multiLevelType w:val="multilevel"/>
    <w:tmpl w:val="FFFFFFFF"/>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num w:numId="1" w16cid:durableId="12535915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proofState w:spelling="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A88"/>
    <w:rsid w:val="00005FDB"/>
    <w:rsid w:val="00010CFC"/>
    <w:rsid w:val="00041417"/>
    <w:rsid w:val="00081159"/>
    <w:rsid w:val="000818C0"/>
    <w:rsid w:val="00087C14"/>
    <w:rsid w:val="00091974"/>
    <w:rsid w:val="000B1F99"/>
    <w:rsid w:val="000D140F"/>
    <w:rsid w:val="000D7B26"/>
    <w:rsid w:val="000E50BD"/>
    <w:rsid w:val="000E6554"/>
    <w:rsid w:val="000F59AD"/>
    <w:rsid w:val="0010685A"/>
    <w:rsid w:val="00117337"/>
    <w:rsid w:val="0015396F"/>
    <w:rsid w:val="00162116"/>
    <w:rsid w:val="001C1E69"/>
    <w:rsid w:val="001C4E41"/>
    <w:rsid w:val="001E59C8"/>
    <w:rsid w:val="001F391F"/>
    <w:rsid w:val="00207493"/>
    <w:rsid w:val="00222E91"/>
    <w:rsid w:val="0026647A"/>
    <w:rsid w:val="00274905"/>
    <w:rsid w:val="00280E89"/>
    <w:rsid w:val="002A0DCC"/>
    <w:rsid w:val="002D076D"/>
    <w:rsid w:val="002D28EC"/>
    <w:rsid w:val="003241BF"/>
    <w:rsid w:val="00370F55"/>
    <w:rsid w:val="00392F54"/>
    <w:rsid w:val="0039634F"/>
    <w:rsid w:val="003B05DF"/>
    <w:rsid w:val="003C4143"/>
    <w:rsid w:val="003D06BC"/>
    <w:rsid w:val="003F7CDE"/>
    <w:rsid w:val="004275EE"/>
    <w:rsid w:val="004661EE"/>
    <w:rsid w:val="004715B0"/>
    <w:rsid w:val="00472BCC"/>
    <w:rsid w:val="00473FA6"/>
    <w:rsid w:val="0048446B"/>
    <w:rsid w:val="004B1A88"/>
    <w:rsid w:val="005103E1"/>
    <w:rsid w:val="00571DC2"/>
    <w:rsid w:val="00583050"/>
    <w:rsid w:val="0059438D"/>
    <w:rsid w:val="005B0C01"/>
    <w:rsid w:val="005E0030"/>
    <w:rsid w:val="005E3970"/>
    <w:rsid w:val="00610C3E"/>
    <w:rsid w:val="00611F5F"/>
    <w:rsid w:val="00644184"/>
    <w:rsid w:val="00667151"/>
    <w:rsid w:val="00685BBD"/>
    <w:rsid w:val="0069149C"/>
    <w:rsid w:val="00696432"/>
    <w:rsid w:val="006C0636"/>
    <w:rsid w:val="00703900"/>
    <w:rsid w:val="00720516"/>
    <w:rsid w:val="00721CDB"/>
    <w:rsid w:val="007565C3"/>
    <w:rsid w:val="00756613"/>
    <w:rsid w:val="00774583"/>
    <w:rsid w:val="00775D11"/>
    <w:rsid w:val="0078524E"/>
    <w:rsid w:val="00787717"/>
    <w:rsid w:val="008112BA"/>
    <w:rsid w:val="00817468"/>
    <w:rsid w:val="00821D57"/>
    <w:rsid w:val="00854599"/>
    <w:rsid w:val="00864866"/>
    <w:rsid w:val="00875DDA"/>
    <w:rsid w:val="00886B94"/>
    <w:rsid w:val="008B0E67"/>
    <w:rsid w:val="008B7A33"/>
    <w:rsid w:val="008D36CE"/>
    <w:rsid w:val="008E33BA"/>
    <w:rsid w:val="008F379D"/>
    <w:rsid w:val="00915047"/>
    <w:rsid w:val="0091724F"/>
    <w:rsid w:val="009303F2"/>
    <w:rsid w:val="00967942"/>
    <w:rsid w:val="009A4376"/>
    <w:rsid w:val="009E41E2"/>
    <w:rsid w:val="00A02345"/>
    <w:rsid w:val="00A43DFB"/>
    <w:rsid w:val="00A64BA6"/>
    <w:rsid w:val="00A8188C"/>
    <w:rsid w:val="00AA7BA3"/>
    <w:rsid w:val="00B03692"/>
    <w:rsid w:val="00B33230"/>
    <w:rsid w:val="00B44D8F"/>
    <w:rsid w:val="00B70D9F"/>
    <w:rsid w:val="00B73713"/>
    <w:rsid w:val="00BA0324"/>
    <w:rsid w:val="00BA76DE"/>
    <w:rsid w:val="00C26388"/>
    <w:rsid w:val="00C32E6B"/>
    <w:rsid w:val="00C67C29"/>
    <w:rsid w:val="00C96248"/>
    <w:rsid w:val="00CB064A"/>
    <w:rsid w:val="00CB196A"/>
    <w:rsid w:val="00CB4C52"/>
    <w:rsid w:val="00CF0639"/>
    <w:rsid w:val="00CF57E7"/>
    <w:rsid w:val="00D032AE"/>
    <w:rsid w:val="00D57CFF"/>
    <w:rsid w:val="00D9248C"/>
    <w:rsid w:val="00D96422"/>
    <w:rsid w:val="00D97DCD"/>
    <w:rsid w:val="00DA01A0"/>
    <w:rsid w:val="00DE42CD"/>
    <w:rsid w:val="00DE66F6"/>
    <w:rsid w:val="00DF1A12"/>
    <w:rsid w:val="00DF2F7A"/>
    <w:rsid w:val="00E0632C"/>
    <w:rsid w:val="00E1240B"/>
    <w:rsid w:val="00E524F6"/>
    <w:rsid w:val="00E86491"/>
    <w:rsid w:val="00E938B9"/>
    <w:rsid w:val="00EC1E73"/>
    <w:rsid w:val="00ED3E1B"/>
    <w:rsid w:val="00EE21AE"/>
    <w:rsid w:val="00EE773C"/>
    <w:rsid w:val="00EF0B1D"/>
    <w:rsid w:val="00F05943"/>
    <w:rsid w:val="00F269C0"/>
    <w:rsid w:val="00F5413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79FEF852"/>
  <w15:docId w15:val="{CEB72097-51DC-1947-B03B-267CAA122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g" /><Relationship Id="rId13" Type="http://schemas.openxmlformats.org/officeDocument/2006/relationships/footer" Target="footer1.xml" /><Relationship Id="rId3" Type="http://schemas.openxmlformats.org/officeDocument/2006/relationships/settings" Target="settings.xml" /><Relationship Id="rId7" Type="http://schemas.openxmlformats.org/officeDocument/2006/relationships/image" Target="media/image1.png" /><Relationship Id="rId12" Type="http://schemas.openxmlformats.org/officeDocument/2006/relationships/image" Target="media/image6.jpeg" /><Relationship Id="rId2" Type="http://schemas.openxmlformats.org/officeDocument/2006/relationships/styles" Target="styles.xml" /><Relationship Id="rId16" Type="http://schemas.openxmlformats.org/officeDocument/2006/relationships/theme" Target="theme/theme1.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image" Target="media/image5.png" /><Relationship Id="rId5" Type="http://schemas.openxmlformats.org/officeDocument/2006/relationships/footnotes" Target="footnotes.xml" /><Relationship Id="rId15" Type="http://schemas.openxmlformats.org/officeDocument/2006/relationships/fontTable" Target="fontTable.xml" /><Relationship Id="rId10" Type="http://schemas.openxmlformats.org/officeDocument/2006/relationships/image" Target="media/image3.png" /><Relationship Id="rId4" Type="http://schemas.openxmlformats.org/officeDocument/2006/relationships/webSettings" Target="webSettings.xml" /><Relationship Id="rId9" Type="http://schemas.openxmlformats.org/officeDocument/2006/relationships/image" Target="media/image4.png" /><Relationship Id="rId14"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1582</Words>
  <Characters>9020</Characters>
  <Application>Microsoft Office Word</Application>
  <DocSecurity>0</DocSecurity>
  <Lines>75</Lines>
  <Paragraphs>21</Paragraphs>
  <ScaleCrop>false</ScaleCrop>
  <Company/>
  <LinksUpToDate>false</LinksUpToDate>
  <CharactersWithSpaces>10581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estabraq masoud</cp:lastModifiedBy>
  <cp:revision>3</cp:revision>
  <dcterms:created xsi:type="dcterms:W3CDTF">2022-06-20T18:31:00Z</dcterms:created>
  <dcterms:modified xsi:type="dcterms:W3CDTF">2022-06-20T18:35:00Z</dcterms:modified>
</cp:coreProperties>
</file>