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1BE7" w:rsidRPr="00E86C27" w:rsidRDefault="006751A5" w:rsidP="006751A5">
      <w:pPr>
        <w:pStyle w:val="a3"/>
        <w:jc w:val="center"/>
        <w:rPr>
          <w:rFonts w:ascii="Arial" w:hAnsi="Arial" w:cs="Arial"/>
          <w:sz w:val="36"/>
          <w:szCs w:val="36"/>
        </w:rPr>
      </w:pPr>
      <w:r w:rsidRPr="00E86C27">
        <w:rPr>
          <w:rFonts w:ascii="Arial" w:hAnsi="Arial" w:cs="Arial"/>
          <w:sz w:val="36"/>
          <w:szCs w:val="36"/>
        </w:rPr>
        <w:t>The prevalence of asymptomatic bacteriuria among different genders</w:t>
      </w:r>
    </w:p>
    <w:p w:rsidR="006751A5" w:rsidRPr="00E86C27" w:rsidRDefault="006751A5" w:rsidP="006751A5">
      <w:pPr>
        <w:rPr>
          <w:rFonts w:ascii="Arial" w:hAnsi="Arial" w:cs="Arial"/>
        </w:rPr>
      </w:pPr>
    </w:p>
    <w:p w:rsidR="006751A5" w:rsidRPr="00E86C27" w:rsidRDefault="006751A5" w:rsidP="006751A5">
      <w:pPr>
        <w:rPr>
          <w:rFonts w:ascii="Arial" w:hAnsi="Arial" w:cs="Arial"/>
        </w:rPr>
      </w:pPr>
    </w:p>
    <w:p w:rsidR="006751A5" w:rsidRPr="00E86C27" w:rsidRDefault="006751A5" w:rsidP="006751A5">
      <w:pPr>
        <w:rPr>
          <w:rFonts w:ascii="Arial" w:hAnsi="Arial" w:cs="Arial"/>
        </w:rPr>
      </w:pPr>
    </w:p>
    <w:p w:rsidR="006751A5" w:rsidRPr="00E86C27" w:rsidRDefault="006751A5" w:rsidP="006751A5">
      <w:pPr>
        <w:rPr>
          <w:rFonts w:ascii="Arial" w:hAnsi="Arial" w:cs="Arial"/>
        </w:rPr>
      </w:pPr>
    </w:p>
    <w:p w:rsidR="006751A5" w:rsidRPr="00E86C27" w:rsidRDefault="006751A5" w:rsidP="006751A5">
      <w:pPr>
        <w:rPr>
          <w:rFonts w:ascii="Arial" w:hAnsi="Arial" w:cs="Arial"/>
        </w:rPr>
      </w:pPr>
    </w:p>
    <w:p w:rsidR="006751A5" w:rsidRPr="00E86C27" w:rsidRDefault="006751A5" w:rsidP="006751A5">
      <w:pPr>
        <w:rPr>
          <w:rFonts w:ascii="Arial" w:hAnsi="Arial" w:cs="Arial"/>
        </w:rPr>
      </w:pPr>
    </w:p>
    <w:p w:rsidR="008D419A" w:rsidRPr="00E86C27" w:rsidRDefault="008D419A" w:rsidP="006751A5">
      <w:pPr>
        <w:jc w:val="center"/>
        <w:rPr>
          <w:rFonts w:ascii="Arial" w:hAnsi="Arial" w:cs="Arial"/>
          <w:sz w:val="32"/>
          <w:szCs w:val="32"/>
        </w:rPr>
      </w:pPr>
    </w:p>
    <w:p w:rsidR="006751A5" w:rsidRPr="00E86C27" w:rsidRDefault="006751A5" w:rsidP="006751A5">
      <w:pPr>
        <w:jc w:val="center"/>
        <w:rPr>
          <w:rFonts w:ascii="Arial" w:hAnsi="Arial" w:cs="Arial"/>
          <w:sz w:val="32"/>
          <w:szCs w:val="32"/>
        </w:rPr>
      </w:pPr>
      <w:r w:rsidRPr="00E86C27">
        <w:rPr>
          <w:rFonts w:ascii="Arial" w:hAnsi="Arial" w:cs="Arial"/>
          <w:sz w:val="32"/>
          <w:szCs w:val="32"/>
        </w:rPr>
        <w:t>Name: Asma Essa Elshaafi</w:t>
      </w:r>
    </w:p>
    <w:p w:rsidR="006751A5" w:rsidRPr="00E86C27" w:rsidRDefault="006751A5" w:rsidP="006751A5">
      <w:pPr>
        <w:jc w:val="center"/>
        <w:rPr>
          <w:rFonts w:ascii="Arial" w:hAnsi="Arial" w:cs="Arial"/>
          <w:sz w:val="32"/>
          <w:szCs w:val="32"/>
        </w:rPr>
      </w:pPr>
      <w:r w:rsidRPr="00E86C27">
        <w:rPr>
          <w:rFonts w:ascii="Arial" w:hAnsi="Arial" w:cs="Arial"/>
          <w:sz w:val="32"/>
          <w:szCs w:val="32"/>
        </w:rPr>
        <w:t>Student number: 2811</w:t>
      </w:r>
    </w:p>
    <w:p w:rsidR="008D419A" w:rsidRPr="00E86C27" w:rsidRDefault="008D419A" w:rsidP="006751A5">
      <w:pPr>
        <w:jc w:val="center"/>
        <w:rPr>
          <w:rFonts w:ascii="Arial" w:hAnsi="Arial" w:cs="Arial"/>
          <w:sz w:val="32"/>
          <w:szCs w:val="32"/>
        </w:rPr>
      </w:pPr>
    </w:p>
    <w:p w:rsidR="008D419A" w:rsidRPr="00E86C27" w:rsidRDefault="008D419A" w:rsidP="006751A5">
      <w:pPr>
        <w:jc w:val="center"/>
        <w:rPr>
          <w:rFonts w:ascii="Arial" w:hAnsi="Arial" w:cs="Arial"/>
          <w:sz w:val="32"/>
          <w:szCs w:val="32"/>
        </w:rPr>
      </w:pPr>
    </w:p>
    <w:p w:rsidR="008D419A" w:rsidRPr="00E86C27" w:rsidRDefault="008D419A" w:rsidP="006751A5">
      <w:pPr>
        <w:jc w:val="center"/>
        <w:rPr>
          <w:rFonts w:ascii="Arial" w:hAnsi="Arial" w:cs="Arial"/>
          <w:sz w:val="32"/>
          <w:szCs w:val="32"/>
        </w:rPr>
      </w:pPr>
    </w:p>
    <w:p w:rsidR="008D419A" w:rsidRPr="00E86C27" w:rsidRDefault="008D419A" w:rsidP="006751A5">
      <w:pPr>
        <w:jc w:val="center"/>
        <w:rPr>
          <w:rFonts w:ascii="Arial" w:hAnsi="Arial" w:cs="Arial"/>
          <w:sz w:val="32"/>
          <w:szCs w:val="32"/>
        </w:rPr>
      </w:pPr>
    </w:p>
    <w:p w:rsidR="008D419A" w:rsidRPr="00E86C27" w:rsidRDefault="008D419A" w:rsidP="006751A5">
      <w:pPr>
        <w:jc w:val="center"/>
        <w:rPr>
          <w:rFonts w:ascii="Arial" w:hAnsi="Arial" w:cs="Arial"/>
          <w:sz w:val="32"/>
          <w:szCs w:val="32"/>
        </w:rPr>
      </w:pPr>
      <w:r w:rsidRPr="00E86C27">
        <w:rPr>
          <w:rFonts w:ascii="Arial" w:hAnsi="Arial" w:cs="Arial"/>
          <w:sz w:val="32"/>
          <w:szCs w:val="32"/>
        </w:rPr>
        <w:t xml:space="preserve">Libyan international medical university </w:t>
      </w:r>
    </w:p>
    <w:p w:rsidR="008D419A" w:rsidRPr="00E86C27" w:rsidRDefault="008D419A" w:rsidP="006751A5">
      <w:pPr>
        <w:jc w:val="center"/>
        <w:rPr>
          <w:rFonts w:ascii="Arial" w:hAnsi="Arial" w:cs="Arial"/>
          <w:sz w:val="32"/>
          <w:szCs w:val="32"/>
        </w:rPr>
      </w:pPr>
      <w:r w:rsidRPr="00E86C27">
        <w:rPr>
          <w:rFonts w:ascii="Arial" w:hAnsi="Arial" w:cs="Arial"/>
          <w:sz w:val="32"/>
          <w:szCs w:val="32"/>
        </w:rPr>
        <w:t xml:space="preserve">Faculty of applied medical science </w:t>
      </w:r>
    </w:p>
    <w:p w:rsidR="008D419A" w:rsidRPr="00E86C27" w:rsidRDefault="00031D4F" w:rsidP="006751A5">
      <w:pPr>
        <w:jc w:val="center"/>
        <w:rPr>
          <w:rFonts w:ascii="Arial" w:hAnsi="Arial" w:cs="Arial"/>
          <w:sz w:val="32"/>
          <w:szCs w:val="32"/>
        </w:rPr>
      </w:pPr>
      <w:r>
        <w:rPr>
          <w:rFonts w:ascii="Arial" w:hAnsi="Arial" w:cs="Arial"/>
          <w:sz w:val="32"/>
          <w:szCs w:val="32"/>
        </w:rPr>
        <w:t xml:space="preserve">Course: </w:t>
      </w:r>
      <w:r w:rsidR="008D419A" w:rsidRPr="00E86C27">
        <w:rPr>
          <w:rFonts w:ascii="Arial" w:hAnsi="Arial" w:cs="Arial"/>
          <w:sz w:val="32"/>
          <w:szCs w:val="32"/>
        </w:rPr>
        <w:t xml:space="preserve">Professional and transferable skills </w:t>
      </w:r>
    </w:p>
    <w:p w:rsidR="008D419A" w:rsidRDefault="008D419A" w:rsidP="006751A5">
      <w:pPr>
        <w:jc w:val="center"/>
        <w:rPr>
          <w:rFonts w:ascii="Arial" w:hAnsi="Arial" w:cs="Arial"/>
          <w:sz w:val="32"/>
          <w:szCs w:val="32"/>
        </w:rPr>
      </w:pPr>
      <w:r w:rsidRPr="00E86C27">
        <w:rPr>
          <w:rFonts w:ascii="Arial" w:hAnsi="Arial" w:cs="Arial"/>
          <w:sz w:val="32"/>
          <w:szCs w:val="32"/>
        </w:rPr>
        <w:t>2021-2022</w:t>
      </w:r>
    </w:p>
    <w:p w:rsidR="0077020D" w:rsidRDefault="0077020D" w:rsidP="006751A5">
      <w:pPr>
        <w:jc w:val="center"/>
        <w:rPr>
          <w:rFonts w:ascii="Arial" w:hAnsi="Arial" w:cs="Arial"/>
          <w:sz w:val="32"/>
          <w:szCs w:val="32"/>
        </w:rPr>
      </w:pPr>
    </w:p>
    <w:p w:rsidR="0077020D" w:rsidRDefault="0077020D" w:rsidP="006751A5">
      <w:pPr>
        <w:jc w:val="center"/>
        <w:rPr>
          <w:rFonts w:ascii="Arial" w:hAnsi="Arial" w:cs="Arial"/>
          <w:sz w:val="32"/>
          <w:szCs w:val="32"/>
        </w:rPr>
      </w:pPr>
    </w:p>
    <w:p w:rsidR="0077020D" w:rsidRDefault="0077020D" w:rsidP="006751A5">
      <w:pPr>
        <w:jc w:val="center"/>
        <w:rPr>
          <w:rFonts w:ascii="Arial" w:hAnsi="Arial" w:cs="Arial"/>
          <w:sz w:val="32"/>
          <w:szCs w:val="32"/>
        </w:rPr>
      </w:pPr>
    </w:p>
    <w:p w:rsidR="0077020D" w:rsidRDefault="0077020D" w:rsidP="006751A5">
      <w:pPr>
        <w:jc w:val="center"/>
        <w:rPr>
          <w:rFonts w:ascii="Arial" w:hAnsi="Arial" w:cs="Arial"/>
          <w:sz w:val="32"/>
          <w:szCs w:val="32"/>
        </w:rPr>
      </w:pPr>
      <w:r>
        <w:rPr>
          <w:rFonts w:ascii="Arial" w:hAnsi="Arial" w:cs="Arial"/>
          <w:sz w:val="32"/>
          <w:szCs w:val="32"/>
        </w:rPr>
        <w:t xml:space="preserve">Lab report supervisor: Dr. Intisar Alnagi </w:t>
      </w:r>
    </w:p>
    <w:p w:rsidR="0077020D" w:rsidRPr="00E86C27" w:rsidRDefault="0077020D" w:rsidP="006751A5">
      <w:pPr>
        <w:jc w:val="center"/>
        <w:rPr>
          <w:rFonts w:ascii="Arial" w:hAnsi="Arial" w:cs="Arial"/>
          <w:sz w:val="32"/>
          <w:szCs w:val="32"/>
        </w:rPr>
      </w:pPr>
      <w:r w:rsidRPr="0077020D">
        <w:rPr>
          <w:rFonts w:ascii="Arial" w:hAnsi="Arial" w:cs="Arial"/>
          <w:sz w:val="32"/>
          <w:szCs w:val="32"/>
        </w:rPr>
        <w:t>Assistant by</w:t>
      </w:r>
      <w:r>
        <w:rPr>
          <w:rFonts w:ascii="Arial" w:hAnsi="Arial" w:cs="Arial"/>
          <w:sz w:val="32"/>
          <w:szCs w:val="32"/>
        </w:rPr>
        <w:t xml:space="preserve">: Ms. Asma Elkwafi </w:t>
      </w:r>
    </w:p>
    <w:p w:rsidR="008D419A" w:rsidRPr="00E86C27" w:rsidRDefault="008D419A" w:rsidP="0077020D">
      <w:pPr>
        <w:rPr>
          <w:rFonts w:ascii="Arial" w:hAnsi="Arial" w:cs="Arial"/>
          <w:sz w:val="32"/>
          <w:szCs w:val="32"/>
        </w:rPr>
      </w:pPr>
    </w:p>
    <w:p w:rsidR="00E86C27" w:rsidRDefault="00E86C27" w:rsidP="006751A5">
      <w:pPr>
        <w:jc w:val="center"/>
        <w:rPr>
          <w:rFonts w:ascii="Arial" w:hAnsi="Arial" w:cs="Arial"/>
          <w:sz w:val="28"/>
          <w:szCs w:val="28"/>
        </w:rPr>
      </w:pPr>
    </w:p>
    <w:p w:rsidR="008D419A" w:rsidRDefault="008D419A" w:rsidP="006751A5">
      <w:pPr>
        <w:jc w:val="center"/>
        <w:rPr>
          <w:rFonts w:ascii="Arial" w:hAnsi="Arial" w:cs="Arial"/>
          <w:b/>
          <w:bCs/>
          <w:sz w:val="28"/>
          <w:szCs w:val="28"/>
        </w:rPr>
      </w:pPr>
      <w:r w:rsidRPr="00E86C27">
        <w:rPr>
          <w:rFonts w:ascii="Arial" w:hAnsi="Arial" w:cs="Arial"/>
          <w:b/>
          <w:bCs/>
          <w:sz w:val="28"/>
          <w:szCs w:val="28"/>
        </w:rPr>
        <w:t xml:space="preserve">Abstract </w:t>
      </w:r>
    </w:p>
    <w:p w:rsidR="00E86C27" w:rsidRDefault="00E86C27" w:rsidP="006751A5">
      <w:pPr>
        <w:jc w:val="center"/>
        <w:rPr>
          <w:rFonts w:ascii="Arial" w:hAnsi="Arial" w:cs="Arial"/>
          <w:b/>
          <w:bCs/>
          <w:sz w:val="28"/>
          <w:szCs w:val="28"/>
        </w:rPr>
      </w:pPr>
    </w:p>
    <w:p w:rsidR="00E86C27" w:rsidRPr="00E86C27" w:rsidRDefault="00E86C27" w:rsidP="006751A5">
      <w:pPr>
        <w:jc w:val="center"/>
        <w:rPr>
          <w:rFonts w:ascii="Arial" w:hAnsi="Arial" w:cs="Arial"/>
          <w:b/>
          <w:bCs/>
          <w:sz w:val="28"/>
          <w:szCs w:val="28"/>
        </w:rPr>
      </w:pPr>
    </w:p>
    <w:p w:rsidR="005A4F5A" w:rsidRPr="005A4F5A" w:rsidRDefault="005A4F5A" w:rsidP="00462963">
      <w:pPr>
        <w:jc w:val="both"/>
        <w:rPr>
          <w:rFonts w:ascii="Arial" w:hAnsi="Arial" w:cs="Arial"/>
          <w:sz w:val="24"/>
          <w:szCs w:val="24"/>
        </w:rPr>
      </w:pPr>
      <w:r w:rsidRPr="005A4F5A">
        <w:rPr>
          <w:rFonts w:ascii="Arial" w:hAnsi="Arial" w:cs="Arial"/>
          <w:sz w:val="24"/>
          <w:szCs w:val="24"/>
        </w:rPr>
        <w:t>Urinary tract infection is one of the most common infections generally, and asymptomatic bacteriuria, one of its many forms is a positive urine culture in</w:t>
      </w:r>
      <w:r>
        <w:rPr>
          <w:rFonts w:ascii="Arial" w:hAnsi="Arial" w:cs="Arial"/>
          <w:sz w:val="24"/>
          <w:szCs w:val="24"/>
        </w:rPr>
        <w:t xml:space="preserve"> a patient with no symptoms of UTI,</w:t>
      </w:r>
      <w:r w:rsidRPr="005A4F5A">
        <w:rPr>
          <w:rFonts w:ascii="Arial" w:hAnsi="Arial" w:cs="Arial"/>
          <w:sz w:val="24"/>
          <w:szCs w:val="24"/>
        </w:rPr>
        <w:t xml:space="preserve"> </w:t>
      </w:r>
      <w:r>
        <w:rPr>
          <w:rFonts w:ascii="Arial" w:hAnsi="Arial" w:cs="Arial"/>
          <w:sz w:val="24"/>
          <w:szCs w:val="24"/>
        </w:rPr>
        <w:t>yet there is</w:t>
      </w:r>
      <w:r w:rsidRPr="005A4F5A">
        <w:rPr>
          <w:rFonts w:ascii="Arial" w:hAnsi="Arial" w:cs="Arial"/>
          <w:sz w:val="24"/>
          <w:szCs w:val="24"/>
        </w:rPr>
        <w:t xml:space="preserve"> no specific reason behind that until now.</w:t>
      </w:r>
    </w:p>
    <w:p w:rsidR="005A4F5A" w:rsidRPr="005A4F5A" w:rsidRDefault="005A4F5A" w:rsidP="00462963">
      <w:pPr>
        <w:jc w:val="both"/>
        <w:rPr>
          <w:rFonts w:ascii="Arial" w:hAnsi="Arial" w:cs="Arial"/>
          <w:sz w:val="24"/>
          <w:szCs w:val="24"/>
        </w:rPr>
      </w:pPr>
      <w:r w:rsidRPr="005A4F5A">
        <w:rPr>
          <w:rFonts w:ascii="Arial" w:hAnsi="Arial" w:cs="Arial"/>
          <w:sz w:val="24"/>
          <w:szCs w:val="24"/>
        </w:rPr>
        <w:t>This research focused on the effect of gender differences on the prevalence and microbial spectrum of asymptomatic bacteriuria, and it has proven that bacteriuria is significantly more common among females when compared to males due to women’s anatomy.</w:t>
      </w:r>
    </w:p>
    <w:p w:rsidR="005A4F5A" w:rsidRPr="005A4F5A" w:rsidRDefault="005A4F5A" w:rsidP="00462963">
      <w:pPr>
        <w:jc w:val="both"/>
        <w:rPr>
          <w:rFonts w:ascii="Arial" w:hAnsi="Arial" w:cs="Arial"/>
          <w:sz w:val="24"/>
          <w:szCs w:val="24"/>
        </w:rPr>
      </w:pPr>
      <w:r w:rsidRPr="005A4F5A">
        <w:rPr>
          <w:rFonts w:ascii="Arial" w:hAnsi="Arial" w:cs="Arial"/>
          <w:sz w:val="24"/>
          <w:szCs w:val="24"/>
        </w:rPr>
        <w:t>Escherichia Coli is the most common bacteria isolated from the urine samples, even though the presence of other organisms is probable.</w:t>
      </w:r>
    </w:p>
    <w:p w:rsidR="00815047" w:rsidRDefault="005A4F5A" w:rsidP="00462963">
      <w:pPr>
        <w:jc w:val="both"/>
        <w:rPr>
          <w:rFonts w:ascii="Arial" w:hAnsi="Arial" w:cs="Arial"/>
          <w:sz w:val="24"/>
          <w:szCs w:val="24"/>
        </w:rPr>
      </w:pPr>
      <w:r w:rsidRPr="005A4F5A">
        <w:rPr>
          <w:rFonts w:ascii="Arial" w:hAnsi="Arial" w:cs="Arial"/>
          <w:sz w:val="24"/>
          <w:szCs w:val="24"/>
        </w:rPr>
        <w:t>Treatment and management are not required for all patients with asymptomatic bacteriuria unless the case needs it for any adverse effects that asymptomatic bacteriuria can cause.</w:t>
      </w:r>
    </w:p>
    <w:p w:rsidR="00CE1FAC" w:rsidRDefault="00CE1FAC" w:rsidP="00462963">
      <w:pPr>
        <w:jc w:val="both"/>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BD4DA4" w:rsidRDefault="00BD4DA4" w:rsidP="00815047">
      <w:pPr>
        <w:rPr>
          <w:rFonts w:ascii="Arial" w:hAnsi="Arial" w:cs="Arial"/>
          <w:sz w:val="24"/>
          <w:szCs w:val="24"/>
        </w:rPr>
      </w:pPr>
    </w:p>
    <w:p w:rsidR="0077020D" w:rsidRDefault="0077020D" w:rsidP="00CE1FAC">
      <w:pPr>
        <w:rPr>
          <w:rFonts w:ascii="Arial" w:hAnsi="Arial" w:cs="Arial"/>
          <w:sz w:val="24"/>
          <w:szCs w:val="24"/>
        </w:rPr>
      </w:pPr>
    </w:p>
    <w:p w:rsidR="00CE1FAC" w:rsidRPr="00CE1FAC" w:rsidRDefault="00CE1FAC" w:rsidP="00CE1FAC">
      <w:pPr>
        <w:rPr>
          <w:rFonts w:ascii="Arial" w:hAnsi="Arial" w:cs="Arial"/>
          <w:b/>
          <w:bCs/>
          <w:sz w:val="28"/>
          <w:szCs w:val="28"/>
        </w:rPr>
      </w:pPr>
      <w:r w:rsidRPr="00CE1FAC">
        <w:rPr>
          <w:rFonts w:ascii="Arial" w:hAnsi="Arial" w:cs="Arial"/>
          <w:b/>
          <w:bCs/>
          <w:sz w:val="28"/>
          <w:szCs w:val="28"/>
        </w:rPr>
        <w:lastRenderedPageBreak/>
        <w:t xml:space="preserve">Introduction:   </w:t>
      </w:r>
    </w:p>
    <w:p w:rsidR="00471C35" w:rsidRPr="00471C35" w:rsidRDefault="00471C35" w:rsidP="00462963">
      <w:pPr>
        <w:jc w:val="both"/>
        <w:rPr>
          <w:rFonts w:ascii="Arial" w:hAnsi="Arial" w:cs="Arial"/>
          <w:sz w:val="24"/>
          <w:szCs w:val="24"/>
          <w:vertAlign w:val="superscript"/>
        </w:rPr>
      </w:pPr>
      <w:r w:rsidRPr="00471C35">
        <w:rPr>
          <w:rFonts w:ascii="Arial" w:hAnsi="Arial" w:cs="Arial"/>
          <w:sz w:val="24"/>
          <w:szCs w:val="24"/>
        </w:rPr>
        <w:t xml:space="preserve">Urinary tract infection is one of the most common infections worldwide. These infections are more common in women due to the differences in the anatomy of their </w:t>
      </w:r>
      <w:r>
        <w:rPr>
          <w:rFonts w:ascii="Arial" w:hAnsi="Arial" w:cs="Arial"/>
          <w:sz w:val="24"/>
          <w:szCs w:val="24"/>
        </w:rPr>
        <w:t>urinary tract; shorter urethra.</w:t>
      </w:r>
      <w:r>
        <w:rPr>
          <w:rFonts w:ascii="Arial" w:hAnsi="Arial" w:cs="Arial"/>
          <w:sz w:val="24"/>
          <w:szCs w:val="24"/>
          <w:vertAlign w:val="superscript"/>
        </w:rPr>
        <w:t>2</w:t>
      </w:r>
    </w:p>
    <w:p w:rsidR="00471C35" w:rsidRPr="00471C35" w:rsidRDefault="00471C35" w:rsidP="00462963">
      <w:pPr>
        <w:jc w:val="both"/>
        <w:rPr>
          <w:rFonts w:ascii="Arial" w:hAnsi="Arial" w:cs="Arial"/>
          <w:sz w:val="24"/>
          <w:szCs w:val="24"/>
        </w:rPr>
      </w:pPr>
      <w:r w:rsidRPr="00471C35">
        <w:rPr>
          <w:rFonts w:ascii="Arial" w:hAnsi="Arial" w:cs="Arial"/>
          <w:sz w:val="24"/>
          <w:szCs w:val="24"/>
        </w:rPr>
        <w:t>UTI diagnosis is identifying associated clinical symptoms with any abnormal urinalysis or growth on urine culture. </w:t>
      </w:r>
    </w:p>
    <w:p w:rsidR="00471C35" w:rsidRPr="00471C35" w:rsidRDefault="00471C35" w:rsidP="00462963">
      <w:pPr>
        <w:jc w:val="both"/>
        <w:rPr>
          <w:rFonts w:ascii="Arial" w:hAnsi="Arial" w:cs="Arial"/>
          <w:sz w:val="24"/>
          <w:szCs w:val="24"/>
        </w:rPr>
      </w:pPr>
      <w:r w:rsidRPr="00471C35">
        <w:rPr>
          <w:rFonts w:ascii="Arial" w:hAnsi="Arial" w:cs="Arial"/>
          <w:sz w:val="24"/>
          <w:szCs w:val="24"/>
        </w:rPr>
        <w:t>Antibiotics are often an effective treatment, even though their resistance has increased.</w:t>
      </w:r>
    </w:p>
    <w:p w:rsidR="00471C35" w:rsidRPr="00471C35" w:rsidRDefault="00471C35" w:rsidP="00462963">
      <w:pPr>
        <w:jc w:val="both"/>
        <w:rPr>
          <w:rFonts w:ascii="Arial" w:hAnsi="Arial" w:cs="Arial"/>
          <w:sz w:val="24"/>
          <w:szCs w:val="24"/>
        </w:rPr>
      </w:pPr>
      <w:r w:rsidRPr="00471C35">
        <w:rPr>
          <w:rFonts w:ascii="Arial" w:hAnsi="Arial" w:cs="Arial"/>
          <w:sz w:val="24"/>
          <w:szCs w:val="24"/>
        </w:rPr>
        <w:t>UTIs have five types:</w:t>
      </w:r>
    </w:p>
    <w:p w:rsidR="00471C35" w:rsidRPr="00471C35" w:rsidRDefault="00471C35" w:rsidP="00462963">
      <w:pPr>
        <w:jc w:val="both"/>
        <w:rPr>
          <w:rFonts w:ascii="Arial" w:hAnsi="Arial" w:cs="Arial"/>
          <w:sz w:val="24"/>
          <w:szCs w:val="24"/>
        </w:rPr>
      </w:pPr>
      <w:r w:rsidRPr="00471C35">
        <w:rPr>
          <w:rFonts w:ascii="Arial" w:hAnsi="Arial" w:cs="Arial"/>
          <w:sz w:val="24"/>
          <w:szCs w:val="24"/>
        </w:rPr>
        <w:t>Urethritis, Asymptomatic bacteriuria (our focus here), </w:t>
      </w:r>
    </w:p>
    <w:p w:rsidR="00471C35" w:rsidRPr="00471C35" w:rsidRDefault="00471C35" w:rsidP="00462963">
      <w:pPr>
        <w:jc w:val="both"/>
        <w:rPr>
          <w:rFonts w:ascii="Arial" w:hAnsi="Arial" w:cs="Arial"/>
          <w:sz w:val="24"/>
          <w:szCs w:val="24"/>
        </w:rPr>
      </w:pPr>
      <w:r w:rsidRPr="00471C35">
        <w:rPr>
          <w:rFonts w:ascii="Arial" w:hAnsi="Arial" w:cs="Arial"/>
          <w:sz w:val="24"/>
          <w:szCs w:val="24"/>
        </w:rPr>
        <w:t>Cystitis, urethral syndrome, and pyelonephritis. </w:t>
      </w:r>
    </w:p>
    <w:p w:rsidR="00471C35" w:rsidRPr="00471C35" w:rsidRDefault="00471C35" w:rsidP="00462963">
      <w:pPr>
        <w:jc w:val="both"/>
        <w:rPr>
          <w:rFonts w:ascii="Arial" w:hAnsi="Arial" w:cs="Arial"/>
          <w:sz w:val="24"/>
          <w:szCs w:val="24"/>
        </w:rPr>
      </w:pPr>
      <w:r>
        <w:rPr>
          <w:rFonts w:ascii="Arial" w:hAnsi="Arial" w:cs="Arial"/>
          <w:sz w:val="24"/>
          <w:szCs w:val="24"/>
        </w:rPr>
        <w:t>Another classification of UTIs is</w:t>
      </w:r>
      <w:r w:rsidRPr="00471C35">
        <w:rPr>
          <w:rFonts w:ascii="Arial" w:hAnsi="Arial" w:cs="Arial"/>
          <w:sz w:val="24"/>
          <w:szCs w:val="24"/>
        </w:rPr>
        <w:t xml:space="preserve"> uncomplicated or complicated,</w:t>
      </w:r>
    </w:p>
    <w:p w:rsidR="00471C35" w:rsidRPr="00471C35" w:rsidRDefault="00471C35" w:rsidP="00462963">
      <w:pPr>
        <w:jc w:val="both"/>
        <w:rPr>
          <w:rFonts w:ascii="Arial" w:hAnsi="Arial" w:cs="Arial"/>
          <w:sz w:val="24"/>
          <w:szCs w:val="24"/>
          <w:vertAlign w:val="superscript"/>
        </w:rPr>
      </w:pPr>
      <w:r w:rsidRPr="00471C35">
        <w:rPr>
          <w:rFonts w:ascii="Arial" w:hAnsi="Arial" w:cs="Arial"/>
          <w:sz w:val="24"/>
          <w:szCs w:val="24"/>
        </w:rPr>
        <w:t>Generally complicated infections are more challenging to treat and can cause more morbidity and morta</w:t>
      </w:r>
      <w:r>
        <w:rPr>
          <w:rFonts w:ascii="Arial" w:hAnsi="Arial" w:cs="Arial"/>
          <w:sz w:val="24"/>
          <w:szCs w:val="24"/>
        </w:rPr>
        <w:t>lity compared to uncomplicated.</w:t>
      </w:r>
      <w:r>
        <w:rPr>
          <w:rFonts w:ascii="Arial" w:hAnsi="Arial" w:cs="Arial"/>
          <w:sz w:val="24"/>
          <w:szCs w:val="24"/>
          <w:vertAlign w:val="superscript"/>
        </w:rPr>
        <w:t>1</w:t>
      </w:r>
    </w:p>
    <w:p w:rsidR="00CE1FAC" w:rsidRPr="002B609E" w:rsidRDefault="00CE1FAC" w:rsidP="00F35623">
      <w:pPr>
        <w:jc w:val="both"/>
        <w:rPr>
          <w:rFonts w:ascii="Arial" w:hAnsi="Arial" w:cs="Arial"/>
          <w:sz w:val="24"/>
          <w:szCs w:val="24"/>
          <w:vertAlign w:val="superscript"/>
        </w:rPr>
      </w:pPr>
    </w:p>
    <w:p w:rsidR="00942067" w:rsidRPr="00942067" w:rsidRDefault="00942067" w:rsidP="00462963">
      <w:pPr>
        <w:jc w:val="both"/>
        <w:rPr>
          <w:rFonts w:ascii="Arial" w:hAnsi="Arial" w:cs="Arial"/>
          <w:sz w:val="24"/>
          <w:szCs w:val="24"/>
          <w:vertAlign w:val="superscript"/>
        </w:rPr>
      </w:pPr>
      <w:r w:rsidRPr="00942067">
        <w:rPr>
          <w:rFonts w:ascii="Arial" w:hAnsi="Arial" w:cs="Arial"/>
          <w:sz w:val="24"/>
          <w:szCs w:val="24"/>
        </w:rPr>
        <w:t xml:space="preserve">Asymptomatic bacteriuria is simply a positive urine sample, the presence of             ≥1 × 105 CFU/mL of single bacterial classes on two separate urine cultures in a patient that shows no symptoms of a urinary tract infection, yet the reason </w:t>
      </w:r>
      <w:r>
        <w:rPr>
          <w:rFonts w:ascii="Arial" w:hAnsi="Arial" w:cs="Arial"/>
          <w:sz w:val="24"/>
          <w:szCs w:val="24"/>
        </w:rPr>
        <w:t>behind that is still not clear.</w:t>
      </w:r>
      <w:r>
        <w:rPr>
          <w:rFonts w:ascii="Arial" w:hAnsi="Arial" w:cs="Arial"/>
          <w:sz w:val="24"/>
          <w:szCs w:val="24"/>
          <w:vertAlign w:val="superscript"/>
        </w:rPr>
        <w:t>2</w:t>
      </w:r>
    </w:p>
    <w:p w:rsidR="00942067" w:rsidRPr="00942067" w:rsidRDefault="00942067" w:rsidP="00462963">
      <w:pPr>
        <w:jc w:val="both"/>
        <w:rPr>
          <w:rFonts w:ascii="Arial" w:hAnsi="Arial" w:cs="Arial"/>
          <w:sz w:val="24"/>
          <w:szCs w:val="24"/>
        </w:rPr>
      </w:pPr>
      <w:r w:rsidRPr="00942067">
        <w:rPr>
          <w:rFonts w:ascii="Arial" w:hAnsi="Arial" w:cs="Arial"/>
          <w:sz w:val="24"/>
          <w:szCs w:val="24"/>
        </w:rPr>
        <w:t>Asymptomatic bacteriuria has a different prevalence depending on numerous factors counting age, gender, and other genitourinary abnormalities.</w:t>
      </w:r>
      <w:r w:rsidRPr="00942067">
        <w:rPr>
          <w:rFonts w:ascii="Arial" w:hAnsi="Arial" w:cs="Arial"/>
          <w:sz w:val="24"/>
          <w:szCs w:val="24"/>
          <w:vertAlign w:val="superscript"/>
        </w:rPr>
        <w:t>1</w:t>
      </w:r>
    </w:p>
    <w:p w:rsidR="00942067" w:rsidRPr="00942067" w:rsidRDefault="00942067" w:rsidP="00462963">
      <w:pPr>
        <w:jc w:val="both"/>
        <w:rPr>
          <w:rFonts w:ascii="Arial" w:hAnsi="Arial" w:cs="Arial"/>
          <w:sz w:val="24"/>
          <w:szCs w:val="24"/>
          <w:vertAlign w:val="superscript"/>
        </w:rPr>
      </w:pPr>
      <w:r w:rsidRPr="00942067">
        <w:rPr>
          <w:rFonts w:ascii="Arial" w:hAnsi="Arial" w:cs="Arial"/>
          <w:sz w:val="24"/>
          <w:szCs w:val="24"/>
        </w:rPr>
        <w:t>It is more common in many populations containing diabetic patients, patients with anatomical and neurologic abnormalities of the urinary tract, patients with catheters, and even elderly pat</w:t>
      </w:r>
      <w:r>
        <w:rPr>
          <w:rFonts w:ascii="Arial" w:hAnsi="Arial" w:cs="Arial"/>
          <w:sz w:val="24"/>
          <w:szCs w:val="24"/>
        </w:rPr>
        <w:t>ients.</w:t>
      </w:r>
      <w:r>
        <w:rPr>
          <w:rFonts w:ascii="Arial" w:hAnsi="Arial" w:cs="Arial"/>
          <w:sz w:val="24"/>
          <w:szCs w:val="24"/>
          <w:vertAlign w:val="superscript"/>
        </w:rPr>
        <w:t>2</w:t>
      </w:r>
      <w:r w:rsidRPr="00942067">
        <w:rPr>
          <w:rFonts w:ascii="Arial" w:hAnsi="Arial" w:cs="Arial"/>
          <w:sz w:val="24"/>
          <w:szCs w:val="24"/>
        </w:rPr>
        <w:t>bacteriuria is not common among young men, yet it is common among elderly women.</w:t>
      </w:r>
      <w:r w:rsidRPr="00942067">
        <w:rPr>
          <w:rFonts w:ascii="Arial" w:hAnsi="Arial" w:cs="Arial"/>
          <w:sz w:val="24"/>
          <w:szCs w:val="24"/>
          <w:vertAlign w:val="superscript"/>
        </w:rPr>
        <w:t>1</w:t>
      </w:r>
    </w:p>
    <w:p w:rsidR="00942067" w:rsidRPr="00A07730" w:rsidRDefault="00942067" w:rsidP="00462963">
      <w:pPr>
        <w:jc w:val="both"/>
        <w:rPr>
          <w:rFonts w:ascii="Arial" w:hAnsi="Arial" w:cs="Arial"/>
          <w:sz w:val="24"/>
          <w:szCs w:val="24"/>
          <w:vertAlign w:val="superscript"/>
        </w:rPr>
      </w:pPr>
      <w:r w:rsidRPr="00942067">
        <w:rPr>
          <w:rFonts w:ascii="Arial" w:hAnsi="Arial" w:cs="Arial"/>
          <w:sz w:val="24"/>
          <w:szCs w:val="24"/>
        </w:rPr>
        <w:t>Because of the non-significant clinical result, the Infectious Diseases Society of America published strategies for the diagnosis and treatment of 18 years and older patients.</w:t>
      </w:r>
      <w:r w:rsidR="00A07730">
        <w:rPr>
          <w:rFonts w:ascii="Arial" w:hAnsi="Arial" w:cs="Arial"/>
          <w:sz w:val="24"/>
          <w:szCs w:val="24"/>
          <w:vertAlign w:val="superscript"/>
        </w:rPr>
        <w:t>5</w:t>
      </w:r>
    </w:p>
    <w:p w:rsidR="00942067" w:rsidRPr="00942067" w:rsidRDefault="00942067" w:rsidP="00462963">
      <w:pPr>
        <w:jc w:val="both"/>
        <w:rPr>
          <w:rFonts w:ascii="Arial" w:hAnsi="Arial" w:cs="Arial"/>
          <w:sz w:val="24"/>
          <w:szCs w:val="24"/>
        </w:rPr>
      </w:pPr>
      <w:r w:rsidRPr="00942067">
        <w:rPr>
          <w:rFonts w:ascii="Arial" w:hAnsi="Arial" w:cs="Arial"/>
          <w:sz w:val="24"/>
          <w:szCs w:val="24"/>
        </w:rPr>
        <w:t>These guidelines suggested that screening is fitting if bacteriuria has harmful outcomes that we can prevent by treating with antimicrobial agents, screening and treatment for a pregnant woman is necessary for the ability of this disease to harm the fetus.</w:t>
      </w:r>
      <w:r w:rsidR="00A07730">
        <w:rPr>
          <w:rFonts w:ascii="Arial" w:hAnsi="Arial" w:cs="Arial"/>
          <w:sz w:val="24"/>
          <w:szCs w:val="24"/>
          <w:vertAlign w:val="superscript"/>
        </w:rPr>
        <w:t>5</w:t>
      </w:r>
    </w:p>
    <w:p w:rsidR="00CE1FAC" w:rsidRDefault="00942067" w:rsidP="00462963">
      <w:pPr>
        <w:jc w:val="both"/>
        <w:rPr>
          <w:rFonts w:ascii="Arial" w:hAnsi="Arial" w:cs="Arial"/>
          <w:sz w:val="24"/>
          <w:szCs w:val="24"/>
        </w:rPr>
      </w:pPr>
      <w:r w:rsidRPr="00942067">
        <w:rPr>
          <w:rFonts w:ascii="Arial" w:hAnsi="Arial" w:cs="Arial"/>
          <w:sz w:val="24"/>
          <w:szCs w:val="24"/>
        </w:rPr>
        <w:t>In this research, we are testing whether females are more prone to asymptomatic bacteriuria than males by collecting random samples from both genders evenly and later seeing if the growth is significant or not.</w:t>
      </w:r>
    </w:p>
    <w:p w:rsidR="00AE6373" w:rsidRPr="00AE6373" w:rsidRDefault="00AE6373" w:rsidP="00AE6373">
      <w:pPr>
        <w:rPr>
          <w:rFonts w:ascii="Arial" w:hAnsi="Arial" w:cs="Arial"/>
          <w:b/>
          <w:bCs/>
          <w:sz w:val="28"/>
          <w:szCs w:val="28"/>
        </w:rPr>
      </w:pPr>
      <w:r w:rsidRPr="00AE6373">
        <w:rPr>
          <w:rFonts w:ascii="Arial" w:hAnsi="Arial" w:cs="Arial"/>
          <w:b/>
          <w:bCs/>
          <w:sz w:val="28"/>
          <w:szCs w:val="28"/>
        </w:rPr>
        <w:lastRenderedPageBreak/>
        <w:t>Material:</w:t>
      </w:r>
    </w:p>
    <w:p w:rsidR="00AE6373" w:rsidRPr="00AE6373" w:rsidRDefault="00AE6373" w:rsidP="00E328A9">
      <w:pPr>
        <w:jc w:val="both"/>
        <w:rPr>
          <w:rFonts w:ascii="Arial" w:hAnsi="Arial" w:cs="Arial"/>
          <w:sz w:val="24"/>
          <w:szCs w:val="24"/>
        </w:rPr>
      </w:pPr>
      <w:r w:rsidRPr="00AE6373">
        <w:rPr>
          <w:rFonts w:ascii="Arial" w:hAnsi="Arial" w:cs="Arial"/>
          <w:sz w:val="24"/>
          <w:szCs w:val="24"/>
        </w:rPr>
        <w:t xml:space="preserve">1. Sample </w:t>
      </w:r>
    </w:p>
    <w:p w:rsidR="00AE6373" w:rsidRPr="00AE6373" w:rsidRDefault="00AE6373" w:rsidP="00E328A9">
      <w:pPr>
        <w:jc w:val="both"/>
        <w:rPr>
          <w:rFonts w:ascii="Arial" w:hAnsi="Arial" w:cs="Arial"/>
          <w:sz w:val="24"/>
          <w:szCs w:val="24"/>
        </w:rPr>
      </w:pPr>
      <w:r w:rsidRPr="00AE6373">
        <w:rPr>
          <w:rFonts w:ascii="Arial" w:hAnsi="Arial" w:cs="Arial"/>
          <w:sz w:val="24"/>
          <w:szCs w:val="24"/>
        </w:rPr>
        <w:t>2. Wire loop 0.001mL</w:t>
      </w:r>
    </w:p>
    <w:p w:rsidR="00AE6373" w:rsidRPr="00AE6373" w:rsidRDefault="00AE6373" w:rsidP="00E328A9">
      <w:pPr>
        <w:jc w:val="both"/>
        <w:rPr>
          <w:rFonts w:ascii="Arial" w:hAnsi="Arial" w:cs="Arial"/>
          <w:sz w:val="24"/>
          <w:szCs w:val="24"/>
        </w:rPr>
      </w:pPr>
      <w:r w:rsidRPr="00AE6373">
        <w:rPr>
          <w:rFonts w:ascii="Arial" w:hAnsi="Arial" w:cs="Arial"/>
          <w:sz w:val="24"/>
          <w:szCs w:val="24"/>
        </w:rPr>
        <w:t xml:space="preserve">3. Blood and MacConckey agar </w:t>
      </w:r>
    </w:p>
    <w:p w:rsidR="00AE6373" w:rsidRPr="00AE6373" w:rsidRDefault="00AE6373" w:rsidP="00E328A9">
      <w:pPr>
        <w:jc w:val="both"/>
        <w:rPr>
          <w:rFonts w:ascii="Arial" w:hAnsi="Arial" w:cs="Arial"/>
          <w:sz w:val="24"/>
          <w:szCs w:val="24"/>
        </w:rPr>
      </w:pPr>
      <w:r w:rsidRPr="00AE6373">
        <w:rPr>
          <w:rFonts w:ascii="Arial" w:hAnsi="Arial" w:cs="Arial"/>
          <w:sz w:val="24"/>
          <w:szCs w:val="24"/>
        </w:rPr>
        <w:t>4. Flame</w:t>
      </w:r>
    </w:p>
    <w:p w:rsidR="00AE6373" w:rsidRPr="00AE6373" w:rsidRDefault="00AE6373" w:rsidP="00E328A9">
      <w:pPr>
        <w:jc w:val="both"/>
        <w:rPr>
          <w:rFonts w:ascii="Arial" w:hAnsi="Arial" w:cs="Arial"/>
          <w:sz w:val="24"/>
          <w:szCs w:val="24"/>
        </w:rPr>
      </w:pPr>
      <w:r w:rsidRPr="00AE6373">
        <w:rPr>
          <w:rFonts w:ascii="Arial" w:hAnsi="Arial" w:cs="Arial"/>
          <w:sz w:val="24"/>
          <w:szCs w:val="24"/>
        </w:rPr>
        <w:t xml:space="preserve">5. Incubator </w:t>
      </w:r>
    </w:p>
    <w:p w:rsidR="00AE6373" w:rsidRPr="00AE6373" w:rsidRDefault="00AE6373" w:rsidP="00462963">
      <w:pPr>
        <w:jc w:val="both"/>
        <w:rPr>
          <w:rFonts w:ascii="Arial" w:hAnsi="Arial" w:cs="Arial"/>
          <w:b/>
          <w:bCs/>
          <w:sz w:val="28"/>
          <w:szCs w:val="28"/>
        </w:rPr>
      </w:pPr>
      <w:r w:rsidRPr="00AE6373">
        <w:rPr>
          <w:rFonts w:ascii="Arial" w:hAnsi="Arial" w:cs="Arial"/>
          <w:b/>
          <w:bCs/>
          <w:sz w:val="28"/>
          <w:szCs w:val="28"/>
        </w:rPr>
        <w:t>Method:</w:t>
      </w:r>
    </w:p>
    <w:p w:rsidR="00B8734C" w:rsidRPr="00B8734C" w:rsidRDefault="00B8734C" w:rsidP="00462963">
      <w:pPr>
        <w:jc w:val="both"/>
        <w:rPr>
          <w:rFonts w:ascii="Arial" w:hAnsi="Arial" w:cs="Arial"/>
          <w:sz w:val="24"/>
          <w:szCs w:val="24"/>
        </w:rPr>
      </w:pPr>
      <w:r w:rsidRPr="00B8734C">
        <w:rPr>
          <w:rFonts w:ascii="Arial" w:hAnsi="Arial" w:cs="Arial"/>
          <w:sz w:val="24"/>
          <w:szCs w:val="24"/>
        </w:rPr>
        <w:t>Urine culture of urinary tract infection most likely to be Escherichia coli positive.</w:t>
      </w:r>
      <w:r w:rsidRPr="00B8734C">
        <w:rPr>
          <w:rFonts w:ascii="Arial" w:hAnsi="Arial" w:cs="Arial"/>
          <w:sz w:val="24"/>
          <w:szCs w:val="24"/>
          <w:vertAlign w:val="superscript"/>
        </w:rPr>
        <w:t>1</w:t>
      </w:r>
      <w:r w:rsidRPr="00B8734C">
        <w:rPr>
          <w:rFonts w:ascii="Arial" w:hAnsi="Arial" w:cs="Arial"/>
          <w:sz w:val="24"/>
          <w:szCs w:val="24"/>
        </w:rPr>
        <w:t xml:space="preserve"> </w:t>
      </w:r>
    </w:p>
    <w:p w:rsidR="00B8734C" w:rsidRPr="00B8734C" w:rsidRDefault="00B8734C" w:rsidP="00462963">
      <w:pPr>
        <w:jc w:val="both"/>
        <w:rPr>
          <w:rFonts w:ascii="Arial" w:hAnsi="Arial" w:cs="Arial"/>
          <w:sz w:val="24"/>
          <w:szCs w:val="24"/>
        </w:rPr>
      </w:pPr>
      <w:r w:rsidRPr="00B8734C">
        <w:rPr>
          <w:rFonts w:ascii="Arial" w:hAnsi="Arial" w:cs="Arial"/>
          <w:sz w:val="24"/>
          <w:szCs w:val="24"/>
        </w:rPr>
        <w:t>The urine is usually sterile but may become contaminated by the passing along the external urethra’s normal flora; to avoid this from messing up the results; we should use a midstream void after washing the area, and it is better to take the sample early in the morning.</w:t>
      </w:r>
      <w:r w:rsidR="00D63F1B">
        <w:rPr>
          <w:rFonts w:ascii="Arial" w:hAnsi="Arial" w:cs="Arial"/>
          <w:sz w:val="24"/>
          <w:szCs w:val="24"/>
          <w:vertAlign w:val="superscript"/>
        </w:rPr>
        <w:t>1</w:t>
      </w:r>
    </w:p>
    <w:p w:rsidR="00B8734C" w:rsidRPr="00B8734C" w:rsidRDefault="00B8734C" w:rsidP="00462963">
      <w:pPr>
        <w:jc w:val="both"/>
        <w:rPr>
          <w:rFonts w:ascii="Arial" w:hAnsi="Arial" w:cs="Arial"/>
          <w:sz w:val="24"/>
          <w:szCs w:val="24"/>
        </w:rPr>
      </w:pPr>
      <w:r w:rsidRPr="00B8734C">
        <w:rPr>
          <w:rFonts w:ascii="Arial" w:hAnsi="Arial" w:cs="Arial"/>
          <w:sz w:val="24"/>
          <w:szCs w:val="24"/>
        </w:rPr>
        <w:t>Collecting the sample may need an unusual method like catheterization or suprapubic aspiration.</w:t>
      </w:r>
      <w:r w:rsidRPr="00B8734C">
        <w:rPr>
          <w:rFonts w:ascii="Arial" w:hAnsi="Arial" w:cs="Arial"/>
          <w:sz w:val="24"/>
          <w:szCs w:val="24"/>
          <w:vertAlign w:val="superscript"/>
        </w:rPr>
        <w:t>2</w:t>
      </w:r>
    </w:p>
    <w:p w:rsidR="00B8734C" w:rsidRPr="00B8734C" w:rsidRDefault="00B8734C" w:rsidP="00462963">
      <w:pPr>
        <w:jc w:val="both"/>
        <w:rPr>
          <w:rFonts w:ascii="Arial" w:hAnsi="Arial" w:cs="Arial"/>
          <w:sz w:val="24"/>
          <w:szCs w:val="24"/>
        </w:rPr>
      </w:pPr>
      <w:r w:rsidRPr="00B8734C">
        <w:rPr>
          <w:rFonts w:ascii="Arial" w:hAnsi="Arial" w:cs="Arial"/>
          <w:sz w:val="24"/>
          <w:szCs w:val="24"/>
        </w:rPr>
        <w:t>Cultures are done one hour after the collection but can last up to eighteen hours if refrigerated at 4C</w:t>
      </w:r>
      <w:r w:rsidRPr="00B8734C">
        <w:rPr>
          <w:rFonts w:ascii="Arial" w:hAnsi="Arial" w:cs="Arial"/>
          <w:sz w:val="24"/>
          <w:szCs w:val="24"/>
          <w:vertAlign w:val="superscript"/>
        </w:rPr>
        <w:t>0</w:t>
      </w:r>
      <w:r w:rsidRPr="00B8734C">
        <w:rPr>
          <w:rFonts w:ascii="Arial" w:hAnsi="Arial" w:cs="Arial"/>
          <w:sz w:val="24"/>
          <w:szCs w:val="24"/>
        </w:rPr>
        <w:t xml:space="preserve"> to lower the chance of contamination.</w:t>
      </w:r>
      <w:r w:rsidRPr="00B8734C">
        <w:rPr>
          <w:rFonts w:ascii="Arial" w:hAnsi="Arial" w:cs="Arial"/>
          <w:sz w:val="24"/>
          <w:szCs w:val="24"/>
          <w:vertAlign w:val="superscript"/>
        </w:rPr>
        <w:t>2</w:t>
      </w:r>
    </w:p>
    <w:p w:rsidR="00B8734C" w:rsidRPr="00B8734C" w:rsidRDefault="00B8734C" w:rsidP="00462963">
      <w:pPr>
        <w:jc w:val="both"/>
        <w:rPr>
          <w:rFonts w:ascii="Arial" w:hAnsi="Arial" w:cs="Arial"/>
          <w:sz w:val="24"/>
          <w:szCs w:val="24"/>
        </w:rPr>
      </w:pPr>
      <w:r w:rsidRPr="00B8734C">
        <w:rPr>
          <w:rFonts w:ascii="Arial" w:hAnsi="Arial" w:cs="Arial"/>
          <w:sz w:val="24"/>
          <w:szCs w:val="24"/>
        </w:rPr>
        <w:t>In an Asymptomatic patient, the limit of a positive result is 100,000/mL of bacterial growth, whereas, in the symptomatic, a 1000/mL is enough to prove it.</w:t>
      </w:r>
    </w:p>
    <w:p w:rsidR="00B8734C" w:rsidRPr="00B8734C" w:rsidRDefault="00B8734C" w:rsidP="00462963">
      <w:pPr>
        <w:jc w:val="both"/>
        <w:rPr>
          <w:rFonts w:ascii="Arial" w:hAnsi="Arial" w:cs="Arial"/>
          <w:sz w:val="24"/>
          <w:szCs w:val="24"/>
        </w:rPr>
      </w:pPr>
      <w:r w:rsidRPr="00B8734C">
        <w:rPr>
          <w:rFonts w:ascii="Arial" w:hAnsi="Arial" w:cs="Arial"/>
          <w:sz w:val="24"/>
          <w:szCs w:val="24"/>
        </w:rPr>
        <w:t xml:space="preserve">Performing the culture is by taking a loop to streak the media, then incubating it, and later we compare the colonies with the standers to get the concentration of the bacteria. </w:t>
      </w:r>
    </w:p>
    <w:p w:rsidR="00CE1FAC" w:rsidRDefault="00B8734C" w:rsidP="00462963">
      <w:pPr>
        <w:jc w:val="both"/>
        <w:rPr>
          <w:rFonts w:ascii="Arial" w:hAnsi="Arial" w:cs="Arial"/>
          <w:sz w:val="24"/>
          <w:szCs w:val="24"/>
        </w:rPr>
      </w:pPr>
      <w:r w:rsidRPr="00B8734C">
        <w:rPr>
          <w:rFonts w:ascii="Arial" w:hAnsi="Arial" w:cs="Arial"/>
          <w:sz w:val="24"/>
          <w:szCs w:val="24"/>
        </w:rPr>
        <w:t>CFUs are multiplied by 1000(0.001ml loop used) or x100 (0.01ml loop used) to conclude the number of microorganisms per ml in the original sample.</w:t>
      </w:r>
      <w:r w:rsidRPr="00B8734C">
        <w:rPr>
          <w:rFonts w:ascii="Arial" w:hAnsi="Arial" w:cs="Arial"/>
          <w:sz w:val="24"/>
          <w:szCs w:val="24"/>
          <w:vertAlign w:val="superscript"/>
        </w:rPr>
        <w:t>2</w:t>
      </w:r>
    </w:p>
    <w:p w:rsidR="00CE1FAC" w:rsidRDefault="00CE1FAC" w:rsidP="00462963">
      <w:pPr>
        <w:jc w:val="both"/>
        <w:rPr>
          <w:rFonts w:ascii="Arial" w:hAnsi="Arial" w:cs="Arial"/>
          <w:sz w:val="24"/>
          <w:szCs w:val="24"/>
        </w:rPr>
      </w:pPr>
    </w:p>
    <w:p w:rsidR="00CE1FAC" w:rsidRDefault="00CE1FAC" w:rsidP="00815047">
      <w:pPr>
        <w:rPr>
          <w:rFonts w:ascii="Arial" w:hAnsi="Arial" w:cs="Arial"/>
          <w:sz w:val="24"/>
          <w:szCs w:val="24"/>
        </w:rPr>
      </w:pPr>
    </w:p>
    <w:p w:rsidR="00777C0B" w:rsidRDefault="00777C0B" w:rsidP="00815047">
      <w:pPr>
        <w:rPr>
          <w:rFonts w:ascii="Arial" w:hAnsi="Arial" w:cs="Arial"/>
          <w:sz w:val="24"/>
          <w:szCs w:val="24"/>
        </w:rPr>
      </w:pPr>
    </w:p>
    <w:p w:rsidR="00CE1FAC" w:rsidRDefault="00CE1FAC" w:rsidP="00815047">
      <w:pPr>
        <w:rPr>
          <w:rFonts w:ascii="Arial" w:hAnsi="Arial" w:cs="Arial"/>
          <w:sz w:val="24"/>
          <w:szCs w:val="24"/>
        </w:rPr>
      </w:pPr>
    </w:p>
    <w:p w:rsidR="00CE1FAC" w:rsidRDefault="00CE1FAC" w:rsidP="00815047">
      <w:pPr>
        <w:rPr>
          <w:rFonts w:ascii="Arial" w:hAnsi="Arial" w:cs="Arial"/>
          <w:sz w:val="24"/>
          <w:szCs w:val="24"/>
        </w:rPr>
      </w:pPr>
    </w:p>
    <w:p w:rsidR="00411B4C" w:rsidRDefault="00411B4C" w:rsidP="00815047">
      <w:pPr>
        <w:rPr>
          <w:rFonts w:ascii="Arial" w:hAnsi="Arial" w:cs="Arial"/>
          <w:sz w:val="24"/>
          <w:szCs w:val="24"/>
        </w:rPr>
      </w:pPr>
    </w:p>
    <w:p w:rsidR="00411B4C" w:rsidRDefault="00411B4C" w:rsidP="00815047">
      <w:pPr>
        <w:rPr>
          <w:rFonts w:ascii="Arial" w:hAnsi="Arial" w:cs="Arial"/>
          <w:sz w:val="24"/>
          <w:szCs w:val="24"/>
        </w:rPr>
      </w:pPr>
    </w:p>
    <w:p w:rsidR="00411B4C" w:rsidRDefault="00411B4C" w:rsidP="00815047">
      <w:pPr>
        <w:rPr>
          <w:rFonts w:ascii="Arial" w:hAnsi="Arial" w:cs="Arial"/>
          <w:sz w:val="24"/>
          <w:szCs w:val="24"/>
        </w:rPr>
      </w:pPr>
    </w:p>
    <w:p w:rsidR="00A85A85" w:rsidRPr="00F11BDE" w:rsidRDefault="00A85A85" w:rsidP="00A85A85">
      <w:pPr>
        <w:rPr>
          <w:rFonts w:ascii="Arial" w:hAnsi="Arial" w:cs="Arial"/>
          <w:b/>
          <w:bCs/>
          <w:sz w:val="28"/>
          <w:szCs w:val="28"/>
        </w:rPr>
      </w:pPr>
      <w:r w:rsidRPr="00F11BDE">
        <w:rPr>
          <w:rFonts w:ascii="Arial" w:hAnsi="Arial" w:cs="Arial"/>
          <w:b/>
          <w:bCs/>
          <w:sz w:val="28"/>
          <w:szCs w:val="28"/>
        </w:rPr>
        <w:lastRenderedPageBreak/>
        <w:t>Result and discussion:</w:t>
      </w:r>
    </w:p>
    <w:p w:rsidR="00411B4C" w:rsidRPr="00411B4C" w:rsidRDefault="00411B4C" w:rsidP="00462963">
      <w:pPr>
        <w:jc w:val="both"/>
        <w:rPr>
          <w:rFonts w:ascii="Arial" w:hAnsi="Arial" w:cs="Arial"/>
          <w:sz w:val="24"/>
          <w:szCs w:val="24"/>
        </w:rPr>
      </w:pPr>
      <w:r w:rsidRPr="00411B4C">
        <w:rPr>
          <w:rFonts w:ascii="Arial" w:hAnsi="Arial" w:cs="Arial"/>
          <w:sz w:val="24"/>
          <w:szCs w:val="24"/>
        </w:rPr>
        <w:t xml:space="preserve">After the data collection, culturing of the samples, and counting of the colony-forming units, the results were the following:  </w:t>
      </w:r>
    </w:p>
    <w:p w:rsidR="00411B4C" w:rsidRPr="00411B4C" w:rsidRDefault="00411B4C" w:rsidP="00462963">
      <w:pPr>
        <w:jc w:val="both"/>
        <w:rPr>
          <w:rFonts w:ascii="Arial" w:hAnsi="Arial" w:cs="Arial"/>
          <w:sz w:val="24"/>
          <w:szCs w:val="24"/>
        </w:rPr>
      </w:pPr>
      <w:r w:rsidRPr="00411B4C">
        <w:rPr>
          <w:rFonts w:ascii="Arial" w:hAnsi="Arial" w:cs="Arial"/>
          <w:sz w:val="24"/>
          <w:szCs w:val="24"/>
        </w:rPr>
        <w:t>Of the 12 females: two had significant growth, eight had non-significant, and two had none (shown in table 1.2).</w:t>
      </w:r>
    </w:p>
    <w:p w:rsidR="00411B4C" w:rsidRPr="00411B4C" w:rsidRDefault="00411B4C" w:rsidP="00462963">
      <w:pPr>
        <w:jc w:val="both"/>
        <w:rPr>
          <w:rFonts w:ascii="Arial" w:hAnsi="Arial" w:cs="Arial"/>
          <w:sz w:val="24"/>
          <w:szCs w:val="24"/>
        </w:rPr>
      </w:pPr>
      <w:r w:rsidRPr="00411B4C">
        <w:rPr>
          <w:rFonts w:ascii="Arial" w:hAnsi="Arial" w:cs="Arial"/>
          <w:sz w:val="24"/>
          <w:szCs w:val="24"/>
        </w:rPr>
        <w:t>Of the 12 males: three had non-significant growth, nine without an</w:t>
      </w:r>
      <w:r w:rsidR="00A500DE">
        <w:rPr>
          <w:rFonts w:ascii="Arial" w:hAnsi="Arial" w:cs="Arial"/>
          <w:sz w:val="24"/>
          <w:szCs w:val="24"/>
        </w:rPr>
        <w:t xml:space="preserve">y, and not one had significant </w:t>
      </w:r>
      <w:r w:rsidRPr="00411B4C">
        <w:rPr>
          <w:rFonts w:ascii="Arial" w:hAnsi="Arial" w:cs="Arial"/>
          <w:sz w:val="24"/>
          <w:szCs w:val="24"/>
        </w:rPr>
        <w:t>(</w:t>
      </w:r>
      <w:r w:rsidR="00A500DE">
        <w:rPr>
          <w:rFonts w:ascii="Arial" w:hAnsi="Arial" w:cs="Arial"/>
          <w:sz w:val="24"/>
          <w:szCs w:val="24"/>
        </w:rPr>
        <w:t>s</w:t>
      </w:r>
      <w:r w:rsidRPr="00411B4C">
        <w:rPr>
          <w:rFonts w:ascii="Arial" w:hAnsi="Arial" w:cs="Arial"/>
          <w:sz w:val="24"/>
          <w:szCs w:val="24"/>
        </w:rPr>
        <w:t>hown in table 1.2).</w:t>
      </w:r>
    </w:p>
    <w:p w:rsidR="00411B4C" w:rsidRDefault="00411B4C" w:rsidP="00462963">
      <w:pPr>
        <w:jc w:val="both"/>
        <w:rPr>
          <w:rFonts w:ascii="Arial" w:hAnsi="Arial" w:cs="Arial"/>
          <w:sz w:val="24"/>
          <w:szCs w:val="24"/>
        </w:rPr>
      </w:pPr>
      <w:r w:rsidRPr="00411B4C">
        <w:rPr>
          <w:rFonts w:ascii="Arial" w:hAnsi="Arial" w:cs="Arial"/>
          <w:sz w:val="24"/>
          <w:szCs w:val="24"/>
        </w:rPr>
        <w:t>These results were significant statistically using the chi-square with a p-value of .013 (shown in table 2.2).</w:t>
      </w:r>
    </w:p>
    <w:p w:rsidR="00A53203" w:rsidRPr="00A53203" w:rsidRDefault="00A53203" w:rsidP="00462963">
      <w:pPr>
        <w:jc w:val="both"/>
        <w:rPr>
          <w:rFonts w:ascii="Arial" w:hAnsi="Arial" w:cs="Arial"/>
          <w:sz w:val="24"/>
          <w:szCs w:val="24"/>
        </w:rPr>
      </w:pPr>
      <w:r w:rsidRPr="00A53203">
        <w:rPr>
          <w:rFonts w:ascii="Arial" w:hAnsi="Arial" w:cs="Arial"/>
          <w:sz w:val="24"/>
          <w:szCs w:val="24"/>
        </w:rPr>
        <w:t>The hypothesis:</w:t>
      </w:r>
    </w:p>
    <w:p w:rsidR="00A53203" w:rsidRPr="00A53203" w:rsidRDefault="00A53203" w:rsidP="00462963">
      <w:pPr>
        <w:jc w:val="both"/>
        <w:rPr>
          <w:rFonts w:ascii="Arial" w:hAnsi="Arial" w:cs="Arial"/>
          <w:sz w:val="24"/>
          <w:szCs w:val="24"/>
        </w:rPr>
      </w:pPr>
      <w:r>
        <w:rPr>
          <w:rFonts w:ascii="Arial" w:hAnsi="Arial" w:cs="Arial"/>
          <w:sz w:val="24"/>
          <w:szCs w:val="24"/>
        </w:rPr>
        <w:t>H</w:t>
      </w:r>
      <w:r>
        <w:rPr>
          <w:rFonts w:ascii="Arial" w:hAnsi="Arial" w:cs="Arial"/>
          <w:sz w:val="24"/>
          <w:szCs w:val="24"/>
          <w:vertAlign w:val="subscript"/>
        </w:rPr>
        <w:t>0</w:t>
      </w:r>
      <w:r w:rsidRPr="00A53203">
        <w:rPr>
          <w:rFonts w:ascii="Arial" w:hAnsi="Arial" w:cs="Arial"/>
          <w:sz w:val="24"/>
          <w:szCs w:val="24"/>
        </w:rPr>
        <w:t xml:space="preserve">: no association between gender and asymptomatic bacteriuria </w:t>
      </w:r>
    </w:p>
    <w:p w:rsidR="00A53203" w:rsidRPr="00A53203" w:rsidRDefault="00A53203" w:rsidP="00462963">
      <w:pPr>
        <w:jc w:val="both"/>
        <w:rPr>
          <w:rFonts w:ascii="Arial" w:hAnsi="Arial" w:cs="Arial"/>
          <w:sz w:val="24"/>
          <w:szCs w:val="24"/>
        </w:rPr>
      </w:pPr>
      <w:r>
        <w:rPr>
          <w:rFonts w:ascii="Arial" w:hAnsi="Arial" w:cs="Arial"/>
          <w:sz w:val="24"/>
          <w:szCs w:val="24"/>
        </w:rPr>
        <w:t>H</w:t>
      </w:r>
      <w:r>
        <w:rPr>
          <w:rFonts w:ascii="Arial" w:hAnsi="Arial" w:cs="Arial"/>
          <w:sz w:val="24"/>
          <w:szCs w:val="24"/>
          <w:vertAlign w:val="subscript"/>
        </w:rPr>
        <w:t>a</w:t>
      </w:r>
      <w:r w:rsidRPr="00A53203">
        <w:rPr>
          <w:rFonts w:ascii="Arial" w:hAnsi="Arial" w:cs="Arial"/>
          <w:sz w:val="24"/>
          <w:szCs w:val="24"/>
        </w:rPr>
        <w:t>: there is an association between gender and asymptomatic bacteriuria</w:t>
      </w:r>
    </w:p>
    <w:p w:rsidR="00A53203" w:rsidRPr="00A53203" w:rsidRDefault="00A53203" w:rsidP="00462963">
      <w:pPr>
        <w:jc w:val="both"/>
        <w:rPr>
          <w:rFonts w:ascii="Arial" w:hAnsi="Arial" w:cs="Arial"/>
          <w:sz w:val="24"/>
          <w:szCs w:val="24"/>
        </w:rPr>
      </w:pPr>
      <w:r w:rsidRPr="00A53203">
        <w:rPr>
          <w:rFonts w:ascii="Arial" w:hAnsi="Arial" w:cs="Arial"/>
          <w:sz w:val="24"/>
          <w:szCs w:val="24"/>
        </w:rPr>
        <w:t>Assumptions:</w:t>
      </w:r>
    </w:p>
    <w:p w:rsidR="00A53203" w:rsidRPr="00A53203" w:rsidRDefault="00A53203" w:rsidP="00462963">
      <w:pPr>
        <w:jc w:val="both"/>
        <w:rPr>
          <w:rFonts w:ascii="Arial" w:hAnsi="Arial" w:cs="Arial"/>
          <w:sz w:val="24"/>
          <w:szCs w:val="24"/>
        </w:rPr>
      </w:pPr>
      <w:r w:rsidRPr="00A53203">
        <w:rPr>
          <w:rFonts w:ascii="Arial" w:hAnsi="Arial" w:cs="Arial"/>
          <w:sz w:val="24"/>
          <w:szCs w:val="24"/>
        </w:rPr>
        <w:t>Random Sample: Randomly selected from the population</w:t>
      </w:r>
    </w:p>
    <w:p w:rsidR="00A53203" w:rsidRPr="00A53203" w:rsidRDefault="00A53203" w:rsidP="00462963">
      <w:pPr>
        <w:jc w:val="both"/>
        <w:rPr>
          <w:rFonts w:ascii="Arial" w:hAnsi="Arial" w:cs="Arial"/>
          <w:sz w:val="24"/>
          <w:szCs w:val="24"/>
        </w:rPr>
      </w:pPr>
      <w:r w:rsidRPr="00A53203">
        <w:rPr>
          <w:rFonts w:ascii="Arial" w:hAnsi="Arial" w:cs="Arial"/>
          <w:sz w:val="24"/>
          <w:szCs w:val="24"/>
        </w:rPr>
        <w:t>Independence: Observations are independent of each other</w:t>
      </w:r>
    </w:p>
    <w:p w:rsidR="00A53203" w:rsidRPr="00A53203" w:rsidRDefault="00A53203" w:rsidP="00462963">
      <w:pPr>
        <w:jc w:val="both"/>
        <w:rPr>
          <w:rFonts w:ascii="Arial" w:hAnsi="Arial" w:cs="Arial"/>
          <w:sz w:val="24"/>
          <w:szCs w:val="24"/>
        </w:rPr>
      </w:pPr>
      <w:r w:rsidRPr="00A53203">
        <w:rPr>
          <w:rFonts w:ascii="Arial" w:hAnsi="Arial" w:cs="Arial"/>
          <w:sz w:val="24"/>
          <w:szCs w:val="24"/>
        </w:rPr>
        <w:t>Sample Size:</w:t>
      </w:r>
    </w:p>
    <w:p w:rsidR="00A53203" w:rsidRPr="00A53203" w:rsidRDefault="00A53203" w:rsidP="00462963">
      <w:pPr>
        <w:pStyle w:val="a6"/>
        <w:numPr>
          <w:ilvl w:val="0"/>
          <w:numId w:val="3"/>
        </w:numPr>
        <w:jc w:val="both"/>
        <w:rPr>
          <w:rFonts w:ascii="Arial" w:hAnsi="Arial" w:cs="Arial"/>
          <w:sz w:val="24"/>
          <w:szCs w:val="24"/>
        </w:rPr>
      </w:pPr>
      <w:r w:rsidRPr="00A53203">
        <w:rPr>
          <w:rFonts w:ascii="Arial" w:hAnsi="Arial" w:cs="Arial"/>
          <w:sz w:val="24"/>
          <w:szCs w:val="24"/>
        </w:rPr>
        <w:t>No more than 20% of the cells have an expected count of &lt; 5</w:t>
      </w:r>
    </w:p>
    <w:p w:rsidR="00A53203" w:rsidRPr="00A53203" w:rsidRDefault="00A53203" w:rsidP="00462963">
      <w:pPr>
        <w:pStyle w:val="a6"/>
        <w:numPr>
          <w:ilvl w:val="0"/>
          <w:numId w:val="3"/>
        </w:numPr>
        <w:jc w:val="both"/>
        <w:rPr>
          <w:rFonts w:ascii="Arial" w:hAnsi="Arial" w:cs="Arial"/>
          <w:sz w:val="24"/>
          <w:szCs w:val="24"/>
        </w:rPr>
      </w:pPr>
      <w:r w:rsidRPr="00A53203">
        <w:rPr>
          <w:rFonts w:ascii="Arial" w:hAnsi="Arial" w:cs="Arial"/>
          <w:sz w:val="24"/>
          <w:szCs w:val="24"/>
        </w:rPr>
        <w:t>The expected frequency in each cell must be ≥1</w:t>
      </w:r>
    </w:p>
    <w:p w:rsidR="00A53203" w:rsidRPr="00A53203" w:rsidRDefault="00A53203" w:rsidP="00462963">
      <w:pPr>
        <w:jc w:val="both"/>
        <w:rPr>
          <w:rFonts w:ascii="Arial" w:hAnsi="Arial" w:cs="Arial"/>
          <w:sz w:val="24"/>
          <w:szCs w:val="24"/>
        </w:rPr>
      </w:pPr>
    </w:p>
    <w:p w:rsidR="00A53203" w:rsidRPr="00A53203" w:rsidRDefault="00A53203" w:rsidP="00462963">
      <w:pPr>
        <w:jc w:val="both"/>
        <w:rPr>
          <w:rFonts w:ascii="Arial" w:hAnsi="Arial" w:cs="Arial"/>
          <w:sz w:val="24"/>
          <w:szCs w:val="24"/>
        </w:rPr>
      </w:pPr>
      <w:r w:rsidRPr="00A53203">
        <w:rPr>
          <w:rFonts w:ascii="Arial" w:hAnsi="Arial" w:cs="Arial"/>
          <w:sz w:val="24"/>
          <w:szCs w:val="24"/>
        </w:rPr>
        <w:t>However, the assumptions were not met as two cells (33.3%) have an expected count of less than 5. The minimum expected count is 1.00 (shown in table 2.2), and Fisher’s Exact Test had to be done (Table 3.0).</w:t>
      </w:r>
    </w:p>
    <w:p w:rsidR="00A53203" w:rsidRPr="00A53203" w:rsidRDefault="00A53203" w:rsidP="00462963">
      <w:pPr>
        <w:jc w:val="both"/>
        <w:rPr>
          <w:rFonts w:ascii="Arial" w:hAnsi="Arial" w:cs="Arial"/>
          <w:sz w:val="24"/>
          <w:szCs w:val="24"/>
        </w:rPr>
      </w:pPr>
    </w:p>
    <w:p w:rsidR="00A53203" w:rsidRPr="00A53203" w:rsidRDefault="00A53203" w:rsidP="00462963">
      <w:pPr>
        <w:jc w:val="both"/>
        <w:rPr>
          <w:rFonts w:ascii="Arial" w:hAnsi="Arial" w:cs="Arial"/>
          <w:sz w:val="24"/>
          <w:szCs w:val="24"/>
        </w:rPr>
      </w:pPr>
      <w:r w:rsidRPr="00A53203">
        <w:rPr>
          <w:rFonts w:ascii="Arial" w:hAnsi="Arial" w:cs="Arial"/>
          <w:sz w:val="24"/>
          <w:szCs w:val="24"/>
        </w:rPr>
        <w:t xml:space="preserve">Since P-value is less than alpha 0.05, we reject the null hypothesis and conclude that there is an association between gender and asymptomatic bacteriuria. </w:t>
      </w:r>
    </w:p>
    <w:p w:rsidR="00A85A85" w:rsidRPr="00F11BDE" w:rsidRDefault="00A85A85" w:rsidP="00462963">
      <w:pPr>
        <w:jc w:val="both"/>
        <w:rPr>
          <w:rFonts w:ascii="Arial" w:hAnsi="Arial" w:cs="Arial"/>
          <w:sz w:val="24"/>
          <w:szCs w:val="24"/>
        </w:rPr>
      </w:pPr>
    </w:p>
    <w:p w:rsidR="00A85A85" w:rsidRPr="00F11BDE" w:rsidRDefault="00A85A85" w:rsidP="00A85A85">
      <w:pPr>
        <w:rPr>
          <w:rFonts w:ascii="Arial" w:hAnsi="Arial" w:cs="Arial"/>
          <w:sz w:val="24"/>
          <w:szCs w:val="24"/>
        </w:rPr>
      </w:pPr>
    </w:p>
    <w:p w:rsidR="00A85A85" w:rsidRPr="00F11BDE" w:rsidRDefault="00A85A85" w:rsidP="00A85A85">
      <w:pPr>
        <w:rPr>
          <w:rFonts w:ascii="Arial" w:hAnsi="Arial" w:cs="Arial"/>
          <w:sz w:val="24"/>
          <w:szCs w:val="24"/>
        </w:rPr>
      </w:pPr>
    </w:p>
    <w:p w:rsidR="00A85A85" w:rsidRDefault="00A85A85" w:rsidP="00A85A85">
      <w:pPr>
        <w:rPr>
          <w:rFonts w:ascii="Arial" w:hAnsi="Arial" w:cs="Arial"/>
          <w:sz w:val="24"/>
          <w:szCs w:val="24"/>
        </w:rPr>
      </w:pPr>
    </w:p>
    <w:p w:rsidR="00900122" w:rsidRDefault="00900122" w:rsidP="00A85A85">
      <w:pPr>
        <w:rPr>
          <w:rFonts w:ascii="Arial" w:hAnsi="Arial" w:cs="Arial"/>
          <w:sz w:val="24"/>
          <w:szCs w:val="24"/>
        </w:rPr>
      </w:pPr>
    </w:p>
    <w:p w:rsidR="00A85A85" w:rsidRPr="00F11BDE" w:rsidRDefault="00A85A85" w:rsidP="00A85A85">
      <w:pPr>
        <w:rPr>
          <w:rFonts w:ascii="Arial" w:hAnsi="Arial" w:cs="Arial"/>
          <w:sz w:val="24"/>
          <w:szCs w:val="24"/>
        </w:rPr>
      </w:pPr>
    </w:p>
    <w:p w:rsidR="00462963" w:rsidRPr="00462963" w:rsidRDefault="00462963" w:rsidP="00462963">
      <w:pPr>
        <w:jc w:val="both"/>
        <w:rPr>
          <w:rFonts w:ascii="Arial" w:hAnsi="Arial" w:cs="Arial"/>
          <w:sz w:val="24"/>
          <w:szCs w:val="24"/>
        </w:rPr>
      </w:pPr>
      <w:r w:rsidRPr="00462963">
        <w:rPr>
          <w:rFonts w:ascii="Arial" w:hAnsi="Arial" w:cs="Arial"/>
          <w:sz w:val="24"/>
          <w:szCs w:val="24"/>
        </w:rPr>
        <w:lastRenderedPageBreak/>
        <w:t>The results su</w:t>
      </w:r>
      <w:r>
        <w:rPr>
          <w:rFonts w:ascii="Arial" w:hAnsi="Arial" w:cs="Arial"/>
          <w:sz w:val="24"/>
          <w:szCs w:val="24"/>
        </w:rPr>
        <w:t>pport the hypothesis</w:t>
      </w:r>
      <w:r w:rsidRPr="00462963">
        <w:rPr>
          <w:rFonts w:ascii="Arial" w:hAnsi="Arial" w:cs="Arial"/>
          <w:sz w:val="24"/>
          <w:szCs w:val="24"/>
        </w:rPr>
        <w:t xml:space="preserve">, and they have proven that females are actually more prone to asymptomatic bacteriuria. </w:t>
      </w:r>
    </w:p>
    <w:p w:rsidR="00462963" w:rsidRPr="00462963" w:rsidRDefault="00462963" w:rsidP="00462963">
      <w:pPr>
        <w:jc w:val="both"/>
        <w:rPr>
          <w:rFonts w:ascii="Arial" w:hAnsi="Arial" w:cs="Arial"/>
          <w:sz w:val="24"/>
          <w:szCs w:val="24"/>
        </w:rPr>
      </w:pPr>
      <w:r w:rsidRPr="00462963">
        <w:rPr>
          <w:rFonts w:ascii="Arial" w:hAnsi="Arial" w:cs="Arial"/>
          <w:sz w:val="24"/>
          <w:szCs w:val="24"/>
        </w:rPr>
        <w:t>As 16.6% of the overall 12 women got significant growth (shown in figure 3.2) while the 12 men had zero (shown in figure 3.3).</w:t>
      </w:r>
    </w:p>
    <w:p w:rsidR="00462963" w:rsidRPr="00462963" w:rsidRDefault="00462963" w:rsidP="00462963">
      <w:pPr>
        <w:jc w:val="both"/>
        <w:rPr>
          <w:rFonts w:ascii="Arial" w:hAnsi="Arial" w:cs="Arial"/>
          <w:sz w:val="24"/>
          <w:szCs w:val="24"/>
        </w:rPr>
      </w:pPr>
      <w:r w:rsidRPr="00462963">
        <w:rPr>
          <w:rFonts w:ascii="Arial" w:hAnsi="Arial" w:cs="Arial"/>
          <w:sz w:val="24"/>
          <w:szCs w:val="24"/>
        </w:rPr>
        <w:t>These results were expected, as it has already been mentioned in other studies that it is more common among women compared with men, even though the incidence rate in older men and women is related.</w:t>
      </w:r>
      <w:r w:rsidRPr="00462963">
        <w:rPr>
          <w:rFonts w:ascii="Arial" w:hAnsi="Arial" w:cs="Arial"/>
          <w:sz w:val="24"/>
          <w:szCs w:val="24"/>
          <w:vertAlign w:val="superscript"/>
        </w:rPr>
        <w:t>3</w:t>
      </w:r>
    </w:p>
    <w:p w:rsidR="00462963" w:rsidRPr="00462963" w:rsidRDefault="00462963" w:rsidP="00462963">
      <w:pPr>
        <w:jc w:val="both"/>
        <w:rPr>
          <w:rFonts w:ascii="Arial" w:hAnsi="Arial" w:cs="Arial"/>
          <w:sz w:val="24"/>
          <w:szCs w:val="24"/>
        </w:rPr>
      </w:pPr>
      <w:r w:rsidRPr="00462963">
        <w:rPr>
          <w:rFonts w:ascii="Arial" w:hAnsi="Arial" w:cs="Arial"/>
          <w:sz w:val="24"/>
          <w:szCs w:val="24"/>
        </w:rPr>
        <w:t>Because of women's shorter urethra and the shorter distance to the bladder.</w:t>
      </w:r>
      <w:r w:rsidRPr="00462963">
        <w:rPr>
          <w:rFonts w:ascii="Arial" w:hAnsi="Arial" w:cs="Arial"/>
          <w:sz w:val="24"/>
          <w:szCs w:val="24"/>
          <w:vertAlign w:val="superscript"/>
        </w:rPr>
        <w:t>4</w:t>
      </w:r>
    </w:p>
    <w:p w:rsidR="00A85A85" w:rsidRPr="00F11BDE" w:rsidRDefault="00462963" w:rsidP="00462963">
      <w:pPr>
        <w:jc w:val="both"/>
        <w:rPr>
          <w:rFonts w:ascii="Arial" w:hAnsi="Arial" w:cs="Arial"/>
          <w:sz w:val="24"/>
          <w:szCs w:val="24"/>
          <w:vertAlign w:val="superscript"/>
        </w:rPr>
      </w:pPr>
      <w:r w:rsidRPr="00462963">
        <w:rPr>
          <w:rFonts w:ascii="Arial" w:hAnsi="Arial" w:cs="Arial"/>
          <w:sz w:val="24"/>
          <w:szCs w:val="24"/>
        </w:rPr>
        <w:t>Escherichia coli has proven to be the most occurring organism identified in asymptomatic bacteriuria cultures.</w:t>
      </w:r>
      <w:r w:rsidRPr="00462963">
        <w:rPr>
          <w:rFonts w:ascii="Arial" w:hAnsi="Arial" w:cs="Arial"/>
          <w:sz w:val="24"/>
          <w:szCs w:val="24"/>
          <w:vertAlign w:val="superscript"/>
        </w:rPr>
        <w:t>4</w:t>
      </w:r>
    </w:p>
    <w:p w:rsidR="00A85A85" w:rsidRDefault="00A85A85" w:rsidP="00A85A85">
      <w:pPr>
        <w:rPr>
          <w:rFonts w:ascii="Arial" w:hAnsi="Arial" w:cs="Arial"/>
          <w:sz w:val="24"/>
          <w:szCs w:val="24"/>
          <w:vertAlign w:val="superscript"/>
        </w:rPr>
      </w:pPr>
    </w:p>
    <w:p w:rsidR="004514C8" w:rsidRDefault="004514C8" w:rsidP="00A85A85">
      <w:pPr>
        <w:rPr>
          <w:rFonts w:ascii="Arial" w:hAnsi="Arial" w:cs="Arial"/>
          <w:sz w:val="24"/>
          <w:szCs w:val="24"/>
          <w:vertAlign w:val="superscript"/>
        </w:rPr>
      </w:pPr>
    </w:p>
    <w:p w:rsidR="004514C8" w:rsidRDefault="004514C8" w:rsidP="00A85A85">
      <w:pPr>
        <w:rPr>
          <w:rFonts w:ascii="Arial" w:hAnsi="Arial" w:cs="Arial"/>
          <w:sz w:val="24"/>
          <w:szCs w:val="24"/>
          <w:vertAlign w:val="superscript"/>
        </w:rPr>
      </w:pPr>
    </w:p>
    <w:p w:rsidR="004514C8" w:rsidRDefault="004514C8" w:rsidP="00A85A85">
      <w:pPr>
        <w:rPr>
          <w:rFonts w:ascii="Arial" w:hAnsi="Arial" w:cs="Arial"/>
          <w:sz w:val="24"/>
          <w:szCs w:val="24"/>
          <w:vertAlign w:val="superscript"/>
        </w:rPr>
      </w:pPr>
    </w:p>
    <w:p w:rsidR="004514C8" w:rsidRDefault="004514C8" w:rsidP="00A85A85">
      <w:pPr>
        <w:rPr>
          <w:rFonts w:ascii="Arial" w:hAnsi="Arial" w:cs="Arial"/>
          <w:sz w:val="24"/>
          <w:szCs w:val="24"/>
          <w:vertAlign w:val="superscript"/>
        </w:rPr>
      </w:pPr>
    </w:p>
    <w:p w:rsidR="004514C8" w:rsidRDefault="004514C8" w:rsidP="00A85A85">
      <w:pPr>
        <w:rPr>
          <w:rFonts w:ascii="Arial" w:hAnsi="Arial" w:cs="Arial"/>
          <w:sz w:val="24"/>
          <w:szCs w:val="24"/>
          <w:vertAlign w:val="superscript"/>
        </w:rPr>
      </w:pPr>
    </w:p>
    <w:p w:rsidR="004514C8" w:rsidRDefault="004514C8" w:rsidP="00A85A85">
      <w:pPr>
        <w:rPr>
          <w:rFonts w:ascii="Arial" w:hAnsi="Arial" w:cs="Arial"/>
          <w:sz w:val="24"/>
          <w:szCs w:val="24"/>
          <w:vertAlign w:val="superscript"/>
        </w:rPr>
      </w:pPr>
    </w:p>
    <w:p w:rsidR="004514C8" w:rsidRPr="00F11BDE" w:rsidRDefault="004514C8" w:rsidP="00A85A85">
      <w:pPr>
        <w:rPr>
          <w:rFonts w:ascii="Arial" w:hAnsi="Arial" w:cs="Arial"/>
          <w:sz w:val="24"/>
          <w:szCs w:val="24"/>
          <w:vertAlign w:val="superscript"/>
        </w:rPr>
      </w:pPr>
    </w:p>
    <w:tbl>
      <w:tblPr>
        <w:tblStyle w:val="2-5"/>
        <w:tblW w:w="0" w:type="auto"/>
        <w:tblLook w:val="04A0" w:firstRow="1" w:lastRow="0" w:firstColumn="1" w:lastColumn="0" w:noHBand="0" w:noVBand="1"/>
      </w:tblPr>
      <w:tblGrid>
        <w:gridCol w:w="1558"/>
        <w:gridCol w:w="1558"/>
        <w:gridCol w:w="1559"/>
        <w:gridCol w:w="1559"/>
      </w:tblGrid>
      <w:tr w:rsidR="00A85A85" w:rsidRPr="00F11BDE" w:rsidTr="00FB1B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gridSpan w:val="2"/>
          </w:tcPr>
          <w:p w:rsidR="00A85A85" w:rsidRPr="00F11BDE" w:rsidRDefault="00A85A85" w:rsidP="00FB1BE7">
            <w:pPr>
              <w:tabs>
                <w:tab w:val="left" w:pos="2500"/>
              </w:tabs>
              <w:jc w:val="center"/>
              <w:rPr>
                <w:rFonts w:ascii="Arial" w:hAnsi="Arial" w:cs="Arial"/>
              </w:rPr>
            </w:pPr>
            <w:r w:rsidRPr="00F11BDE">
              <w:rPr>
                <w:rFonts w:ascii="Arial" w:hAnsi="Arial" w:cs="Arial"/>
              </w:rPr>
              <w:t>Female</w:t>
            </w:r>
          </w:p>
        </w:tc>
        <w:tc>
          <w:tcPr>
            <w:tcW w:w="3118" w:type="dxa"/>
            <w:gridSpan w:val="2"/>
          </w:tcPr>
          <w:p w:rsidR="00A85A85" w:rsidRPr="00F11BDE" w:rsidRDefault="00A85A85" w:rsidP="00FB1BE7">
            <w:pPr>
              <w:tabs>
                <w:tab w:val="left" w:pos="2500"/>
              </w:tabs>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Male</w:t>
            </w:r>
          </w:p>
        </w:tc>
      </w:tr>
      <w:tr w:rsidR="00A85A85" w:rsidRPr="00F11BDE" w:rsidTr="00FB1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Sub</w:t>
            </w:r>
          </w:p>
        </w:tc>
        <w:tc>
          <w:tcPr>
            <w:tcW w:w="1558"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CFU/mL</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F11BDE">
              <w:rPr>
                <w:rFonts w:ascii="Arial" w:hAnsi="Arial" w:cs="Arial"/>
                <w:b/>
                <w:bCs/>
              </w:rPr>
              <w:t>Sub</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CFU/mL</w:t>
            </w:r>
          </w:p>
        </w:tc>
      </w:tr>
      <w:tr w:rsidR="00A85A85" w:rsidRPr="00F11BDE" w:rsidTr="00FB1BE7">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1</w:t>
            </w:r>
          </w:p>
        </w:tc>
        <w:tc>
          <w:tcPr>
            <w:tcW w:w="1558"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10000</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F11BDE">
              <w:rPr>
                <w:rFonts w:ascii="Arial" w:hAnsi="Arial" w:cs="Arial"/>
                <w:b/>
                <w:bCs/>
              </w:rPr>
              <w:t>1</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0</w:t>
            </w:r>
          </w:p>
        </w:tc>
      </w:tr>
      <w:tr w:rsidR="00A85A85" w:rsidRPr="00F11BDE" w:rsidTr="00FB1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2</w:t>
            </w:r>
          </w:p>
        </w:tc>
        <w:tc>
          <w:tcPr>
            <w:tcW w:w="1558"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100</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F11BDE">
              <w:rPr>
                <w:rFonts w:ascii="Arial" w:hAnsi="Arial" w:cs="Arial"/>
                <w:b/>
                <w:bCs/>
              </w:rPr>
              <w:t>2</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0</w:t>
            </w:r>
          </w:p>
        </w:tc>
      </w:tr>
      <w:tr w:rsidR="00A85A85" w:rsidRPr="00F11BDE" w:rsidTr="00FB1BE7">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3</w:t>
            </w:r>
          </w:p>
        </w:tc>
        <w:tc>
          <w:tcPr>
            <w:tcW w:w="1558"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100000</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F11BDE">
              <w:rPr>
                <w:rFonts w:ascii="Arial" w:hAnsi="Arial" w:cs="Arial"/>
                <w:b/>
                <w:bCs/>
              </w:rPr>
              <w:t>3</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0</w:t>
            </w:r>
          </w:p>
        </w:tc>
      </w:tr>
      <w:tr w:rsidR="00A85A85" w:rsidRPr="00F11BDE" w:rsidTr="00FB1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4</w:t>
            </w:r>
          </w:p>
        </w:tc>
        <w:tc>
          <w:tcPr>
            <w:tcW w:w="1558"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10000</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F11BDE">
              <w:rPr>
                <w:rFonts w:ascii="Arial" w:hAnsi="Arial" w:cs="Arial"/>
                <w:b/>
                <w:bCs/>
              </w:rPr>
              <w:t>4</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0</w:t>
            </w:r>
          </w:p>
        </w:tc>
      </w:tr>
      <w:tr w:rsidR="00A85A85" w:rsidRPr="00F11BDE" w:rsidTr="00FB1BE7">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5</w:t>
            </w:r>
          </w:p>
        </w:tc>
        <w:tc>
          <w:tcPr>
            <w:tcW w:w="1558"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100</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F11BDE">
              <w:rPr>
                <w:rFonts w:ascii="Arial" w:hAnsi="Arial" w:cs="Arial"/>
                <w:b/>
                <w:bCs/>
              </w:rPr>
              <w:t>5</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100</w:t>
            </w:r>
          </w:p>
        </w:tc>
      </w:tr>
      <w:tr w:rsidR="00A85A85" w:rsidRPr="00F11BDE" w:rsidTr="00FB1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6</w:t>
            </w:r>
          </w:p>
        </w:tc>
        <w:tc>
          <w:tcPr>
            <w:tcW w:w="1558"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0</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F11BDE">
              <w:rPr>
                <w:rFonts w:ascii="Arial" w:hAnsi="Arial" w:cs="Arial"/>
                <w:b/>
                <w:bCs/>
              </w:rPr>
              <w:t>6</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1000</w:t>
            </w:r>
          </w:p>
        </w:tc>
      </w:tr>
      <w:tr w:rsidR="00A85A85" w:rsidRPr="00F11BDE" w:rsidTr="00FB1BE7">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7</w:t>
            </w:r>
          </w:p>
        </w:tc>
        <w:tc>
          <w:tcPr>
            <w:tcW w:w="1558"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10000</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F11BDE">
              <w:rPr>
                <w:rFonts w:ascii="Arial" w:hAnsi="Arial" w:cs="Arial"/>
                <w:b/>
                <w:bCs/>
              </w:rPr>
              <w:t>7</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0</w:t>
            </w:r>
          </w:p>
        </w:tc>
      </w:tr>
      <w:tr w:rsidR="00A85A85" w:rsidRPr="00F11BDE" w:rsidTr="00FB1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8</w:t>
            </w:r>
          </w:p>
        </w:tc>
        <w:tc>
          <w:tcPr>
            <w:tcW w:w="1558"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100</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F11BDE">
              <w:rPr>
                <w:rFonts w:ascii="Arial" w:hAnsi="Arial" w:cs="Arial"/>
                <w:b/>
                <w:bCs/>
              </w:rPr>
              <w:t>8</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0</w:t>
            </w:r>
          </w:p>
        </w:tc>
      </w:tr>
      <w:tr w:rsidR="00A85A85" w:rsidRPr="00F11BDE" w:rsidTr="00FB1BE7">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9</w:t>
            </w:r>
          </w:p>
        </w:tc>
        <w:tc>
          <w:tcPr>
            <w:tcW w:w="1558"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100000</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F11BDE">
              <w:rPr>
                <w:rFonts w:ascii="Arial" w:hAnsi="Arial" w:cs="Arial"/>
                <w:b/>
                <w:bCs/>
              </w:rPr>
              <w:t>9</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0</w:t>
            </w:r>
          </w:p>
        </w:tc>
      </w:tr>
      <w:tr w:rsidR="00A85A85" w:rsidRPr="00F11BDE" w:rsidTr="00FB1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10</w:t>
            </w:r>
          </w:p>
        </w:tc>
        <w:tc>
          <w:tcPr>
            <w:tcW w:w="1558"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10000</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F11BDE">
              <w:rPr>
                <w:rFonts w:ascii="Arial" w:hAnsi="Arial" w:cs="Arial"/>
                <w:b/>
                <w:bCs/>
              </w:rPr>
              <w:t>10</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100</w:t>
            </w:r>
          </w:p>
        </w:tc>
      </w:tr>
      <w:tr w:rsidR="00A85A85" w:rsidRPr="00F11BDE" w:rsidTr="00FB1BE7">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11</w:t>
            </w:r>
          </w:p>
        </w:tc>
        <w:tc>
          <w:tcPr>
            <w:tcW w:w="1558"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100</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F11BDE">
              <w:rPr>
                <w:rFonts w:ascii="Arial" w:hAnsi="Arial" w:cs="Arial"/>
                <w:b/>
                <w:bCs/>
              </w:rPr>
              <w:t>11</w:t>
            </w:r>
          </w:p>
        </w:tc>
        <w:tc>
          <w:tcPr>
            <w:tcW w:w="1559"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0</w:t>
            </w:r>
          </w:p>
        </w:tc>
      </w:tr>
      <w:tr w:rsidR="00A85A85" w:rsidRPr="00F11BDE" w:rsidTr="00FB1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A85A85" w:rsidRPr="00F11BDE" w:rsidRDefault="00A85A85" w:rsidP="00FB1BE7">
            <w:pPr>
              <w:tabs>
                <w:tab w:val="left" w:pos="2500"/>
              </w:tabs>
              <w:rPr>
                <w:rFonts w:ascii="Arial" w:hAnsi="Arial" w:cs="Arial"/>
              </w:rPr>
            </w:pPr>
            <w:r w:rsidRPr="00F11BDE">
              <w:rPr>
                <w:rFonts w:ascii="Arial" w:hAnsi="Arial" w:cs="Arial"/>
              </w:rPr>
              <w:t>12</w:t>
            </w:r>
          </w:p>
        </w:tc>
        <w:tc>
          <w:tcPr>
            <w:tcW w:w="1558"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0</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F11BDE">
              <w:rPr>
                <w:rFonts w:ascii="Arial" w:hAnsi="Arial" w:cs="Arial"/>
                <w:b/>
                <w:bCs/>
              </w:rPr>
              <w:t>12</w:t>
            </w:r>
          </w:p>
        </w:tc>
        <w:tc>
          <w:tcPr>
            <w:tcW w:w="1559"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0</w:t>
            </w:r>
          </w:p>
        </w:tc>
      </w:tr>
    </w:tbl>
    <w:p w:rsidR="00A85A85" w:rsidRPr="00F11BDE" w:rsidRDefault="00A85A85" w:rsidP="00A85A85">
      <w:pPr>
        <w:tabs>
          <w:tab w:val="left" w:pos="2500"/>
        </w:tabs>
        <w:rPr>
          <w:rFonts w:ascii="Arial" w:hAnsi="Arial" w:cs="Arial"/>
        </w:rPr>
      </w:pPr>
      <w:r w:rsidRPr="00F11BDE">
        <w:rPr>
          <w:rFonts w:ascii="Arial" w:hAnsi="Arial" w:cs="Arial"/>
        </w:rPr>
        <w:t xml:space="preserve">Table1.1 </w:t>
      </w:r>
    </w:p>
    <w:p w:rsidR="004514C8" w:rsidRDefault="004514C8" w:rsidP="00A85A85">
      <w:pPr>
        <w:tabs>
          <w:tab w:val="left" w:pos="2500"/>
        </w:tabs>
        <w:rPr>
          <w:rFonts w:ascii="Arial" w:hAnsi="Arial" w:cs="Arial"/>
        </w:rPr>
      </w:pPr>
    </w:p>
    <w:p w:rsidR="004514C8" w:rsidRPr="00F11BDE" w:rsidRDefault="004514C8" w:rsidP="00A85A85">
      <w:pPr>
        <w:tabs>
          <w:tab w:val="left" w:pos="2500"/>
        </w:tabs>
        <w:rPr>
          <w:rFonts w:ascii="Arial" w:hAnsi="Arial" w:cs="Arial"/>
        </w:rPr>
      </w:pPr>
    </w:p>
    <w:p w:rsidR="00A85A85" w:rsidRPr="00F11BDE" w:rsidRDefault="00A85A85" w:rsidP="00A85A85">
      <w:pPr>
        <w:tabs>
          <w:tab w:val="left" w:pos="2500"/>
        </w:tabs>
        <w:rPr>
          <w:rFonts w:ascii="Arial" w:hAnsi="Arial" w:cs="Arial"/>
        </w:rPr>
      </w:pPr>
    </w:p>
    <w:p w:rsidR="00A85A85" w:rsidRPr="00F11BDE" w:rsidRDefault="00A85A85" w:rsidP="00A85A85">
      <w:pPr>
        <w:tabs>
          <w:tab w:val="left" w:pos="2500"/>
        </w:tabs>
        <w:rPr>
          <w:rFonts w:ascii="Arial" w:hAnsi="Arial" w:cs="Arial"/>
        </w:rPr>
      </w:pPr>
    </w:p>
    <w:tbl>
      <w:tblPr>
        <w:tblStyle w:val="2-5"/>
        <w:tblW w:w="10040"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0"/>
        <w:gridCol w:w="2510"/>
        <w:gridCol w:w="2510"/>
        <w:gridCol w:w="2510"/>
      </w:tblGrid>
      <w:tr w:rsidR="00A85A85" w:rsidRPr="00F11BDE" w:rsidTr="00FB1BE7">
        <w:trPr>
          <w:cnfStyle w:val="100000000000" w:firstRow="1" w:lastRow="0" w:firstColumn="0" w:lastColumn="0" w:oddVBand="0" w:evenVBand="0" w:oddHBand="0" w:evenHBand="0" w:firstRowFirstColumn="0" w:firstRowLastColumn="0" w:lastRowFirstColumn="0" w:lastRowLastColumn="0"/>
          <w:trHeight w:val="902"/>
        </w:trPr>
        <w:tc>
          <w:tcPr>
            <w:cnfStyle w:val="001000000000" w:firstRow="0" w:lastRow="0" w:firstColumn="1" w:lastColumn="0" w:oddVBand="0" w:evenVBand="0" w:oddHBand="0" w:evenHBand="0" w:firstRowFirstColumn="0" w:firstRowLastColumn="0" w:lastRowFirstColumn="0" w:lastRowLastColumn="0"/>
            <w:tcW w:w="2510" w:type="dxa"/>
          </w:tcPr>
          <w:p w:rsidR="00A85A85" w:rsidRPr="00F11BDE" w:rsidRDefault="00A85A85" w:rsidP="00FB1BE7">
            <w:pPr>
              <w:tabs>
                <w:tab w:val="left" w:pos="2500"/>
              </w:tabs>
              <w:rPr>
                <w:rFonts w:ascii="Arial" w:hAnsi="Arial" w:cs="Arial"/>
              </w:rPr>
            </w:pPr>
            <w:r w:rsidRPr="00F11BDE">
              <w:rPr>
                <w:rFonts w:ascii="Arial" w:hAnsi="Arial" w:cs="Arial"/>
              </w:rPr>
              <w:t xml:space="preserve">Gender </w:t>
            </w:r>
          </w:p>
        </w:tc>
        <w:tc>
          <w:tcPr>
            <w:tcW w:w="2510" w:type="dxa"/>
          </w:tcPr>
          <w:p w:rsidR="00A85A85" w:rsidRPr="00F11BDE" w:rsidRDefault="00A85A85" w:rsidP="00FB1BE7">
            <w:pPr>
              <w:tabs>
                <w:tab w:val="left" w:pos="2500"/>
              </w:tabs>
              <w:cnfStyle w:val="100000000000" w:firstRow="1"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 xml:space="preserve">No growth </w:t>
            </w:r>
          </w:p>
        </w:tc>
        <w:tc>
          <w:tcPr>
            <w:tcW w:w="2510" w:type="dxa"/>
          </w:tcPr>
          <w:p w:rsidR="00A85A85" w:rsidRPr="00F11BDE" w:rsidRDefault="00A85A85" w:rsidP="00FB1BE7">
            <w:pPr>
              <w:tabs>
                <w:tab w:val="left" w:pos="2500"/>
              </w:tabs>
              <w:cnfStyle w:val="100000000000" w:firstRow="1"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 xml:space="preserve">Non-significant growth </w:t>
            </w:r>
          </w:p>
        </w:tc>
        <w:tc>
          <w:tcPr>
            <w:tcW w:w="2510" w:type="dxa"/>
          </w:tcPr>
          <w:p w:rsidR="00A85A85" w:rsidRPr="00F11BDE" w:rsidRDefault="00A85A85" w:rsidP="00FB1BE7">
            <w:pPr>
              <w:tabs>
                <w:tab w:val="left" w:pos="2500"/>
              </w:tabs>
              <w:cnfStyle w:val="100000000000" w:firstRow="1"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 xml:space="preserve">Significant growth </w:t>
            </w:r>
          </w:p>
        </w:tc>
      </w:tr>
      <w:tr w:rsidR="00A85A85" w:rsidRPr="00F11BDE" w:rsidTr="00FB1BE7">
        <w:trPr>
          <w:cnfStyle w:val="000000100000" w:firstRow="0" w:lastRow="0" w:firstColumn="0" w:lastColumn="0" w:oddVBand="0" w:evenVBand="0" w:oddHBand="1" w:evenHBand="0" w:firstRowFirstColumn="0" w:firstRowLastColumn="0" w:lastRowFirstColumn="0" w:lastRowLastColumn="0"/>
          <w:trHeight w:val="902"/>
        </w:trPr>
        <w:tc>
          <w:tcPr>
            <w:cnfStyle w:val="001000000000" w:firstRow="0" w:lastRow="0" w:firstColumn="1" w:lastColumn="0" w:oddVBand="0" w:evenVBand="0" w:oddHBand="0" w:evenHBand="0" w:firstRowFirstColumn="0" w:firstRowLastColumn="0" w:lastRowFirstColumn="0" w:lastRowLastColumn="0"/>
            <w:tcW w:w="2510" w:type="dxa"/>
          </w:tcPr>
          <w:p w:rsidR="00A85A85" w:rsidRPr="00F11BDE" w:rsidRDefault="00A85A85" w:rsidP="00FB1BE7">
            <w:pPr>
              <w:tabs>
                <w:tab w:val="left" w:pos="2500"/>
              </w:tabs>
              <w:rPr>
                <w:rFonts w:ascii="Arial" w:hAnsi="Arial" w:cs="Arial"/>
              </w:rPr>
            </w:pPr>
            <w:r w:rsidRPr="00F11BDE">
              <w:rPr>
                <w:rFonts w:ascii="Arial" w:hAnsi="Arial" w:cs="Arial"/>
              </w:rPr>
              <w:t xml:space="preserve">Female </w:t>
            </w:r>
          </w:p>
        </w:tc>
        <w:tc>
          <w:tcPr>
            <w:tcW w:w="2510"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2</w:t>
            </w:r>
          </w:p>
        </w:tc>
        <w:tc>
          <w:tcPr>
            <w:tcW w:w="2510"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8</w:t>
            </w:r>
          </w:p>
        </w:tc>
        <w:tc>
          <w:tcPr>
            <w:tcW w:w="2510" w:type="dxa"/>
          </w:tcPr>
          <w:p w:rsidR="00A85A85" w:rsidRPr="00F11BDE" w:rsidRDefault="00A85A85" w:rsidP="00FB1BE7">
            <w:pPr>
              <w:tabs>
                <w:tab w:val="left" w:pos="2500"/>
              </w:tabs>
              <w:cnfStyle w:val="000000100000" w:firstRow="0" w:lastRow="0" w:firstColumn="0" w:lastColumn="0" w:oddVBand="0" w:evenVBand="0" w:oddHBand="1" w:evenHBand="0" w:firstRowFirstColumn="0" w:firstRowLastColumn="0" w:lastRowFirstColumn="0" w:lastRowLastColumn="0"/>
              <w:rPr>
                <w:rFonts w:ascii="Arial" w:hAnsi="Arial" w:cs="Arial"/>
              </w:rPr>
            </w:pPr>
            <w:r w:rsidRPr="00F11BDE">
              <w:rPr>
                <w:rFonts w:ascii="Arial" w:hAnsi="Arial" w:cs="Arial"/>
              </w:rPr>
              <w:t>2</w:t>
            </w:r>
          </w:p>
        </w:tc>
      </w:tr>
      <w:tr w:rsidR="00A85A85" w:rsidRPr="00F11BDE" w:rsidTr="00FB1BE7">
        <w:trPr>
          <w:trHeight w:val="902"/>
        </w:trPr>
        <w:tc>
          <w:tcPr>
            <w:cnfStyle w:val="001000000000" w:firstRow="0" w:lastRow="0" w:firstColumn="1" w:lastColumn="0" w:oddVBand="0" w:evenVBand="0" w:oddHBand="0" w:evenHBand="0" w:firstRowFirstColumn="0" w:firstRowLastColumn="0" w:lastRowFirstColumn="0" w:lastRowLastColumn="0"/>
            <w:tcW w:w="2510" w:type="dxa"/>
          </w:tcPr>
          <w:p w:rsidR="00A85A85" w:rsidRPr="00F11BDE" w:rsidRDefault="00A85A85" w:rsidP="00FB1BE7">
            <w:pPr>
              <w:tabs>
                <w:tab w:val="left" w:pos="2500"/>
              </w:tabs>
              <w:rPr>
                <w:rFonts w:ascii="Arial" w:hAnsi="Arial" w:cs="Arial"/>
              </w:rPr>
            </w:pPr>
            <w:r w:rsidRPr="00F11BDE">
              <w:rPr>
                <w:rFonts w:ascii="Arial" w:hAnsi="Arial" w:cs="Arial"/>
              </w:rPr>
              <w:t xml:space="preserve">Male </w:t>
            </w:r>
          </w:p>
        </w:tc>
        <w:tc>
          <w:tcPr>
            <w:tcW w:w="2510"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9</w:t>
            </w:r>
          </w:p>
        </w:tc>
        <w:tc>
          <w:tcPr>
            <w:tcW w:w="2510"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3</w:t>
            </w:r>
          </w:p>
        </w:tc>
        <w:tc>
          <w:tcPr>
            <w:tcW w:w="2510" w:type="dxa"/>
          </w:tcPr>
          <w:p w:rsidR="00A85A85" w:rsidRPr="00F11BDE" w:rsidRDefault="00A85A85" w:rsidP="00FB1BE7">
            <w:pPr>
              <w:tabs>
                <w:tab w:val="left" w:pos="2500"/>
              </w:tabs>
              <w:cnfStyle w:val="000000000000" w:firstRow="0" w:lastRow="0" w:firstColumn="0" w:lastColumn="0" w:oddVBand="0" w:evenVBand="0" w:oddHBand="0" w:evenHBand="0" w:firstRowFirstColumn="0" w:firstRowLastColumn="0" w:lastRowFirstColumn="0" w:lastRowLastColumn="0"/>
              <w:rPr>
                <w:rFonts w:ascii="Arial" w:hAnsi="Arial" w:cs="Arial"/>
              </w:rPr>
            </w:pPr>
            <w:r w:rsidRPr="00F11BDE">
              <w:rPr>
                <w:rFonts w:ascii="Arial" w:hAnsi="Arial" w:cs="Arial"/>
              </w:rPr>
              <w:t>0</w:t>
            </w:r>
          </w:p>
        </w:tc>
      </w:tr>
    </w:tbl>
    <w:p w:rsidR="00A85A85" w:rsidRPr="00F11BDE" w:rsidRDefault="00A85A85" w:rsidP="00A85A85">
      <w:pPr>
        <w:tabs>
          <w:tab w:val="left" w:pos="2500"/>
        </w:tabs>
        <w:rPr>
          <w:rFonts w:ascii="Arial" w:hAnsi="Arial" w:cs="Arial"/>
        </w:rPr>
      </w:pPr>
      <w:r w:rsidRPr="00F11BDE">
        <w:rPr>
          <w:rFonts w:ascii="Arial" w:hAnsi="Arial" w:cs="Arial"/>
        </w:rPr>
        <w:t>Table1.2</w:t>
      </w:r>
    </w:p>
    <w:p w:rsidR="00A85A85" w:rsidRPr="00F11BDE" w:rsidRDefault="00A85A85" w:rsidP="00A85A85">
      <w:pPr>
        <w:autoSpaceDE w:val="0"/>
        <w:autoSpaceDN w:val="0"/>
        <w:adjustRightInd w:val="0"/>
        <w:spacing w:after="0" w:line="240" w:lineRule="auto"/>
        <w:rPr>
          <w:rFonts w:ascii="Arial" w:hAnsi="Arial" w:cs="Arial"/>
          <w:sz w:val="24"/>
          <w:szCs w:val="24"/>
        </w:rPr>
      </w:pPr>
    </w:p>
    <w:p w:rsidR="00A85A85" w:rsidRPr="00F11BDE" w:rsidRDefault="00A85A85" w:rsidP="00A85A85">
      <w:pPr>
        <w:autoSpaceDE w:val="0"/>
        <w:autoSpaceDN w:val="0"/>
        <w:adjustRightInd w:val="0"/>
        <w:spacing w:after="0" w:line="240" w:lineRule="auto"/>
        <w:rPr>
          <w:rFonts w:ascii="Arial" w:hAnsi="Arial" w:cs="Arial"/>
          <w:sz w:val="24"/>
          <w:szCs w:val="24"/>
        </w:rPr>
      </w:pPr>
    </w:p>
    <w:p w:rsidR="00A85A85" w:rsidRPr="00F11BDE" w:rsidRDefault="00A85A85" w:rsidP="00A85A85">
      <w:pPr>
        <w:autoSpaceDE w:val="0"/>
        <w:autoSpaceDN w:val="0"/>
        <w:adjustRightInd w:val="0"/>
        <w:spacing w:after="0" w:line="240" w:lineRule="auto"/>
        <w:rPr>
          <w:rFonts w:ascii="Arial" w:hAnsi="Arial" w:cs="Arial"/>
          <w:sz w:val="24"/>
          <w:szCs w:val="24"/>
        </w:rPr>
      </w:pPr>
    </w:p>
    <w:p w:rsidR="00A85A85" w:rsidRPr="00F11BDE" w:rsidRDefault="00A85A85" w:rsidP="00A85A85">
      <w:pPr>
        <w:autoSpaceDE w:val="0"/>
        <w:autoSpaceDN w:val="0"/>
        <w:adjustRightInd w:val="0"/>
        <w:spacing w:after="0" w:line="240" w:lineRule="auto"/>
        <w:rPr>
          <w:rFonts w:ascii="Arial" w:hAnsi="Arial" w:cs="Arial"/>
          <w:sz w:val="24"/>
          <w:szCs w:val="24"/>
        </w:rPr>
      </w:pPr>
    </w:p>
    <w:tbl>
      <w:tblPr>
        <w:tblW w:w="7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13"/>
        <w:gridCol w:w="1024"/>
        <w:gridCol w:w="1025"/>
        <w:gridCol w:w="1025"/>
        <w:gridCol w:w="1025"/>
        <w:gridCol w:w="1025"/>
        <w:gridCol w:w="1025"/>
      </w:tblGrid>
      <w:tr w:rsidR="00A85A85" w:rsidRPr="00F11BDE" w:rsidTr="00FB1BE7">
        <w:trPr>
          <w:cantSplit/>
        </w:trPr>
        <w:tc>
          <w:tcPr>
            <w:tcW w:w="7857" w:type="dxa"/>
            <w:gridSpan w:val="7"/>
            <w:tcBorders>
              <w:top w:val="nil"/>
              <w:left w:val="nil"/>
              <w:bottom w:val="nil"/>
              <w:right w:val="nil"/>
            </w:tcBorders>
            <w:shd w:val="clear" w:color="auto" w:fill="FFFFFF"/>
            <w:vAlign w:val="center"/>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010205"/>
              </w:rPr>
            </w:pPr>
            <w:r w:rsidRPr="00F11BDE">
              <w:rPr>
                <w:rFonts w:ascii="Arial" w:hAnsi="Arial" w:cs="Arial"/>
                <w:b/>
                <w:bCs/>
                <w:color w:val="010205"/>
              </w:rPr>
              <w:t>Case Processing Summary</w:t>
            </w:r>
          </w:p>
        </w:tc>
      </w:tr>
      <w:tr w:rsidR="00A85A85" w:rsidRPr="00F11BDE" w:rsidTr="00FB1BE7">
        <w:trPr>
          <w:cantSplit/>
        </w:trPr>
        <w:tc>
          <w:tcPr>
            <w:tcW w:w="1713" w:type="dxa"/>
            <w:vMerge w:val="restart"/>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sz w:val="24"/>
                <w:szCs w:val="24"/>
              </w:rPr>
            </w:pPr>
          </w:p>
        </w:tc>
        <w:tc>
          <w:tcPr>
            <w:tcW w:w="6144" w:type="dxa"/>
            <w:gridSpan w:val="6"/>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Cases</w:t>
            </w:r>
          </w:p>
        </w:tc>
      </w:tr>
      <w:tr w:rsidR="00A85A85" w:rsidRPr="00F11BDE" w:rsidTr="00FB1BE7">
        <w:trPr>
          <w:cantSplit/>
        </w:trPr>
        <w:tc>
          <w:tcPr>
            <w:tcW w:w="1713" w:type="dxa"/>
            <w:vMerge/>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8"/>
                <w:szCs w:val="18"/>
              </w:rPr>
            </w:pPr>
          </w:p>
        </w:tc>
        <w:tc>
          <w:tcPr>
            <w:tcW w:w="2048" w:type="dxa"/>
            <w:gridSpan w:val="2"/>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Valid</w:t>
            </w:r>
          </w:p>
        </w:tc>
        <w:tc>
          <w:tcPr>
            <w:tcW w:w="2048" w:type="dxa"/>
            <w:gridSpan w:val="2"/>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Missing</w:t>
            </w:r>
          </w:p>
        </w:tc>
        <w:tc>
          <w:tcPr>
            <w:tcW w:w="2048" w:type="dxa"/>
            <w:gridSpan w:val="2"/>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Total</w:t>
            </w:r>
          </w:p>
        </w:tc>
      </w:tr>
      <w:tr w:rsidR="00A85A85" w:rsidRPr="00F11BDE" w:rsidTr="00FB1BE7">
        <w:trPr>
          <w:cantSplit/>
        </w:trPr>
        <w:tc>
          <w:tcPr>
            <w:tcW w:w="1713" w:type="dxa"/>
            <w:vMerge/>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Percent</w:t>
            </w:r>
          </w:p>
        </w:tc>
      </w:tr>
      <w:tr w:rsidR="00A85A85" w:rsidRPr="00F11BDE" w:rsidTr="00FB1BE7">
        <w:trPr>
          <w:cantSplit/>
        </w:trPr>
        <w:tc>
          <w:tcPr>
            <w:tcW w:w="1713" w:type="dxa"/>
            <w:tcBorders>
              <w:top w:val="single" w:sz="8" w:space="0" w:color="152935"/>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CFUcat</w:t>
            </w:r>
            <w:bookmarkStart w:id="0" w:name="_GoBack"/>
            <w:bookmarkEnd w:id="0"/>
            <w:r w:rsidRPr="00F11BDE">
              <w:rPr>
                <w:rFonts w:ascii="Arial" w:hAnsi="Arial" w:cs="Arial"/>
                <w:color w:val="264A60"/>
                <w:sz w:val="18"/>
                <w:szCs w:val="18"/>
              </w:rPr>
              <w:t xml:space="preserve"> * Gender</w:t>
            </w:r>
          </w:p>
        </w:tc>
        <w:tc>
          <w:tcPr>
            <w:tcW w:w="1024" w:type="dxa"/>
            <w:tcBorders>
              <w:top w:val="single" w:sz="8" w:space="0" w:color="152935"/>
              <w:left w:val="nil"/>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24</w:t>
            </w:r>
          </w:p>
        </w:tc>
        <w:tc>
          <w:tcPr>
            <w:tcW w:w="1024" w:type="dxa"/>
            <w:tcBorders>
              <w:top w:val="single" w:sz="8" w:space="0" w:color="152935"/>
              <w:left w:val="single" w:sz="8" w:space="0" w:color="E0E0E0"/>
              <w:bottom w:val="single" w:sz="8" w:space="0" w:color="152935"/>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64.9%</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13</w:t>
            </w:r>
          </w:p>
        </w:tc>
        <w:tc>
          <w:tcPr>
            <w:tcW w:w="1024" w:type="dxa"/>
            <w:tcBorders>
              <w:top w:val="single" w:sz="8" w:space="0" w:color="152935"/>
              <w:left w:val="single" w:sz="8" w:space="0" w:color="E0E0E0"/>
              <w:bottom w:val="single" w:sz="8" w:space="0" w:color="152935"/>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35.1%</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37</w:t>
            </w:r>
          </w:p>
        </w:tc>
        <w:tc>
          <w:tcPr>
            <w:tcW w:w="1024" w:type="dxa"/>
            <w:tcBorders>
              <w:top w:val="single" w:sz="8" w:space="0" w:color="152935"/>
              <w:left w:val="single" w:sz="8" w:space="0" w:color="E0E0E0"/>
              <w:bottom w:val="single" w:sz="8" w:space="0" w:color="152935"/>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r>
    </w:tbl>
    <w:p w:rsidR="00A85A85" w:rsidRPr="00F11BDE" w:rsidRDefault="00A85A85" w:rsidP="00A85A85">
      <w:pPr>
        <w:autoSpaceDE w:val="0"/>
        <w:autoSpaceDN w:val="0"/>
        <w:adjustRightInd w:val="0"/>
        <w:spacing w:after="0" w:line="400" w:lineRule="atLeast"/>
        <w:rPr>
          <w:rFonts w:ascii="Arial" w:hAnsi="Arial" w:cs="Arial"/>
          <w:sz w:val="24"/>
          <w:szCs w:val="24"/>
        </w:rPr>
      </w:pPr>
    </w:p>
    <w:p w:rsidR="00A85A85" w:rsidRPr="00F11BDE" w:rsidRDefault="00A85A85" w:rsidP="00A85A85">
      <w:pPr>
        <w:autoSpaceDE w:val="0"/>
        <w:autoSpaceDN w:val="0"/>
        <w:adjustRightInd w:val="0"/>
        <w:spacing w:after="0" w:line="240" w:lineRule="auto"/>
        <w:rPr>
          <w:rFonts w:ascii="Arial" w:hAnsi="Arial" w:cs="Arial"/>
          <w:sz w:val="24"/>
          <w:szCs w:val="24"/>
        </w:rPr>
      </w:pPr>
      <w:r w:rsidRPr="00F11BDE">
        <w:rPr>
          <w:rFonts w:ascii="Arial" w:hAnsi="Arial" w:cs="Arial"/>
          <w:sz w:val="24"/>
          <w:szCs w:val="24"/>
        </w:rPr>
        <w:t>Table2.0</w:t>
      </w: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6"/>
        <w:gridCol w:w="2448"/>
        <w:gridCol w:w="1668"/>
        <w:gridCol w:w="1025"/>
        <w:gridCol w:w="1025"/>
        <w:gridCol w:w="1025"/>
      </w:tblGrid>
      <w:tr w:rsidR="00A85A85" w:rsidRPr="00F11BDE" w:rsidTr="00FB1BE7">
        <w:trPr>
          <w:cantSplit/>
        </w:trPr>
        <w:tc>
          <w:tcPr>
            <w:tcW w:w="8103" w:type="dxa"/>
            <w:gridSpan w:val="6"/>
            <w:tcBorders>
              <w:top w:val="nil"/>
              <w:left w:val="nil"/>
              <w:bottom w:val="nil"/>
              <w:right w:val="nil"/>
            </w:tcBorders>
            <w:shd w:val="clear" w:color="auto" w:fill="FFFFFF"/>
            <w:vAlign w:val="center"/>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010205"/>
              </w:rPr>
            </w:pPr>
            <w:r w:rsidRPr="00F11BDE">
              <w:rPr>
                <w:rFonts w:ascii="Arial" w:hAnsi="Arial" w:cs="Arial"/>
                <w:b/>
                <w:bCs/>
                <w:color w:val="010205"/>
              </w:rPr>
              <w:t>CFUcat * Gender Crosstabulation</w:t>
            </w:r>
          </w:p>
        </w:tc>
      </w:tr>
      <w:tr w:rsidR="00A85A85" w:rsidRPr="00F11BDE" w:rsidTr="00FB1BE7">
        <w:trPr>
          <w:cantSplit/>
        </w:trPr>
        <w:tc>
          <w:tcPr>
            <w:tcW w:w="5031" w:type="dxa"/>
            <w:gridSpan w:val="3"/>
            <w:vMerge w:val="restart"/>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sz w:val="24"/>
                <w:szCs w:val="24"/>
              </w:rPr>
            </w:pPr>
          </w:p>
        </w:tc>
        <w:tc>
          <w:tcPr>
            <w:tcW w:w="2048" w:type="dxa"/>
            <w:gridSpan w:val="2"/>
            <w:tcBorders>
              <w:top w:val="nil"/>
              <w:left w:val="nil"/>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Gender</w:t>
            </w:r>
          </w:p>
        </w:tc>
        <w:tc>
          <w:tcPr>
            <w:tcW w:w="1024" w:type="dxa"/>
            <w:vMerge w:val="restart"/>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Total</w:t>
            </w:r>
          </w:p>
        </w:tc>
      </w:tr>
      <w:tr w:rsidR="00A85A85" w:rsidRPr="00F11BDE" w:rsidTr="00FB1BE7">
        <w:trPr>
          <w:cantSplit/>
        </w:trPr>
        <w:tc>
          <w:tcPr>
            <w:tcW w:w="5031" w:type="dxa"/>
            <w:gridSpan w:val="3"/>
            <w:vMerge/>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female</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male</w:t>
            </w:r>
          </w:p>
        </w:tc>
        <w:tc>
          <w:tcPr>
            <w:tcW w:w="1024" w:type="dxa"/>
            <w:vMerge/>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8"/>
                <w:szCs w:val="18"/>
              </w:rPr>
            </w:pPr>
          </w:p>
        </w:tc>
      </w:tr>
      <w:tr w:rsidR="00A85A85" w:rsidRPr="00F11BDE" w:rsidTr="00FB1BE7">
        <w:trPr>
          <w:cantSplit/>
        </w:trPr>
        <w:tc>
          <w:tcPr>
            <w:tcW w:w="917" w:type="dxa"/>
            <w:vMerge w:val="restart"/>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CFUcat</w:t>
            </w:r>
          </w:p>
        </w:tc>
        <w:tc>
          <w:tcPr>
            <w:tcW w:w="2447" w:type="dxa"/>
            <w:vMerge w:val="restart"/>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No growth</w:t>
            </w:r>
          </w:p>
        </w:tc>
        <w:tc>
          <w:tcPr>
            <w:tcW w:w="1667" w:type="dxa"/>
            <w:tcBorders>
              <w:top w:val="single" w:sz="8" w:space="0" w:color="152935"/>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Count</w:t>
            </w:r>
          </w:p>
        </w:tc>
        <w:tc>
          <w:tcPr>
            <w:tcW w:w="1024" w:type="dxa"/>
            <w:tcBorders>
              <w:top w:val="single" w:sz="8" w:space="0" w:color="152935"/>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9</w:t>
            </w:r>
          </w:p>
        </w:tc>
        <w:tc>
          <w:tcPr>
            <w:tcW w:w="1024" w:type="dxa"/>
            <w:tcBorders>
              <w:top w:val="single" w:sz="8" w:space="0" w:color="152935"/>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11</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11.0</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16.7%</w:t>
            </w:r>
          </w:p>
        </w:tc>
        <w:tc>
          <w:tcPr>
            <w:tcW w:w="1024" w:type="dxa"/>
            <w:tcBorders>
              <w:top w:val="single" w:sz="8" w:space="0" w:color="AEAEAE"/>
              <w:left w:val="single" w:sz="8" w:space="0" w:color="E0E0E0"/>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75.0%</w:t>
            </w:r>
          </w:p>
        </w:tc>
        <w:tc>
          <w:tcPr>
            <w:tcW w:w="1024" w:type="dxa"/>
            <w:tcBorders>
              <w:top w:val="single" w:sz="8" w:space="0" w:color="AEAEAE"/>
              <w:left w:val="single" w:sz="8" w:space="0" w:color="E0E0E0"/>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45.8%</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447" w:type="dxa"/>
            <w:vMerge w:val="restart"/>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Overall no significant growth</w:t>
            </w: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11</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11.0</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66.7%</w:t>
            </w:r>
          </w:p>
        </w:tc>
        <w:tc>
          <w:tcPr>
            <w:tcW w:w="1024" w:type="dxa"/>
            <w:tcBorders>
              <w:top w:val="single" w:sz="8" w:space="0" w:color="AEAEAE"/>
              <w:left w:val="single" w:sz="8" w:space="0" w:color="E0E0E0"/>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25.0%</w:t>
            </w:r>
          </w:p>
        </w:tc>
        <w:tc>
          <w:tcPr>
            <w:tcW w:w="1024" w:type="dxa"/>
            <w:tcBorders>
              <w:top w:val="single" w:sz="8" w:space="0" w:color="AEAEAE"/>
              <w:left w:val="single" w:sz="8" w:space="0" w:color="E0E0E0"/>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45.8%</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447" w:type="dxa"/>
            <w:vMerge w:val="restart"/>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Significant growth</w:t>
            </w: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0</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2.0</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447" w:type="dxa"/>
            <w:vMerge/>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16.7%</w:t>
            </w:r>
          </w:p>
        </w:tc>
        <w:tc>
          <w:tcPr>
            <w:tcW w:w="1024" w:type="dxa"/>
            <w:tcBorders>
              <w:top w:val="single" w:sz="8" w:space="0" w:color="AEAEAE"/>
              <w:left w:val="single" w:sz="8" w:space="0" w:color="E0E0E0"/>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0.0%</w:t>
            </w:r>
          </w:p>
        </w:tc>
        <w:tc>
          <w:tcPr>
            <w:tcW w:w="1024" w:type="dxa"/>
            <w:tcBorders>
              <w:top w:val="single" w:sz="8" w:space="0" w:color="AEAEAE"/>
              <w:left w:val="single" w:sz="8" w:space="0" w:color="E0E0E0"/>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8.3%</w:t>
            </w:r>
          </w:p>
        </w:tc>
      </w:tr>
      <w:tr w:rsidR="00A85A85" w:rsidRPr="00F11BDE" w:rsidTr="00FB1BE7">
        <w:trPr>
          <w:cantSplit/>
        </w:trPr>
        <w:tc>
          <w:tcPr>
            <w:tcW w:w="3364" w:type="dxa"/>
            <w:gridSpan w:val="2"/>
            <w:vMerge w:val="restart"/>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Total</w:t>
            </w: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12</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24</w:t>
            </w:r>
          </w:p>
        </w:tc>
      </w:tr>
      <w:tr w:rsidR="00A85A85" w:rsidRPr="00F11BDE" w:rsidTr="00FB1BE7">
        <w:trPr>
          <w:cantSplit/>
        </w:trPr>
        <w:tc>
          <w:tcPr>
            <w:tcW w:w="3364" w:type="dxa"/>
            <w:gridSpan w:val="2"/>
            <w:vMerge/>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12.0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12.0</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24.0</w:t>
            </w:r>
          </w:p>
        </w:tc>
      </w:tr>
      <w:tr w:rsidR="00A85A85" w:rsidRPr="00F11BDE" w:rsidTr="00FB1BE7">
        <w:trPr>
          <w:cantSplit/>
        </w:trPr>
        <w:tc>
          <w:tcPr>
            <w:tcW w:w="3364" w:type="dxa"/>
            <w:gridSpan w:val="2"/>
            <w:vMerge/>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Gender</w:t>
            </w:r>
          </w:p>
        </w:tc>
        <w:tc>
          <w:tcPr>
            <w:tcW w:w="1024" w:type="dxa"/>
            <w:tcBorders>
              <w:top w:val="single" w:sz="8" w:space="0" w:color="AEAEAE"/>
              <w:left w:val="nil"/>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c>
          <w:tcPr>
            <w:tcW w:w="1024" w:type="dxa"/>
            <w:tcBorders>
              <w:top w:val="single" w:sz="8" w:space="0" w:color="AEAEAE"/>
              <w:left w:val="single" w:sz="8" w:space="0" w:color="E0E0E0"/>
              <w:bottom w:val="single" w:sz="8" w:space="0" w:color="152935"/>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r>
    </w:tbl>
    <w:p w:rsidR="00A85A85" w:rsidRPr="00F11BDE" w:rsidRDefault="00A85A85" w:rsidP="00A85A85">
      <w:pPr>
        <w:autoSpaceDE w:val="0"/>
        <w:autoSpaceDN w:val="0"/>
        <w:adjustRightInd w:val="0"/>
        <w:spacing w:after="0" w:line="400" w:lineRule="atLeast"/>
        <w:rPr>
          <w:rFonts w:ascii="Arial" w:hAnsi="Arial" w:cs="Arial"/>
          <w:sz w:val="24"/>
          <w:szCs w:val="24"/>
        </w:rPr>
      </w:pPr>
      <w:r w:rsidRPr="00F11BDE">
        <w:rPr>
          <w:rFonts w:ascii="Arial" w:hAnsi="Arial" w:cs="Arial"/>
          <w:sz w:val="24"/>
          <w:szCs w:val="24"/>
        </w:rPr>
        <w:t>Table 2.1</w:t>
      </w:r>
    </w:p>
    <w:p w:rsidR="00A85A85" w:rsidRPr="00F11BDE" w:rsidRDefault="00A85A85" w:rsidP="00A85A85">
      <w:pPr>
        <w:autoSpaceDE w:val="0"/>
        <w:autoSpaceDN w:val="0"/>
        <w:adjustRightInd w:val="0"/>
        <w:spacing w:after="0" w:line="240" w:lineRule="auto"/>
        <w:rPr>
          <w:rFonts w:ascii="Arial" w:hAnsi="Arial" w:cs="Arial"/>
          <w:sz w:val="24"/>
          <w:szCs w:val="24"/>
        </w:rPr>
      </w:pPr>
    </w:p>
    <w:tbl>
      <w:tblPr>
        <w:tblW w:w="59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24"/>
        <w:gridCol w:w="1024"/>
        <w:gridCol w:w="1468"/>
      </w:tblGrid>
      <w:tr w:rsidR="00A85A85" w:rsidRPr="00F11BDE" w:rsidTr="00FB1BE7">
        <w:trPr>
          <w:cantSplit/>
        </w:trPr>
        <w:tc>
          <w:tcPr>
            <w:tcW w:w="5963" w:type="dxa"/>
            <w:gridSpan w:val="4"/>
            <w:tcBorders>
              <w:top w:val="nil"/>
              <w:left w:val="nil"/>
              <w:bottom w:val="nil"/>
              <w:right w:val="nil"/>
            </w:tcBorders>
            <w:shd w:val="clear" w:color="auto" w:fill="FFFFFF"/>
            <w:vAlign w:val="center"/>
          </w:tcPr>
          <w:p w:rsidR="00A85A85" w:rsidRPr="00F11BDE" w:rsidRDefault="00A85A85" w:rsidP="00FB1BE7">
            <w:pPr>
              <w:autoSpaceDE w:val="0"/>
              <w:autoSpaceDN w:val="0"/>
              <w:adjustRightInd w:val="0"/>
              <w:spacing w:after="0" w:line="320" w:lineRule="atLeast"/>
              <w:ind w:left="60" w:right="60"/>
              <w:jc w:val="center"/>
              <w:rPr>
                <w:rFonts w:ascii="Arial" w:hAnsi="Arial" w:cs="Arial"/>
                <w:b/>
                <w:bCs/>
                <w:color w:val="010205"/>
              </w:rPr>
            </w:pPr>
          </w:p>
          <w:p w:rsidR="00A85A85" w:rsidRPr="00F11BDE" w:rsidRDefault="00A85A85" w:rsidP="00FB1BE7">
            <w:pPr>
              <w:autoSpaceDE w:val="0"/>
              <w:autoSpaceDN w:val="0"/>
              <w:adjustRightInd w:val="0"/>
              <w:spacing w:after="0" w:line="320" w:lineRule="atLeast"/>
              <w:ind w:left="60" w:right="60"/>
              <w:jc w:val="center"/>
              <w:rPr>
                <w:rFonts w:ascii="Arial" w:hAnsi="Arial" w:cs="Arial"/>
                <w:color w:val="010205"/>
              </w:rPr>
            </w:pPr>
            <w:r w:rsidRPr="00F11BDE">
              <w:rPr>
                <w:rFonts w:ascii="Arial" w:hAnsi="Arial" w:cs="Arial"/>
                <w:b/>
                <w:bCs/>
                <w:color w:val="010205"/>
              </w:rPr>
              <w:t>Chi-Square Tests</w:t>
            </w:r>
          </w:p>
        </w:tc>
      </w:tr>
      <w:tr w:rsidR="00A85A85" w:rsidRPr="00F11BDE" w:rsidTr="00FB1BE7">
        <w:trPr>
          <w:cantSplit/>
        </w:trPr>
        <w:tc>
          <w:tcPr>
            <w:tcW w:w="2447" w:type="dxa"/>
            <w:tcBorders>
              <w:top w:val="nil"/>
              <w:left w:val="nil"/>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Value</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df</w:t>
            </w:r>
          </w:p>
        </w:tc>
        <w:tc>
          <w:tcPr>
            <w:tcW w:w="1468" w:type="dxa"/>
            <w:tcBorders>
              <w:top w:val="nil"/>
              <w:left w:val="single" w:sz="8" w:space="0" w:color="E0E0E0"/>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Asymptotic Significance (2-sided)</w:t>
            </w:r>
          </w:p>
        </w:tc>
      </w:tr>
      <w:tr w:rsidR="00A85A85" w:rsidRPr="00F11BDE" w:rsidTr="00FB1BE7">
        <w:trPr>
          <w:cantSplit/>
        </w:trPr>
        <w:tc>
          <w:tcPr>
            <w:tcW w:w="2447" w:type="dxa"/>
            <w:tcBorders>
              <w:top w:val="single" w:sz="8" w:space="0" w:color="152935"/>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Pearson Chi-Square</w:t>
            </w:r>
          </w:p>
        </w:tc>
        <w:tc>
          <w:tcPr>
            <w:tcW w:w="1024" w:type="dxa"/>
            <w:tcBorders>
              <w:top w:val="single" w:sz="8" w:space="0" w:color="152935"/>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8.727</w:t>
            </w:r>
            <w:r w:rsidRPr="00F11BDE">
              <w:rPr>
                <w:rFonts w:ascii="Arial" w:hAnsi="Arial" w:cs="Arial"/>
                <w:color w:val="010205"/>
                <w:sz w:val="18"/>
                <w:szCs w:val="18"/>
                <w:vertAlign w:val="superscript"/>
              </w:rPr>
              <w:t>a</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w:t>
            </w:r>
          </w:p>
        </w:tc>
        <w:tc>
          <w:tcPr>
            <w:tcW w:w="1468" w:type="dxa"/>
            <w:tcBorders>
              <w:top w:val="single" w:sz="8" w:space="0" w:color="152935"/>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.013</w:t>
            </w:r>
          </w:p>
        </w:tc>
      </w:tr>
      <w:tr w:rsidR="00A85A85" w:rsidRPr="00F11BDE" w:rsidTr="00FB1BE7">
        <w:trPr>
          <w:cantSplit/>
        </w:trPr>
        <w:tc>
          <w:tcPr>
            <w:tcW w:w="244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Likelihood Ratio</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9.949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w:t>
            </w:r>
          </w:p>
        </w:tc>
        <w:tc>
          <w:tcPr>
            <w:tcW w:w="1468"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.007</w:t>
            </w:r>
          </w:p>
        </w:tc>
      </w:tr>
      <w:tr w:rsidR="00A85A85" w:rsidRPr="00F11BDE" w:rsidTr="00FB1BE7">
        <w:trPr>
          <w:cantSplit/>
        </w:trPr>
        <w:tc>
          <w:tcPr>
            <w:tcW w:w="244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Linear-by-Linear Association</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8.065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w:t>
            </w:r>
          </w:p>
        </w:tc>
        <w:tc>
          <w:tcPr>
            <w:tcW w:w="1468"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.005</w:t>
            </w:r>
          </w:p>
        </w:tc>
      </w:tr>
      <w:tr w:rsidR="00A85A85" w:rsidRPr="00F11BDE" w:rsidTr="00FB1BE7">
        <w:trPr>
          <w:cantSplit/>
        </w:trPr>
        <w:tc>
          <w:tcPr>
            <w:tcW w:w="2447" w:type="dxa"/>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N of Valid Cases</w:t>
            </w:r>
          </w:p>
        </w:tc>
        <w:tc>
          <w:tcPr>
            <w:tcW w:w="1024" w:type="dxa"/>
            <w:tcBorders>
              <w:top w:val="single" w:sz="8" w:space="0" w:color="AEAEAE"/>
              <w:left w:val="nil"/>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24"/>
                <w:szCs w:val="24"/>
              </w:rPr>
            </w:pPr>
          </w:p>
        </w:tc>
        <w:tc>
          <w:tcPr>
            <w:tcW w:w="1468" w:type="dxa"/>
            <w:tcBorders>
              <w:top w:val="single" w:sz="8" w:space="0" w:color="AEAEAE"/>
              <w:left w:val="single" w:sz="8" w:space="0" w:color="E0E0E0"/>
              <w:bottom w:val="single" w:sz="8" w:space="0" w:color="152935"/>
              <w:right w:val="nil"/>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24"/>
                <w:szCs w:val="24"/>
              </w:rPr>
            </w:pPr>
          </w:p>
        </w:tc>
      </w:tr>
      <w:tr w:rsidR="00A85A85" w:rsidRPr="00F11BDE" w:rsidTr="00FB1BE7">
        <w:trPr>
          <w:cantSplit/>
        </w:trPr>
        <w:tc>
          <w:tcPr>
            <w:tcW w:w="5963" w:type="dxa"/>
            <w:gridSpan w:val="4"/>
            <w:tcBorders>
              <w:top w:val="nil"/>
              <w:left w:val="nil"/>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rPr>
                <w:rFonts w:ascii="Arial" w:hAnsi="Arial" w:cs="Arial"/>
                <w:color w:val="010205"/>
                <w:sz w:val="18"/>
                <w:szCs w:val="18"/>
              </w:rPr>
            </w:pPr>
            <w:r w:rsidRPr="00F11BDE">
              <w:rPr>
                <w:rFonts w:ascii="Arial" w:hAnsi="Arial" w:cs="Arial"/>
                <w:color w:val="010205"/>
                <w:sz w:val="18"/>
                <w:szCs w:val="18"/>
              </w:rPr>
              <w:t>a. 2 cells (33.3%) have expected count less than 5. The minimum expected count is 1.00.</w:t>
            </w:r>
          </w:p>
        </w:tc>
      </w:tr>
    </w:tbl>
    <w:p w:rsidR="00A85A85" w:rsidRPr="00F11BDE" w:rsidRDefault="00A85A85" w:rsidP="00A85A85">
      <w:pPr>
        <w:autoSpaceDE w:val="0"/>
        <w:autoSpaceDN w:val="0"/>
        <w:adjustRightInd w:val="0"/>
        <w:spacing w:after="0" w:line="400" w:lineRule="atLeast"/>
        <w:rPr>
          <w:rFonts w:ascii="Arial" w:hAnsi="Arial" w:cs="Arial"/>
          <w:sz w:val="24"/>
          <w:szCs w:val="24"/>
        </w:rPr>
      </w:pPr>
      <w:r w:rsidRPr="00F11BDE">
        <w:rPr>
          <w:rFonts w:ascii="Arial" w:hAnsi="Arial" w:cs="Arial"/>
          <w:sz w:val="24"/>
          <w:szCs w:val="24"/>
        </w:rPr>
        <w:t>Table 2.2</w:t>
      </w:r>
    </w:p>
    <w:p w:rsidR="00A85A85" w:rsidRPr="00F11BDE" w:rsidRDefault="00A85A85" w:rsidP="00A85A85">
      <w:pPr>
        <w:autoSpaceDE w:val="0"/>
        <w:autoSpaceDN w:val="0"/>
        <w:adjustRightInd w:val="0"/>
        <w:spacing w:after="0" w:line="400" w:lineRule="atLeast"/>
        <w:rPr>
          <w:rFonts w:ascii="Arial" w:hAnsi="Arial" w:cs="Arial"/>
          <w:sz w:val="24"/>
          <w:szCs w:val="24"/>
        </w:rPr>
      </w:pPr>
    </w:p>
    <w:p w:rsidR="00A85A85" w:rsidRPr="00F11BDE" w:rsidRDefault="00A85A85" w:rsidP="00A85A85">
      <w:pPr>
        <w:autoSpaceDE w:val="0"/>
        <w:autoSpaceDN w:val="0"/>
        <w:adjustRightInd w:val="0"/>
        <w:spacing w:after="0" w:line="400" w:lineRule="atLeast"/>
        <w:rPr>
          <w:rFonts w:ascii="Arial" w:hAnsi="Arial" w:cs="Arial"/>
          <w:sz w:val="24"/>
          <w:szCs w:val="24"/>
        </w:rPr>
      </w:pPr>
    </w:p>
    <w:p w:rsidR="00A85A85" w:rsidRPr="00F11BDE" w:rsidRDefault="00A85A85" w:rsidP="00A85A85">
      <w:pPr>
        <w:autoSpaceDE w:val="0"/>
        <w:autoSpaceDN w:val="0"/>
        <w:adjustRightInd w:val="0"/>
        <w:spacing w:after="0" w:line="240" w:lineRule="auto"/>
        <w:rPr>
          <w:rFonts w:ascii="Arial" w:hAnsi="Arial" w:cs="Arial"/>
          <w:sz w:val="24"/>
          <w:szCs w:val="24"/>
        </w:rPr>
      </w:pPr>
    </w:p>
    <w:tbl>
      <w:tblPr>
        <w:tblW w:w="7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13"/>
        <w:gridCol w:w="1024"/>
        <w:gridCol w:w="1025"/>
        <w:gridCol w:w="1025"/>
        <w:gridCol w:w="1025"/>
        <w:gridCol w:w="1025"/>
        <w:gridCol w:w="1025"/>
      </w:tblGrid>
      <w:tr w:rsidR="00A85A85" w:rsidRPr="00F11BDE" w:rsidTr="00FB1BE7">
        <w:trPr>
          <w:cantSplit/>
        </w:trPr>
        <w:tc>
          <w:tcPr>
            <w:tcW w:w="7857" w:type="dxa"/>
            <w:gridSpan w:val="7"/>
            <w:tcBorders>
              <w:top w:val="nil"/>
              <w:left w:val="nil"/>
              <w:bottom w:val="nil"/>
              <w:right w:val="nil"/>
            </w:tcBorders>
            <w:shd w:val="clear" w:color="auto" w:fill="FFFFFF"/>
            <w:vAlign w:val="center"/>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010205"/>
              </w:rPr>
            </w:pPr>
            <w:r w:rsidRPr="00F11BDE">
              <w:rPr>
                <w:rFonts w:ascii="Arial" w:hAnsi="Arial" w:cs="Arial"/>
                <w:b/>
                <w:bCs/>
                <w:color w:val="010205"/>
              </w:rPr>
              <w:t>Case Processing Summary</w:t>
            </w:r>
          </w:p>
        </w:tc>
      </w:tr>
      <w:tr w:rsidR="00A85A85" w:rsidRPr="00F11BDE" w:rsidTr="00FB1BE7">
        <w:trPr>
          <w:cantSplit/>
        </w:trPr>
        <w:tc>
          <w:tcPr>
            <w:tcW w:w="1713" w:type="dxa"/>
            <w:vMerge w:val="restart"/>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sz w:val="24"/>
                <w:szCs w:val="24"/>
              </w:rPr>
            </w:pPr>
          </w:p>
        </w:tc>
        <w:tc>
          <w:tcPr>
            <w:tcW w:w="6144" w:type="dxa"/>
            <w:gridSpan w:val="6"/>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Cases</w:t>
            </w:r>
          </w:p>
        </w:tc>
      </w:tr>
      <w:tr w:rsidR="00A85A85" w:rsidRPr="00F11BDE" w:rsidTr="00FB1BE7">
        <w:trPr>
          <w:cantSplit/>
        </w:trPr>
        <w:tc>
          <w:tcPr>
            <w:tcW w:w="1713" w:type="dxa"/>
            <w:vMerge/>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8"/>
                <w:szCs w:val="18"/>
              </w:rPr>
            </w:pPr>
          </w:p>
        </w:tc>
        <w:tc>
          <w:tcPr>
            <w:tcW w:w="2048" w:type="dxa"/>
            <w:gridSpan w:val="2"/>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Valid</w:t>
            </w:r>
          </w:p>
        </w:tc>
        <w:tc>
          <w:tcPr>
            <w:tcW w:w="2048" w:type="dxa"/>
            <w:gridSpan w:val="2"/>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Missing</w:t>
            </w:r>
          </w:p>
        </w:tc>
        <w:tc>
          <w:tcPr>
            <w:tcW w:w="2048" w:type="dxa"/>
            <w:gridSpan w:val="2"/>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Total</w:t>
            </w:r>
          </w:p>
        </w:tc>
      </w:tr>
      <w:tr w:rsidR="00A85A85" w:rsidRPr="00F11BDE" w:rsidTr="00FB1BE7">
        <w:trPr>
          <w:cantSplit/>
        </w:trPr>
        <w:tc>
          <w:tcPr>
            <w:tcW w:w="1713" w:type="dxa"/>
            <w:vMerge/>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Percent</w:t>
            </w:r>
          </w:p>
        </w:tc>
      </w:tr>
      <w:tr w:rsidR="00A85A85" w:rsidRPr="00F11BDE" w:rsidTr="00FB1BE7">
        <w:trPr>
          <w:cantSplit/>
        </w:trPr>
        <w:tc>
          <w:tcPr>
            <w:tcW w:w="1713" w:type="dxa"/>
            <w:tcBorders>
              <w:top w:val="single" w:sz="8" w:space="0" w:color="152935"/>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CFUcat * Gender</w:t>
            </w:r>
          </w:p>
        </w:tc>
        <w:tc>
          <w:tcPr>
            <w:tcW w:w="1024" w:type="dxa"/>
            <w:tcBorders>
              <w:top w:val="single" w:sz="8" w:space="0" w:color="152935"/>
              <w:left w:val="nil"/>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24</w:t>
            </w:r>
          </w:p>
        </w:tc>
        <w:tc>
          <w:tcPr>
            <w:tcW w:w="1024" w:type="dxa"/>
            <w:tcBorders>
              <w:top w:val="single" w:sz="8" w:space="0" w:color="152935"/>
              <w:left w:val="single" w:sz="8" w:space="0" w:color="E0E0E0"/>
              <w:bottom w:val="single" w:sz="8" w:space="0" w:color="152935"/>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64.9%</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13</w:t>
            </w:r>
          </w:p>
        </w:tc>
        <w:tc>
          <w:tcPr>
            <w:tcW w:w="1024" w:type="dxa"/>
            <w:tcBorders>
              <w:top w:val="single" w:sz="8" w:space="0" w:color="152935"/>
              <w:left w:val="single" w:sz="8" w:space="0" w:color="E0E0E0"/>
              <w:bottom w:val="single" w:sz="8" w:space="0" w:color="152935"/>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35.1%</w:t>
            </w:r>
          </w:p>
        </w:tc>
        <w:tc>
          <w:tcPr>
            <w:tcW w:w="1024" w:type="dxa"/>
            <w:tcBorders>
              <w:top w:val="single" w:sz="8" w:space="0" w:color="152935"/>
              <w:left w:val="single" w:sz="8" w:space="0" w:color="E0E0E0"/>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37</w:t>
            </w:r>
          </w:p>
        </w:tc>
        <w:tc>
          <w:tcPr>
            <w:tcW w:w="1024" w:type="dxa"/>
            <w:tcBorders>
              <w:top w:val="single" w:sz="8" w:space="0" w:color="152935"/>
              <w:left w:val="single" w:sz="8" w:space="0" w:color="E0E0E0"/>
              <w:bottom w:val="single" w:sz="8" w:space="0" w:color="152935"/>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r>
    </w:tbl>
    <w:p w:rsidR="00A85A85" w:rsidRPr="00F11BDE" w:rsidRDefault="00A85A85" w:rsidP="00A85A85">
      <w:pPr>
        <w:autoSpaceDE w:val="0"/>
        <w:autoSpaceDN w:val="0"/>
        <w:adjustRightInd w:val="0"/>
        <w:spacing w:after="0" w:line="400" w:lineRule="atLeast"/>
        <w:rPr>
          <w:rFonts w:ascii="Arial" w:hAnsi="Arial" w:cs="Arial"/>
          <w:sz w:val="24"/>
          <w:szCs w:val="24"/>
        </w:rPr>
      </w:pPr>
    </w:p>
    <w:p w:rsidR="00A85A85" w:rsidRPr="00F11BDE" w:rsidRDefault="00A85A85" w:rsidP="00A85A85">
      <w:pPr>
        <w:autoSpaceDE w:val="0"/>
        <w:autoSpaceDN w:val="0"/>
        <w:adjustRightInd w:val="0"/>
        <w:spacing w:after="0" w:line="240" w:lineRule="auto"/>
        <w:rPr>
          <w:rFonts w:ascii="Arial" w:hAnsi="Arial" w:cs="Arial"/>
          <w:sz w:val="24"/>
          <w:szCs w:val="24"/>
        </w:rPr>
      </w:pPr>
      <w:r w:rsidRPr="00F11BDE">
        <w:rPr>
          <w:rFonts w:ascii="Arial" w:hAnsi="Arial" w:cs="Arial"/>
          <w:sz w:val="24"/>
          <w:szCs w:val="24"/>
        </w:rPr>
        <w:t>Table 3.0</w:t>
      </w:r>
    </w:p>
    <w:tbl>
      <w:tblPr>
        <w:tblW w:w="76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16"/>
        <w:gridCol w:w="2020"/>
        <w:gridCol w:w="1668"/>
        <w:gridCol w:w="1025"/>
        <w:gridCol w:w="1025"/>
        <w:gridCol w:w="1025"/>
      </w:tblGrid>
      <w:tr w:rsidR="00A85A85" w:rsidRPr="00F11BDE" w:rsidTr="00FB1BE7">
        <w:trPr>
          <w:cantSplit/>
        </w:trPr>
        <w:tc>
          <w:tcPr>
            <w:tcW w:w="7675" w:type="dxa"/>
            <w:gridSpan w:val="6"/>
            <w:tcBorders>
              <w:top w:val="nil"/>
              <w:left w:val="nil"/>
              <w:bottom w:val="nil"/>
              <w:right w:val="nil"/>
            </w:tcBorders>
            <w:shd w:val="clear" w:color="auto" w:fill="FFFFFF"/>
            <w:vAlign w:val="center"/>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010205"/>
              </w:rPr>
            </w:pPr>
            <w:r w:rsidRPr="00F11BDE">
              <w:rPr>
                <w:rFonts w:ascii="Arial" w:hAnsi="Arial" w:cs="Arial"/>
                <w:b/>
                <w:bCs/>
                <w:color w:val="010205"/>
              </w:rPr>
              <w:t>CFUcat * Gender Crosstabulation</w:t>
            </w:r>
          </w:p>
        </w:tc>
      </w:tr>
      <w:tr w:rsidR="00A85A85" w:rsidRPr="00F11BDE" w:rsidTr="00FB1BE7">
        <w:trPr>
          <w:cantSplit/>
        </w:trPr>
        <w:tc>
          <w:tcPr>
            <w:tcW w:w="4603" w:type="dxa"/>
            <w:gridSpan w:val="3"/>
            <w:vMerge w:val="restart"/>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sz w:val="24"/>
                <w:szCs w:val="24"/>
              </w:rPr>
            </w:pPr>
          </w:p>
        </w:tc>
        <w:tc>
          <w:tcPr>
            <w:tcW w:w="2048" w:type="dxa"/>
            <w:gridSpan w:val="2"/>
            <w:tcBorders>
              <w:top w:val="nil"/>
              <w:left w:val="nil"/>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Gender</w:t>
            </w:r>
          </w:p>
        </w:tc>
        <w:tc>
          <w:tcPr>
            <w:tcW w:w="1024" w:type="dxa"/>
            <w:vMerge w:val="restart"/>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Total</w:t>
            </w:r>
          </w:p>
        </w:tc>
      </w:tr>
      <w:tr w:rsidR="00A85A85" w:rsidRPr="00F11BDE" w:rsidTr="00FB1BE7">
        <w:trPr>
          <w:cantSplit/>
        </w:trPr>
        <w:tc>
          <w:tcPr>
            <w:tcW w:w="4603" w:type="dxa"/>
            <w:gridSpan w:val="3"/>
            <w:vMerge/>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female</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8"/>
                <w:szCs w:val="18"/>
              </w:rPr>
            </w:pPr>
            <w:r w:rsidRPr="00F11BDE">
              <w:rPr>
                <w:rFonts w:ascii="Arial" w:hAnsi="Arial" w:cs="Arial"/>
                <w:color w:val="264A60"/>
                <w:sz w:val="18"/>
                <w:szCs w:val="18"/>
              </w:rPr>
              <w:t>male</w:t>
            </w:r>
          </w:p>
        </w:tc>
        <w:tc>
          <w:tcPr>
            <w:tcW w:w="1024" w:type="dxa"/>
            <w:vMerge/>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8"/>
                <w:szCs w:val="18"/>
              </w:rPr>
            </w:pPr>
          </w:p>
        </w:tc>
      </w:tr>
      <w:tr w:rsidR="00A85A85" w:rsidRPr="00F11BDE" w:rsidTr="00FB1BE7">
        <w:trPr>
          <w:cantSplit/>
        </w:trPr>
        <w:tc>
          <w:tcPr>
            <w:tcW w:w="917" w:type="dxa"/>
            <w:vMerge w:val="restart"/>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CFUcat</w:t>
            </w:r>
          </w:p>
        </w:tc>
        <w:tc>
          <w:tcPr>
            <w:tcW w:w="2019" w:type="dxa"/>
            <w:vMerge w:val="restart"/>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No growth</w:t>
            </w:r>
          </w:p>
        </w:tc>
        <w:tc>
          <w:tcPr>
            <w:tcW w:w="1667" w:type="dxa"/>
            <w:tcBorders>
              <w:top w:val="single" w:sz="8" w:space="0" w:color="152935"/>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Count</w:t>
            </w:r>
          </w:p>
        </w:tc>
        <w:tc>
          <w:tcPr>
            <w:tcW w:w="1024" w:type="dxa"/>
            <w:tcBorders>
              <w:top w:val="single" w:sz="8" w:space="0" w:color="152935"/>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9</w:t>
            </w:r>
          </w:p>
        </w:tc>
        <w:tc>
          <w:tcPr>
            <w:tcW w:w="1024" w:type="dxa"/>
            <w:tcBorders>
              <w:top w:val="single" w:sz="8" w:space="0" w:color="152935"/>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11</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019"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CFUcat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18.2%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81.8%</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019"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16.7%</w:t>
            </w:r>
          </w:p>
        </w:tc>
        <w:tc>
          <w:tcPr>
            <w:tcW w:w="1024" w:type="dxa"/>
            <w:tcBorders>
              <w:top w:val="single" w:sz="8" w:space="0" w:color="AEAEAE"/>
              <w:left w:val="single" w:sz="8" w:space="0" w:color="E0E0E0"/>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75.0%</w:t>
            </w:r>
          </w:p>
        </w:tc>
        <w:tc>
          <w:tcPr>
            <w:tcW w:w="1024" w:type="dxa"/>
            <w:tcBorders>
              <w:top w:val="single" w:sz="8" w:space="0" w:color="AEAEAE"/>
              <w:left w:val="single" w:sz="8" w:space="0" w:color="E0E0E0"/>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45.8%</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019" w:type="dxa"/>
            <w:vMerge w:val="restart"/>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no significant growth</w:t>
            </w: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11</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019" w:type="dxa"/>
            <w:vMerge/>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CFUcat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72.7%</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27.3%</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019" w:type="dxa"/>
            <w:vMerge/>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66.7%</w:t>
            </w:r>
          </w:p>
        </w:tc>
        <w:tc>
          <w:tcPr>
            <w:tcW w:w="1024" w:type="dxa"/>
            <w:tcBorders>
              <w:top w:val="single" w:sz="8" w:space="0" w:color="AEAEAE"/>
              <w:left w:val="single" w:sz="8" w:space="0" w:color="E0E0E0"/>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25.0%</w:t>
            </w:r>
          </w:p>
        </w:tc>
        <w:tc>
          <w:tcPr>
            <w:tcW w:w="1024" w:type="dxa"/>
            <w:tcBorders>
              <w:top w:val="single" w:sz="8" w:space="0" w:color="AEAEAE"/>
              <w:left w:val="single" w:sz="8" w:space="0" w:color="E0E0E0"/>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45.8%</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019" w:type="dxa"/>
            <w:vMerge w:val="restart"/>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Significant growth</w:t>
            </w: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0</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019" w:type="dxa"/>
            <w:vMerge/>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CFUcat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0.0%</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r>
      <w:tr w:rsidR="00A85A85" w:rsidRPr="00F11BDE" w:rsidTr="00FB1BE7">
        <w:trPr>
          <w:cantSplit/>
        </w:trPr>
        <w:tc>
          <w:tcPr>
            <w:tcW w:w="917" w:type="dxa"/>
            <w:vMerge/>
            <w:tcBorders>
              <w:top w:val="single" w:sz="8" w:space="0" w:color="152935"/>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2019" w:type="dxa"/>
            <w:vMerge/>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nil"/>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16.7%</w:t>
            </w:r>
          </w:p>
        </w:tc>
        <w:tc>
          <w:tcPr>
            <w:tcW w:w="1024" w:type="dxa"/>
            <w:tcBorders>
              <w:top w:val="single" w:sz="8" w:space="0" w:color="AEAEAE"/>
              <w:left w:val="single" w:sz="8" w:space="0" w:color="E0E0E0"/>
              <w:bottom w:val="nil"/>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0.0%</w:t>
            </w:r>
          </w:p>
        </w:tc>
        <w:tc>
          <w:tcPr>
            <w:tcW w:w="1024" w:type="dxa"/>
            <w:tcBorders>
              <w:top w:val="single" w:sz="8" w:space="0" w:color="AEAEAE"/>
              <w:left w:val="single" w:sz="8" w:space="0" w:color="E0E0E0"/>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8.3%</w:t>
            </w:r>
          </w:p>
        </w:tc>
      </w:tr>
      <w:tr w:rsidR="00A85A85" w:rsidRPr="00F11BDE" w:rsidTr="00FB1BE7">
        <w:trPr>
          <w:cantSplit/>
        </w:trPr>
        <w:tc>
          <w:tcPr>
            <w:tcW w:w="2936" w:type="dxa"/>
            <w:gridSpan w:val="2"/>
            <w:vMerge w:val="restart"/>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Total</w:t>
            </w: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12</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24</w:t>
            </w:r>
          </w:p>
        </w:tc>
      </w:tr>
      <w:tr w:rsidR="00A85A85" w:rsidRPr="00F11BDE" w:rsidTr="00FB1BE7">
        <w:trPr>
          <w:cantSplit/>
        </w:trPr>
        <w:tc>
          <w:tcPr>
            <w:tcW w:w="2936" w:type="dxa"/>
            <w:gridSpan w:val="2"/>
            <w:vMerge/>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CFUcat</w:t>
            </w:r>
          </w:p>
        </w:tc>
        <w:tc>
          <w:tcPr>
            <w:tcW w:w="1024"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50.0%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50.0%</w:t>
            </w:r>
          </w:p>
        </w:tc>
        <w:tc>
          <w:tcPr>
            <w:tcW w:w="1024"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r>
      <w:tr w:rsidR="00A85A85" w:rsidRPr="00F11BDE" w:rsidTr="00FB1BE7">
        <w:trPr>
          <w:cantSplit/>
        </w:trPr>
        <w:tc>
          <w:tcPr>
            <w:tcW w:w="2936" w:type="dxa"/>
            <w:gridSpan w:val="2"/>
            <w:vMerge/>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240" w:lineRule="auto"/>
              <w:rPr>
                <w:rFonts w:ascii="Arial" w:hAnsi="Arial" w:cs="Arial"/>
                <w:color w:val="010205"/>
                <w:sz w:val="18"/>
                <w:szCs w:val="18"/>
              </w:rPr>
            </w:pPr>
          </w:p>
        </w:tc>
        <w:tc>
          <w:tcPr>
            <w:tcW w:w="1667" w:type="dxa"/>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8"/>
                <w:szCs w:val="18"/>
              </w:rPr>
            </w:pPr>
            <w:r w:rsidRPr="00F11BDE">
              <w:rPr>
                <w:rFonts w:ascii="Arial" w:hAnsi="Arial" w:cs="Arial"/>
                <w:color w:val="264A60"/>
                <w:sz w:val="18"/>
                <w:szCs w:val="18"/>
              </w:rPr>
              <w:t>% within Gender</w:t>
            </w:r>
          </w:p>
        </w:tc>
        <w:tc>
          <w:tcPr>
            <w:tcW w:w="1024" w:type="dxa"/>
            <w:tcBorders>
              <w:top w:val="single" w:sz="8" w:space="0" w:color="AEAEAE"/>
              <w:left w:val="nil"/>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c>
          <w:tcPr>
            <w:tcW w:w="1024" w:type="dxa"/>
            <w:tcBorders>
              <w:top w:val="single" w:sz="8" w:space="0" w:color="AEAEAE"/>
              <w:left w:val="single" w:sz="8" w:space="0" w:color="E0E0E0"/>
              <w:bottom w:val="single" w:sz="8" w:space="0" w:color="152935"/>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8"/>
                <w:szCs w:val="18"/>
              </w:rPr>
            </w:pPr>
            <w:r w:rsidRPr="00F11BDE">
              <w:rPr>
                <w:rFonts w:ascii="Arial" w:hAnsi="Arial" w:cs="Arial"/>
                <w:color w:val="010205"/>
                <w:sz w:val="18"/>
                <w:szCs w:val="18"/>
              </w:rPr>
              <w:t>100.0%</w:t>
            </w:r>
          </w:p>
        </w:tc>
      </w:tr>
    </w:tbl>
    <w:p w:rsidR="00A85A85" w:rsidRPr="00F11BDE" w:rsidRDefault="00A85A85" w:rsidP="00A85A85">
      <w:pPr>
        <w:autoSpaceDE w:val="0"/>
        <w:autoSpaceDN w:val="0"/>
        <w:adjustRightInd w:val="0"/>
        <w:spacing w:after="0" w:line="400" w:lineRule="atLeast"/>
        <w:rPr>
          <w:rFonts w:ascii="Arial" w:hAnsi="Arial" w:cs="Arial"/>
          <w:sz w:val="24"/>
          <w:szCs w:val="24"/>
        </w:rPr>
      </w:pPr>
      <w:r w:rsidRPr="00F11BDE">
        <w:rPr>
          <w:rFonts w:ascii="Arial" w:hAnsi="Arial" w:cs="Arial"/>
          <w:sz w:val="24"/>
          <w:szCs w:val="24"/>
        </w:rPr>
        <w:t>Table 3.1</w:t>
      </w:r>
    </w:p>
    <w:p w:rsidR="00A85A85" w:rsidRPr="00F11BDE" w:rsidRDefault="00A85A85" w:rsidP="00A85A85">
      <w:pPr>
        <w:autoSpaceDE w:val="0"/>
        <w:autoSpaceDN w:val="0"/>
        <w:adjustRightInd w:val="0"/>
        <w:spacing w:after="0" w:line="240" w:lineRule="auto"/>
        <w:rPr>
          <w:rFonts w:ascii="Arial" w:hAnsi="Arial" w:cs="Arial"/>
          <w:sz w:val="24"/>
          <w:szCs w:val="24"/>
        </w:rPr>
      </w:pPr>
    </w:p>
    <w:tbl>
      <w:tblPr>
        <w:tblW w:w="15720"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06"/>
        <w:gridCol w:w="1133"/>
        <w:gridCol w:w="1133"/>
        <w:gridCol w:w="1622"/>
        <w:gridCol w:w="1453"/>
        <w:gridCol w:w="1555"/>
        <w:gridCol w:w="1555"/>
        <w:gridCol w:w="1453"/>
        <w:gridCol w:w="1555"/>
        <w:gridCol w:w="1555"/>
      </w:tblGrid>
      <w:tr w:rsidR="00A85A85" w:rsidRPr="00F11BDE" w:rsidTr="00FB1BE7">
        <w:trPr>
          <w:cantSplit/>
        </w:trPr>
        <w:tc>
          <w:tcPr>
            <w:tcW w:w="15720" w:type="dxa"/>
            <w:gridSpan w:val="10"/>
            <w:tcBorders>
              <w:top w:val="nil"/>
              <w:left w:val="nil"/>
              <w:bottom w:val="nil"/>
              <w:right w:val="nil"/>
            </w:tcBorders>
            <w:shd w:val="clear" w:color="auto" w:fill="FFFFFF"/>
            <w:vAlign w:val="center"/>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010205"/>
                <w:sz w:val="14"/>
                <w:szCs w:val="14"/>
              </w:rPr>
            </w:pPr>
            <w:r w:rsidRPr="00F11BDE">
              <w:rPr>
                <w:rFonts w:ascii="Arial" w:hAnsi="Arial" w:cs="Arial"/>
                <w:b/>
                <w:bCs/>
                <w:color w:val="010205"/>
                <w:sz w:val="14"/>
                <w:szCs w:val="14"/>
              </w:rPr>
              <w:t>Chi-Square Tests</w:t>
            </w:r>
          </w:p>
        </w:tc>
      </w:tr>
      <w:tr w:rsidR="00A85A85" w:rsidRPr="00F11BDE" w:rsidTr="00FB1BE7">
        <w:trPr>
          <w:cantSplit/>
        </w:trPr>
        <w:tc>
          <w:tcPr>
            <w:tcW w:w="2706" w:type="dxa"/>
            <w:vMerge w:val="restart"/>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133" w:type="dxa"/>
            <w:vMerge w:val="restart"/>
            <w:tcBorders>
              <w:top w:val="nil"/>
              <w:left w:val="nil"/>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Value</w:t>
            </w:r>
          </w:p>
        </w:tc>
        <w:tc>
          <w:tcPr>
            <w:tcW w:w="1133" w:type="dxa"/>
            <w:vMerge w:val="restart"/>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df</w:t>
            </w:r>
          </w:p>
        </w:tc>
        <w:tc>
          <w:tcPr>
            <w:tcW w:w="1622" w:type="dxa"/>
            <w:vMerge w:val="restart"/>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Asymptotic Significance (2-sided)</w:t>
            </w:r>
          </w:p>
        </w:tc>
        <w:tc>
          <w:tcPr>
            <w:tcW w:w="4563" w:type="dxa"/>
            <w:gridSpan w:val="3"/>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Monte Carlo Sig. (2-sided)</w:t>
            </w:r>
          </w:p>
        </w:tc>
        <w:tc>
          <w:tcPr>
            <w:tcW w:w="4563" w:type="dxa"/>
            <w:gridSpan w:val="3"/>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Monte Carlo Sig. (1-sided)</w:t>
            </w:r>
          </w:p>
        </w:tc>
      </w:tr>
      <w:tr w:rsidR="00A85A85" w:rsidRPr="00F11BDE" w:rsidTr="00FB1BE7">
        <w:trPr>
          <w:cantSplit/>
        </w:trPr>
        <w:tc>
          <w:tcPr>
            <w:tcW w:w="2706" w:type="dxa"/>
            <w:vMerge/>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133" w:type="dxa"/>
            <w:vMerge/>
            <w:tcBorders>
              <w:top w:val="nil"/>
              <w:left w:val="nil"/>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133" w:type="dxa"/>
            <w:vMerge/>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622" w:type="dxa"/>
            <w:vMerge/>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453" w:type="dxa"/>
            <w:vMerge w:val="restart"/>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Significance</w:t>
            </w:r>
          </w:p>
        </w:tc>
        <w:tc>
          <w:tcPr>
            <w:tcW w:w="3110" w:type="dxa"/>
            <w:gridSpan w:val="2"/>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99% Confidence Interval</w:t>
            </w:r>
          </w:p>
        </w:tc>
        <w:tc>
          <w:tcPr>
            <w:tcW w:w="1453" w:type="dxa"/>
            <w:vMerge w:val="restart"/>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Significance</w:t>
            </w:r>
          </w:p>
        </w:tc>
        <w:tc>
          <w:tcPr>
            <w:tcW w:w="3110" w:type="dxa"/>
            <w:gridSpan w:val="2"/>
            <w:tcBorders>
              <w:top w:val="nil"/>
              <w:left w:val="single" w:sz="8" w:space="0" w:color="E0E0E0"/>
              <w:bottom w:val="nil"/>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99% Confidence Interval</w:t>
            </w:r>
          </w:p>
        </w:tc>
      </w:tr>
      <w:tr w:rsidR="00A85A85" w:rsidRPr="00F11BDE" w:rsidTr="00FB1BE7">
        <w:trPr>
          <w:cantSplit/>
        </w:trPr>
        <w:tc>
          <w:tcPr>
            <w:tcW w:w="2706" w:type="dxa"/>
            <w:vMerge/>
            <w:tcBorders>
              <w:top w:val="nil"/>
              <w:left w:val="nil"/>
              <w:bottom w:val="nil"/>
              <w:right w:val="nil"/>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133" w:type="dxa"/>
            <w:vMerge/>
            <w:tcBorders>
              <w:top w:val="nil"/>
              <w:left w:val="nil"/>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133" w:type="dxa"/>
            <w:vMerge/>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622" w:type="dxa"/>
            <w:vMerge/>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453" w:type="dxa"/>
            <w:vMerge/>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Lower Bound</w:t>
            </w:r>
          </w:p>
        </w:tc>
        <w:tc>
          <w:tcPr>
            <w:tcW w:w="1555"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Upper Bound</w:t>
            </w:r>
          </w:p>
        </w:tc>
        <w:tc>
          <w:tcPr>
            <w:tcW w:w="1453" w:type="dxa"/>
            <w:vMerge/>
            <w:tcBorders>
              <w:top w:val="nil"/>
              <w:left w:val="single" w:sz="8" w:space="0" w:color="E0E0E0"/>
              <w:bottom w:val="nil"/>
              <w:right w:val="single" w:sz="8" w:space="0" w:color="E0E0E0"/>
            </w:tcBorders>
            <w:shd w:val="clear" w:color="auto" w:fill="FFFFFF"/>
            <w:vAlign w:val="bottom"/>
          </w:tcPr>
          <w:p w:rsidR="00A85A85" w:rsidRPr="00F11BDE" w:rsidRDefault="00A85A85" w:rsidP="00FB1BE7">
            <w:pPr>
              <w:autoSpaceDE w:val="0"/>
              <w:autoSpaceDN w:val="0"/>
              <w:adjustRightInd w:val="0"/>
              <w:spacing w:after="0" w:line="240" w:lineRule="auto"/>
              <w:rPr>
                <w:rFonts w:ascii="Arial" w:hAnsi="Arial" w:cs="Arial"/>
                <w:color w:val="264A60"/>
                <w:sz w:val="14"/>
                <w:szCs w:val="14"/>
              </w:rPr>
            </w:pPr>
          </w:p>
        </w:tc>
        <w:tc>
          <w:tcPr>
            <w:tcW w:w="1555" w:type="dxa"/>
            <w:tcBorders>
              <w:top w:val="nil"/>
              <w:left w:val="single" w:sz="8" w:space="0" w:color="E0E0E0"/>
              <w:bottom w:val="single" w:sz="8" w:space="0" w:color="152935"/>
              <w:right w:val="single" w:sz="8" w:space="0" w:color="E0E0E0"/>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Lower Bound</w:t>
            </w:r>
          </w:p>
        </w:tc>
        <w:tc>
          <w:tcPr>
            <w:tcW w:w="1555" w:type="dxa"/>
            <w:tcBorders>
              <w:top w:val="nil"/>
              <w:left w:val="single" w:sz="8" w:space="0" w:color="E0E0E0"/>
              <w:bottom w:val="single" w:sz="8" w:space="0" w:color="152935"/>
              <w:right w:val="nil"/>
            </w:tcBorders>
            <w:shd w:val="clear" w:color="auto" w:fill="FFFFFF"/>
            <w:vAlign w:val="bottom"/>
          </w:tcPr>
          <w:p w:rsidR="00A85A85" w:rsidRPr="00F11BDE" w:rsidRDefault="00A85A85" w:rsidP="00FB1BE7">
            <w:pPr>
              <w:autoSpaceDE w:val="0"/>
              <w:autoSpaceDN w:val="0"/>
              <w:adjustRightInd w:val="0"/>
              <w:spacing w:after="0" w:line="320" w:lineRule="atLeast"/>
              <w:ind w:left="60" w:right="60"/>
              <w:jc w:val="center"/>
              <w:rPr>
                <w:rFonts w:ascii="Arial" w:hAnsi="Arial" w:cs="Arial"/>
                <w:color w:val="264A60"/>
                <w:sz w:val="14"/>
                <w:szCs w:val="14"/>
              </w:rPr>
            </w:pPr>
            <w:r w:rsidRPr="00F11BDE">
              <w:rPr>
                <w:rFonts w:ascii="Arial" w:hAnsi="Arial" w:cs="Arial"/>
                <w:color w:val="264A60"/>
                <w:sz w:val="14"/>
                <w:szCs w:val="14"/>
              </w:rPr>
              <w:t>Upper Bound</w:t>
            </w:r>
          </w:p>
        </w:tc>
      </w:tr>
      <w:tr w:rsidR="00A85A85" w:rsidRPr="00F11BDE" w:rsidTr="00FB1BE7">
        <w:trPr>
          <w:cantSplit/>
        </w:trPr>
        <w:tc>
          <w:tcPr>
            <w:tcW w:w="2706" w:type="dxa"/>
            <w:tcBorders>
              <w:top w:val="single" w:sz="8" w:space="0" w:color="152935"/>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4"/>
                <w:szCs w:val="14"/>
              </w:rPr>
            </w:pPr>
            <w:r w:rsidRPr="00F11BDE">
              <w:rPr>
                <w:rFonts w:ascii="Arial" w:hAnsi="Arial" w:cs="Arial"/>
                <w:color w:val="264A60"/>
                <w:sz w:val="14"/>
                <w:szCs w:val="14"/>
              </w:rPr>
              <w:t>Pearson Chi-Square</w:t>
            </w:r>
          </w:p>
        </w:tc>
        <w:tc>
          <w:tcPr>
            <w:tcW w:w="1133" w:type="dxa"/>
            <w:tcBorders>
              <w:top w:val="single" w:sz="8" w:space="0" w:color="152935"/>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8.727</w:t>
            </w:r>
            <w:r w:rsidRPr="00F11BDE">
              <w:rPr>
                <w:rFonts w:ascii="Arial" w:hAnsi="Arial" w:cs="Arial"/>
                <w:color w:val="010205"/>
                <w:sz w:val="14"/>
                <w:szCs w:val="14"/>
                <w:vertAlign w:val="superscript"/>
              </w:rPr>
              <w:t>a</w:t>
            </w:r>
          </w:p>
        </w:tc>
        <w:tc>
          <w:tcPr>
            <w:tcW w:w="1133" w:type="dxa"/>
            <w:tcBorders>
              <w:top w:val="single" w:sz="8" w:space="0" w:color="152935"/>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2</w:t>
            </w:r>
          </w:p>
        </w:tc>
        <w:tc>
          <w:tcPr>
            <w:tcW w:w="1622" w:type="dxa"/>
            <w:tcBorders>
              <w:top w:val="single" w:sz="8" w:space="0" w:color="152935"/>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.013</w:t>
            </w:r>
          </w:p>
        </w:tc>
        <w:tc>
          <w:tcPr>
            <w:tcW w:w="1453" w:type="dxa"/>
            <w:tcBorders>
              <w:top w:val="single" w:sz="8" w:space="0" w:color="152935"/>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.018</w:t>
            </w:r>
            <w:r w:rsidRPr="00F11BDE">
              <w:rPr>
                <w:rFonts w:ascii="Arial" w:hAnsi="Arial" w:cs="Arial"/>
                <w:color w:val="010205"/>
                <w:sz w:val="14"/>
                <w:szCs w:val="14"/>
                <w:vertAlign w:val="superscript"/>
              </w:rPr>
              <w:t>b</w:t>
            </w:r>
          </w:p>
        </w:tc>
        <w:tc>
          <w:tcPr>
            <w:tcW w:w="1555" w:type="dxa"/>
            <w:tcBorders>
              <w:top w:val="single" w:sz="8" w:space="0" w:color="152935"/>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.014</w:t>
            </w:r>
          </w:p>
        </w:tc>
        <w:tc>
          <w:tcPr>
            <w:tcW w:w="1555" w:type="dxa"/>
            <w:tcBorders>
              <w:top w:val="single" w:sz="8" w:space="0" w:color="152935"/>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.021</w:t>
            </w:r>
          </w:p>
        </w:tc>
        <w:tc>
          <w:tcPr>
            <w:tcW w:w="1453"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152935"/>
              <w:left w:val="single" w:sz="8" w:space="0" w:color="E0E0E0"/>
              <w:bottom w:val="single" w:sz="8" w:space="0" w:color="AEAEAE"/>
              <w:right w:val="nil"/>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r>
      <w:tr w:rsidR="00A85A85" w:rsidRPr="00F11BDE" w:rsidTr="00FB1BE7">
        <w:trPr>
          <w:cantSplit/>
        </w:trPr>
        <w:tc>
          <w:tcPr>
            <w:tcW w:w="2706"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4"/>
                <w:szCs w:val="14"/>
              </w:rPr>
            </w:pPr>
            <w:r w:rsidRPr="00F11BDE">
              <w:rPr>
                <w:rFonts w:ascii="Arial" w:hAnsi="Arial" w:cs="Arial"/>
                <w:color w:val="264A60"/>
                <w:sz w:val="14"/>
                <w:szCs w:val="14"/>
              </w:rPr>
              <w:t>Likelihood Ratio</w:t>
            </w:r>
          </w:p>
        </w:tc>
        <w:tc>
          <w:tcPr>
            <w:tcW w:w="1133"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9.949</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2</w:t>
            </w:r>
          </w:p>
        </w:tc>
        <w:tc>
          <w:tcPr>
            <w:tcW w:w="1622"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.007</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.012</w:t>
            </w:r>
            <w:r w:rsidRPr="00F11BDE">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.009</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.015</w:t>
            </w:r>
          </w:p>
        </w:tc>
        <w:tc>
          <w:tcPr>
            <w:tcW w:w="145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r>
      <w:tr w:rsidR="00A85A85" w:rsidRPr="00F11BDE" w:rsidTr="00FB1BE7">
        <w:trPr>
          <w:cantSplit/>
        </w:trPr>
        <w:tc>
          <w:tcPr>
            <w:tcW w:w="2706"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4"/>
                <w:szCs w:val="14"/>
              </w:rPr>
            </w:pPr>
            <w:r w:rsidRPr="00F11BDE">
              <w:rPr>
                <w:rFonts w:ascii="Arial" w:hAnsi="Arial" w:cs="Arial"/>
                <w:color w:val="264A60"/>
                <w:sz w:val="14"/>
                <w:szCs w:val="14"/>
              </w:rPr>
              <w:t>Fisher's Exact Test</w:t>
            </w:r>
          </w:p>
        </w:tc>
        <w:tc>
          <w:tcPr>
            <w:tcW w:w="1133"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8.180</w:t>
            </w:r>
          </w:p>
        </w:tc>
        <w:tc>
          <w:tcPr>
            <w:tcW w:w="113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62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.018</w:t>
            </w:r>
            <w:r w:rsidRPr="00F11BDE">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.014</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.021</w:t>
            </w:r>
          </w:p>
        </w:tc>
        <w:tc>
          <w:tcPr>
            <w:tcW w:w="145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AEAEAE"/>
              <w:left w:val="single" w:sz="8" w:space="0" w:color="E0E0E0"/>
              <w:bottom w:val="single" w:sz="8" w:space="0" w:color="AEAEAE"/>
              <w:right w:val="nil"/>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r>
      <w:tr w:rsidR="00A85A85" w:rsidRPr="00F11BDE" w:rsidTr="00FB1BE7">
        <w:trPr>
          <w:cantSplit/>
        </w:trPr>
        <w:tc>
          <w:tcPr>
            <w:tcW w:w="2706" w:type="dxa"/>
            <w:tcBorders>
              <w:top w:val="single" w:sz="8" w:space="0" w:color="AEAEAE"/>
              <w:left w:val="nil"/>
              <w:bottom w:val="single" w:sz="8" w:space="0" w:color="AEAEAE"/>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4"/>
                <w:szCs w:val="14"/>
              </w:rPr>
            </w:pPr>
            <w:r w:rsidRPr="00F11BDE">
              <w:rPr>
                <w:rFonts w:ascii="Arial" w:hAnsi="Arial" w:cs="Arial"/>
                <w:color w:val="264A60"/>
                <w:sz w:val="14"/>
                <w:szCs w:val="14"/>
              </w:rPr>
              <w:t>Linear-by-Linear Association</w:t>
            </w:r>
          </w:p>
        </w:tc>
        <w:tc>
          <w:tcPr>
            <w:tcW w:w="1133" w:type="dxa"/>
            <w:tcBorders>
              <w:top w:val="single" w:sz="8" w:space="0" w:color="AEAEAE"/>
              <w:left w:val="nil"/>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8.065</w:t>
            </w:r>
            <w:r w:rsidRPr="00F11BDE">
              <w:rPr>
                <w:rFonts w:ascii="Arial" w:hAnsi="Arial" w:cs="Arial"/>
                <w:color w:val="010205"/>
                <w:sz w:val="14"/>
                <w:szCs w:val="14"/>
                <w:vertAlign w:val="superscript"/>
              </w:rPr>
              <w:t>c</w:t>
            </w:r>
          </w:p>
        </w:tc>
        <w:tc>
          <w:tcPr>
            <w:tcW w:w="1133"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1</w:t>
            </w:r>
          </w:p>
        </w:tc>
        <w:tc>
          <w:tcPr>
            <w:tcW w:w="1622"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.005</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.006</w:t>
            </w:r>
            <w:r w:rsidRPr="00F11BDE">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.004</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.008</w:t>
            </w:r>
          </w:p>
        </w:tc>
        <w:tc>
          <w:tcPr>
            <w:tcW w:w="1453"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.004</w:t>
            </w:r>
            <w:r w:rsidRPr="00F11BDE">
              <w:rPr>
                <w:rFonts w:ascii="Arial" w:hAnsi="Arial" w:cs="Arial"/>
                <w:color w:val="010205"/>
                <w:sz w:val="14"/>
                <w:szCs w:val="14"/>
                <w:vertAlign w:val="superscript"/>
              </w:rPr>
              <w:t>b</w:t>
            </w:r>
          </w:p>
        </w:tc>
        <w:tc>
          <w:tcPr>
            <w:tcW w:w="1555" w:type="dxa"/>
            <w:tcBorders>
              <w:top w:val="single" w:sz="8" w:space="0" w:color="AEAEAE"/>
              <w:left w:val="single" w:sz="8" w:space="0" w:color="E0E0E0"/>
              <w:bottom w:val="single" w:sz="8" w:space="0" w:color="AEAEAE"/>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.003</w:t>
            </w:r>
          </w:p>
        </w:tc>
        <w:tc>
          <w:tcPr>
            <w:tcW w:w="1555" w:type="dxa"/>
            <w:tcBorders>
              <w:top w:val="single" w:sz="8" w:space="0" w:color="AEAEAE"/>
              <w:left w:val="single" w:sz="8" w:space="0" w:color="E0E0E0"/>
              <w:bottom w:val="single" w:sz="8" w:space="0" w:color="AEAEAE"/>
              <w:right w:val="nil"/>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.006</w:t>
            </w:r>
          </w:p>
        </w:tc>
      </w:tr>
      <w:tr w:rsidR="00A85A85" w:rsidRPr="00F11BDE" w:rsidTr="00FB1BE7">
        <w:trPr>
          <w:cantSplit/>
        </w:trPr>
        <w:tc>
          <w:tcPr>
            <w:tcW w:w="2706" w:type="dxa"/>
            <w:tcBorders>
              <w:top w:val="single" w:sz="8" w:space="0" w:color="AEAEAE"/>
              <w:left w:val="nil"/>
              <w:bottom w:val="single" w:sz="8" w:space="0" w:color="152935"/>
              <w:right w:val="nil"/>
            </w:tcBorders>
            <w:shd w:val="clear" w:color="auto" w:fill="E0E0E0"/>
          </w:tcPr>
          <w:p w:rsidR="00A85A85" w:rsidRPr="00F11BDE" w:rsidRDefault="00A85A85" w:rsidP="00FB1BE7">
            <w:pPr>
              <w:autoSpaceDE w:val="0"/>
              <w:autoSpaceDN w:val="0"/>
              <w:adjustRightInd w:val="0"/>
              <w:spacing w:after="0" w:line="320" w:lineRule="atLeast"/>
              <w:ind w:left="60" w:right="60"/>
              <w:rPr>
                <w:rFonts w:ascii="Arial" w:hAnsi="Arial" w:cs="Arial"/>
                <w:color w:val="264A60"/>
                <w:sz w:val="14"/>
                <w:szCs w:val="14"/>
              </w:rPr>
            </w:pPr>
            <w:r w:rsidRPr="00F11BDE">
              <w:rPr>
                <w:rFonts w:ascii="Arial" w:hAnsi="Arial" w:cs="Arial"/>
                <w:color w:val="264A60"/>
                <w:sz w:val="14"/>
                <w:szCs w:val="14"/>
              </w:rPr>
              <w:t>N of Valid Cases</w:t>
            </w:r>
          </w:p>
        </w:tc>
        <w:tc>
          <w:tcPr>
            <w:tcW w:w="1133" w:type="dxa"/>
            <w:tcBorders>
              <w:top w:val="single" w:sz="8" w:space="0" w:color="AEAEAE"/>
              <w:left w:val="nil"/>
              <w:bottom w:val="single" w:sz="8" w:space="0" w:color="152935"/>
              <w:right w:val="single" w:sz="8" w:space="0" w:color="E0E0E0"/>
            </w:tcBorders>
            <w:shd w:val="clear" w:color="auto" w:fill="FFFFFF"/>
          </w:tcPr>
          <w:p w:rsidR="00A85A85" w:rsidRPr="00F11BDE" w:rsidRDefault="00A85A85" w:rsidP="00FB1BE7">
            <w:pPr>
              <w:autoSpaceDE w:val="0"/>
              <w:autoSpaceDN w:val="0"/>
              <w:adjustRightInd w:val="0"/>
              <w:spacing w:after="0" w:line="320" w:lineRule="atLeast"/>
              <w:ind w:left="60" w:right="60"/>
              <w:jc w:val="right"/>
              <w:rPr>
                <w:rFonts w:ascii="Arial" w:hAnsi="Arial" w:cs="Arial"/>
                <w:color w:val="010205"/>
                <w:sz w:val="14"/>
                <w:szCs w:val="14"/>
              </w:rPr>
            </w:pPr>
            <w:r w:rsidRPr="00F11BDE">
              <w:rPr>
                <w:rFonts w:ascii="Arial" w:hAnsi="Arial" w:cs="Arial"/>
                <w:color w:val="010205"/>
                <w:sz w:val="14"/>
                <w:szCs w:val="14"/>
              </w:rPr>
              <w:t>24</w:t>
            </w:r>
          </w:p>
        </w:tc>
        <w:tc>
          <w:tcPr>
            <w:tcW w:w="113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62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45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45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c>
          <w:tcPr>
            <w:tcW w:w="1555" w:type="dxa"/>
            <w:tcBorders>
              <w:top w:val="single" w:sz="8" w:space="0" w:color="AEAEAE"/>
              <w:left w:val="single" w:sz="8" w:space="0" w:color="E0E0E0"/>
              <w:bottom w:val="single" w:sz="8" w:space="0" w:color="152935"/>
              <w:right w:val="nil"/>
            </w:tcBorders>
            <w:shd w:val="clear" w:color="auto" w:fill="FFFFFF"/>
            <w:vAlign w:val="center"/>
          </w:tcPr>
          <w:p w:rsidR="00A85A85" w:rsidRPr="00F11BDE" w:rsidRDefault="00A85A85" w:rsidP="00FB1BE7">
            <w:pPr>
              <w:autoSpaceDE w:val="0"/>
              <w:autoSpaceDN w:val="0"/>
              <w:adjustRightInd w:val="0"/>
              <w:spacing w:after="0" w:line="240" w:lineRule="auto"/>
              <w:rPr>
                <w:rFonts w:ascii="Arial" w:hAnsi="Arial" w:cs="Arial"/>
                <w:sz w:val="14"/>
                <w:szCs w:val="14"/>
              </w:rPr>
            </w:pPr>
          </w:p>
        </w:tc>
      </w:tr>
      <w:tr w:rsidR="00A85A85" w:rsidRPr="00F11BDE" w:rsidTr="00FB1BE7">
        <w:trPr>
          <w:cantSplit/>
        </w:trPr>
        <w:tc>
          <w:tcPr>
            <w:tcW w:w="15720" w:type="dxa"/>
            <w:gridSpan w:val="10"/>
            <w:tcBorders>
              <w:top w:val="nil"/>
              <w:left w:val="nil"/>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rPr>
                <w:rFonts w:ascii="Arial" w:hAnsi="Arial" w:cs="Arial"/>
                <w:color w:val="010205"/>
                <w:sz w:val="14"/>
                <w:szCs w:val="14"/>
              </w:rPr>
            </w:pPr>
            <w:r w:rsidRPr="00F11BDE">
              <w:rPr>
                <w:rFonts w:ascii="Arial" w:hAnsi="Arial" w:cs="Arial"/>
                <w:color w:val="010205"/>
                <w:sz w:val="14"/>
                <w:szCs w:val="14"/>
              </w:rPr>
              <w:t>a. 2 cells (33.3%) have expected count less than 5. The minimum expected count is 1.00.</w:t>
            </w:r>
          </w:p>
        </w:tc>
      </w:tr>
      <w:tr w:rsidR="00A85A85" w:rsidRPr="00F11BDE" w:rsidTr="00FB1BE7">
        <w:trPr>
          <w:cantSplit/>
        </w:trPr>
        <w:tc>
          <w:tcPr>
            <w:tcW w:w="15720" w:type="dxa"/>
            <w:gridSpan w:val="10"/>
            <w:tcBorders>
              <w:top w:val="nil"/>
              <w:left w:val="nil"/>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rPr>
                <w:rFonts w:ascii="Arial" w:hAnsi="Arial" w:cs="Arial"/>
                <w:color w:val="010205"/>
                <w:sz w:val="14"/>
                <w:szCs w:val="14"/>
              </w:rPr>
            </w:pPr>
            <w:r w:rsidRPr="00F11BDE">
              <w:rPr>
                <w:rFonts w:ascii="Arial" w:hAnsi="Arial" w:cs="Arial"/>
                <w:color w:val="010205"/>
                <w:sz w:val="14"/>
                <w:szCs w:val="14"/>
              </w:rPr>
              <w:t>b. Based on 10000 sampled tables with starting seed 2000000.</w:t>
            </w:r>
          </w:p>
        </w:tc>
      </w:tr>
      <w:tr w:rsidR="00A85A85" w:rsidRPr="00F11BDE" w:rsidTr="00FB1BE7">
        <w:trPr>
          <w:cantSplit/>
        </w:trPr>
        <w:tc>
          <w:tcPr>
            <w:tcW w:w="15720" w:type="dxa"/>
            <w:gridSpan w:val="10"/>
            <w:tcBorders>
              <w:top w:val="nil"/>
              <w:left w:val="nil"/>
              <w:bottom w:val="nil"/>
              <w:right w:val="nil"/>
            </w:tcBorders>
            <w:shd w:val="clear" w:color="auto" w:fill="FFFFFF"/>
          </w:tcPr>
          <w:p w:rsidR="00A85A85" w:rsidRPr="00F11BDE" w:rsidRDefault="00A85A85" w:rsidP="00FB1BE7">
            <w:pPr>
              <w:autoSpaceDE w:val="0"/>
              <w:autoSpaceDN w:val="0"/>
              <w:adjustRightInd w:val="0"/>
              <w:spacing w:after="0" w:line="320" w:lineRule="atLeast"/>
              <w:ind w:left="60" w:right="60"/>
              <w:rPr>
                <w:rFonts w:ascii="Arial" w:hAnsi="Arial" w:cs="Arial"/>
                <w:color w:val="010205"/>
                <w:sz w:val="14"/>
                <w:szCs w:val="14"/>
              </w:rPr>
            </w:pPr>
            <w:r w:rsidRPr="00F11BDE">
              <w:rPr>
                <w:rFonts w:ascii="Arial" w:hAnsi="Arial" w:cs="Arial"/>
                <w:color w:val="010205"/>
                <w:sz w:val="14"/>
                <w:szCs w:val="14"/>
              </w:rPr>
              <w:t>c. The standardized statistic is -2.840.</w:t>
            </w:r>
          </w:p>
        </w:tc>
      </w:tr>
    </w:tbl>
    <w:p w:rsidR="00A85A85" w:rsidRPr="00F11BDE" w:rsidRDefault="00A85A85" w:rsidP="00A85A85">
      <w:pPr>
        <w:autoSpaceDE w:val="0"/>
        <w:autoSpaceDN w:val="0"/>
        <w:adjustRightInd w:val="0"/>
        <w:spacing w:after="0" w:line="240" w:lineRule="auto"/>
        <w:rPr>
          <w:rFonts w:ascii="Arial" w:hAnsi="Arial" w:cs="Arial"/>
          <w:sz w:val="24"/>
          <w:szCs w:val="24"/>
        </w:rPr>
      </w:pPr>
    </w:p>
    <w:p w:rsidR="00A85A85" w:rsidRPr="00F11BDE" w:rsidRDefault="00A85A85" w:rsidP="00A85A85">
      <w:pPr>
        <w:autoSpaceDE w:val="0"/>
        <w:autoSpaceDN w:val="0"/>
        <w:adjustRightInd w:val="0"/>
        <w:spacing w:after="0" w:line="240" w:lineRule="auto"/>
        <w:rPr>
          <w:rFonts w:ascii="Arial" w:hAnsi="Arial" w:cs="Arial"/>
          <w:sz w:val="24"/>
          <w:szCs w:val="24"/>
        </w:rPr>
      </w:pPr>
      <w:r w:rsidRPr="00F11BDE">
        <w:rPr>
          <w:rFonts w:ascii="Arial" w:hAnsi="Arial" w:cs="Arial"/>
          <w:sz w:val="24"/>
          <w:szCs w:val="24"/>
        </w:rPr>
        <w:t>Table 3.2</w:t>
      </w:r>
    </w:p>
    <w:p w:rsidR="00A85A85" w:rsidRPr="00F11BDE" w:rsidRDefault="00A85A85" w:rsidP="00A85A85">
      <w:pPr>
        <w:autoSpaceDE w:val="0"/>
        <w:autoSpaceDN w:val="0"/>
        <w:adjustRightInd w:val="0"/>
        <w:spacing w:after="0" w:line="400" w:lineRule="atLeast"/>
        <w:rPr>
          <w:rFonts w:ascii="Arial" w:hAnsi="Arial" w:cs="Arial"/>
          <w:sz w:val="24"/>
          <w:szCs w:val="24"/>
        </w:rPr>
      </w:pPr>
    </w:p>
    <w:p w:rsidR="00A85A85" w:rsidRPr="00F11BDE" w:rsidRDefault="00A85A85" w:rsidP="00A85A85">
      <w:pPr>
        <w:ind w:left="-576"/>
        <w:rPr>
          <w:rFonts w:ascii="Arial" w:hAnsi="Arial" w:cs="Arial"/>
        </w:rPr>
      </w:pPr>
      <w:r w:rsidRPr="00F11BDE">
        <w:rPr>
          <w:rFonts w:ascii="Arial" w:hAnsi="Arial" w:cs="Arial"/>
          <w:noProof/>
        </w:rPr>
        <w:drawing>
          <wp:inline distT="0" distB="0" distL="0" distR="0" wp14:anchorId="7444E09E" wp14:editId="116A0523">
            <wp:extent cx="6675824" cy="2209800"/>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16451" t="42497" r="6741" b="12351"/>
                    <a:stretch/>
                  </pic:blipFill>
                  <pic:spPr bwMode="auto">
                    <a:xfrm>
                      <a:off x="0" y="0"/>
                      <a:ext cx="6684048" cy="2212522"/>
                    </a:xfrm>
                    <a:prstGeom prst="rect">
                      <a:avLst/>
                    </a:prstGeom>
                    <a:noFill/>
                    <a:ln>
                      <a:noFill/>
                    </a:ln>
                    <a:extLst>
                      <a:ext uri="{53640926-AAD7-44D8-BBD7-CCE9431645EC}">
                        <a14:shadowObscured xmlns:a14="http://schemas.microsoft.com/office/drawing/2010/main"/>
                      </a:ext>
                    </a:extLst>
                  </pic:spPr>
                </pic:pic>
              </a:graphicData>
            </a:graphic>
          </wp:inline>
        </w:drawing>
      </w:r>
    </w:p>
    <w:p w:rsidR="00A85A85" w:rsidRPr="00F11BDE" w:rsidRDefault="00A85A85" w:rsidP="00A85A85">
      <w:pPr>
        <w:ind w:left="-576"/>
        <w:rPr>
          <w:rFonts w:ascii="Arial" w:hAnsi="Arial" w:cs="Arial"/>
        </w:rPr>
      </w:pPr>
      <w:r w:rsidRPr="00F11BDE">
        <w:rPr>
          <w:rFonts w:ascii="Arial" w:hAnsi="Arial" w:cs="Arial"/>
        </w:rPr>
        <w:t>Figure1.0 (smaller version of table3.2)</w:t>
      </w:r>
    </w:p>
    <w:p w:rsidR="00A85A85" w:rsidRPr="00F11BDE" w:rsidRDefault="00A85A85" w:rsidP="00A85A85">
      <w:pPr>
        <w:ind w:left="-576"/>
        <w:rPr>
          <w:rFonts w:ascii="Arial" w:hAnsi="Arial" w:cs="Arial"/>
        </w:rPr>
      </w:pPr>
    </w:p>
    <w:p w:rsidR="00A85A85" w:rsidRPr="00F11BDE" w:rsidRDefault="00A85A85" w:rsidP="00A85A85">
      <w:pPr>
        <w:autoSpaceDE w:val="0"/>
        <w:autoSpaceDN w:val="0"/>
        <w:adjustRightInd w:val="0"/>
        <w:spacing w:after="0" w:line="240" w:lineRule="auto"/>
        <w:rPr>
          <w:rFonts w:ascii="Arial" w:hAnsi="Arial" w:cs="Arial"/>
          <w:sz w:val="24"/>
          <w:szCs w:val="24"/>
        </w:rPr>
      </w:pPr>
      <w:r w:rsidRPr="00F11BDE">
        <w:rPr>
          <w:rFonts w:ascii="Arial" w:hAnsi="Arial" w:cs="Arial"/>
          <w:noProof/>
          <w:sz w:val="24"/>
          <w:szCs w:val="24"/>
        </w:rPr>
        <w:lastRenderedPageBreak/>
        <w:drawing>
          <wp:inline distT="0" distB="0" distL="0" distR="0" wp14:anchorId="2B53D8C6" wp14:editId="4AAFDB3A">
            <wp:extent cx="5943600" cy="3498850"/>
            <wp:effectExtent l="0" t="0" r="0" b="635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498850"/>
                    </a:xfrm>
                    <a:prstGeom prst="rect">
                      <a:avLst/>
                    </a:prstGeom>
                    <a:noFill/>
                    <a:ln>
                      <a:noFill/>
                    </a:ln>
                  </pic:spPr>
                </pic:pic>
              </a:graphicData>
            </a:graphic>
          </wp:inline>
        </w:drawing>
      </w:r>
    </w:p>
    <w:p w:rsidR="00A85A85" w:rsidRPr="00F11BDE" w:rsidRDefault="00A85A85" w:rsidP="00A85A85">
      <w:pPr>
        <w:autoSpaceDE w:val="0"/>
        <w:autoSpaceDN w:val="0"/>
        <w:adjustRightInd w:val="0"/>
        <w:spacing w:after="0" w:line="240" w:lineRule="auto"/>
        <w:rPr>
          <w:rFonts w:ascii="Arial" w:hAnsi="Arial" w:cs="Arial"/>
          <w:sz w:val="24"/>
          <w:szCs w:val="24"/>
        </w:rPr>
      </w:pPr>
    </w:p>
    <w:p w:rsidR="00A85A85" w:rsidRPr="00F11BDE" w:rsidRDefault="00A85A85" w:rsidP="00A85A85">
      <w:pPr>
        <w:autoSpaceDE w:val="0"/>
        <w:autoSpaceDN w:val="0"/>
        <w:adjustRightInd w:val="0"/>
        <w:spacing w:after="0" w:line="400" w:lineRule="atLeast"/>
        <w:rPr>
          <w:rFonts w:ascii="Arial" w:hAnsi="Arial" w:cs="Arial"/>
          <w:sz w:val="24"/>
          <w:szCs w:val="24"/>
        </w:rPr>
      </w:pPr>
      <w:r w:rsidRPr="00F11BDE">
        <w:rPr>
          <w:rFonts w:ascii="Arial" w:hAnsi="Arial" w:cs="Arial"/>
          <w:sz w:val="24"/>
          <w:szCs w:val="24"/>
        </w:rPr>
        <w:t>Figure1.1</w:t>
      </w:r>
    </w:p>
    <w:p w:rsidR="00A85A85" w:rsidRPr="00F11BDE" w:rsidRDefault="00A85A85" w:rsidP="00A85A85">
      <w:pPr>
        <w:autoSpaceDE w:val="0"/>
        <w:autoSpaceDN w:val="0"/>
        <w:adjustRightInd w:val="0"/>
        <w:spacing w:after="0" w:line="240" w:lineRule="auto"/>
        <w:rPr>
          <w:rFonts w:ascii="Arial" w:hAnsi="Arial" w:cs="Arial"/>
          <w:sz w:val="24"/>
          <w:szCs w:val="24"/>
        </w:rPr>
      </w:pPr>
      <w:r w:rsidRPr="00F11BDE">
        <w:rPr>
          <w:rFonts w:ascii="Arial" w:hAnsi="Arial" w:cs="Arial"/>
          <w:noProof/>
          <w:sz w:val="24"/>
          <w:szCs w:val="24"/>
        </w:rPr>
        <w:drawing>
          <wp:inline distT="0" distB="0" distL="0" distR="0" wp14:anchorId="577A1BDB" wp14:editId="028B8DF5">
            <wp:extent cx="5943600" cy="3498850"/>
            <wp:effectExtent l="0" t="0" r="0" b="635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498850"/>
                    </a:xfrm>
                    <a:prstGeom prst="rect">
                      <a:avLst/>
                    </a:prstGeom>
                    <a:noFill/>
                    <a:ln>
                      <a:noFill/>
                    </a:ln>
                  </pic:spPr>
                </pic:pic>
              </a:graphicData>
            </a:graphic>
          </wp:inline>
        </w:drawing>
      </w:r>
    </w:p>
    <w:p w:rsidR="00A85A85" w:rsidRPr="00F11BDE" w:rsidRDefault="00A85A85" w:rsidP="00A85A85">
      <w:pPr>
        <w:autoSpaceDE w:val="0"/>
        <w:autoSpaceDN w:val="0"/>
        <w:adjustRightInd w:val="0"/>
        <w:spacing w:after="0" w:line="240" w:lineRule="auto"/>
        <w:rPr>
          <w:rFonts w:ascii="Arial" w:hAnsi="Arial" w:cs="Arial"/>
          <w:sz w:val="24"/>
          <w:szCs w:val="24"/>
        </w:rPr>
      </w:pPr>
    </w:p>
    <w:p w:rsidR="00A85A85" w:rsidRPr="00F11BDE" w:rsidRDefault="00A85A85" w:rsidP="00A85A85">
      <w:pPr>
        <w:autoSpaceDE w:val="0"/>
        <w:autoSpaceDN w:val="0"/>
        <w:adjustRightInd w:val="0"/>
        <w:spacing w:after="0" w:line="400" w:lineRule="atLeast"/>
        <w:rPr>
          <w:rFonts w:ascii="Arial" w:hAnsi="Arial" w:cs="Arial"/>
          <w:sz w:val="24"/>
          <w:szCs w:val="24"/>
        </w:rPr>
      </w:pPr>
      <w:r w:rsidRPr="00F11BDE">
        <w:rPr>
          <w:rFonts w:ascii="Arial" w:hAnsi="Arial" w:cs="Arial"/>
          <w:sz w:val="24"/>
          <w:szCs w:val="24"/>
        </w:rPr>
        <w:t>Figure1.2</w:t>
      </w:r>
    </w:p>
    <w:p w:rsidR="00A85A85" w:rsidRPr="00F11BDE" w:rsidRDefault="00A85A85" w:rsidP="00A85A85">
      <w:pPr>
        <w:rPr>
          <w:rFonts w:ascii="Arial" w:hAnsi="Arial" w:cs="Arial"/>
        </w:rPr>
      </w:pPr>
    </w:p>
    <w:p w:rsidR="00A85A85" w:rsidRPr="00F11BDE" w:rsidRDefault="00A85A85" w:rsidP="00A85A85">
      <w:pPr>
        <w:rPr>
          <w:rFonts w:ascii="Arial" w:hAnsi="Arial" w:cs="Arial"/>
          <w:noProof/>
        </w:rPr>
      </w:pPr>
    </w:p>
    <w:p w:rsidR="00A85A85" w:rsidRPr="00F11BDE" w:rsidRDefault="00A85A85" w:rsidP="00A85A85">
      <w:pPr>
        <w:autoSpaceDE w:val="0"/>
        <w:autoSpaceDN w:val="0"/>
        <w:adjustRightInd w:val="0"/>
        <w:spacing w:after="0" w:line="240" w:lineRule="auto"/>
        <w:rPr>
          <w:rFonts w:ascii="Arial" w:hAnsi="Arial" w:cs="Arial"/>
          <w:sz w:val="24"/>
          <w:szCs w:val="24"/>
        </w:rPr>
      </w:pPr>
      <w:r w:rsidRPr="00F11BDE">
        <w:rPr>
          <w:rFonts w:ascii="Arial" w:hAnsi="Arial" w:cs="Arial"/>
          <w:noProof/>
          <w:sz w:val="24"/>
          <w:szCs w:val="24"/>
        </w:rPr>
        <w:drawing>
          <wp:inline distT="0" distB="0" distL="0" distR="0" wp14:anchorId="3ED1AAF9" wp14:editId="0C98EA6E">
            <wp:extent cx="5943600" cy="3498850"/>
            <wp:effectExtent l="0" t="0" r="0" b="635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498850"/>
                    </a:xfrm>
                    <a:prstGeom prst="rect">
                      <a:avLst/>
                    </a:prstGeom>
                    <a:noFill/>
                    <a:ln>
                      <a:noFill/>
                    </a:ln>
                  </pic:spPr>
                </pic:pic>
              </a:graphicData>
            </a:graphic>
          </wp:inline>
        </w:drawing>
      </w:r>
    </w:p>
    <w:p w:rsidR="00A85A85" w:rsidRPr="00F11BDE" w:rsidRDefault="00A85A85" w:rsidP="00A85A85">
      <w:pPr>
        <w:rPr>
          <w:rFonts w:ascii="Arial" w:hAnsi="Arial" w:cs="Arial"/>
        </w:rPr>
      </w:pPr>
      <w:r w:rsidRPr="00F11BDE">
        <w:rPr>
          <w:rFonts w:ascii="Arial" w:hAnsi="Arial" w:cs="Arial"/>
        </w:rPr>
        <w:t>Figure1.3</w:t>
      </w:r>
    </w:p>
    <w:p w:rsidR="00CE1FAC" w:rsidRDefault="00CE1FAC" w:rsidP="00815047">
      <w:pPr>
        <w:rPr>
          <w:rFonts w:ascii="Arial" w:hAnsi="Arial" w:cs="Arial"/>
          <w:sz w:val="24"/>
          <w:szCs w:val="24"/>
        </w:rPr>
      </w:pPr>
    </w:p>
    <w:p w:rsidR="00D565DC" w:rsidRDefault="00D565DC" w:rsidP="00E163C1">
      <w:pPr>
        <w:rPr>
          <w:rFonts w:ascii="Arial" w:hAnsi="Arial" w:cs="Arial"/>
          <w:b/>
          <w:bCs/>
          <w:sz w:val="28"/>
          <w:szCs w:val="28"/>
        </w:rPr>
      </w:pPr>
    </w:p>
    <w:p w:rsidR="00D565DC" w:rsidRDefault="00D565DC" w:rsidP="00E163C1">
      <w:pPr>
        <w:rPr>
          <w:rFonts w:ascii="Arial" w:hAnsi="Arial" w:cs="Arial"/>
          <w:b/>
          <w:bCs/>
          <w:sz w:val="28"/>
          <w:szCs w:val="28"/>
        </w:rPr>
      </w:pPr>
    </w:p>
    <w:p w:rsidR="00E163C1" w:rsidRPr="00E163C1" w:rsidRDefault="00E163C1" w:rsidP="00E163C1">
      <w:pPr>
        <w:rPr>
          <w:rFonts w:ascii="Arial" w:hAnsi="Arial" w:cs="Arial"/>
          <w:b/>
          <w:bCs/>
          <w:sz w:val="28"/>
          <w:szCs w:val="28"/>
        </w:rPr>
      </w:pPr>
      <w:r w:rsidRPr="00E163C1">
        <w:rPr>
          <w:rFonts w:ascii="Arial" w:hAnsi="Arial" w:cs="Arial"/>
          <w:b/>
          <w:bCs/>
          <w:sz w:val="28"/>
          <w:szCs w:val="28"/>
        </w:rPr>
        <w:t xml:space="preserve">Conclusion: </w:t>
      </w:r>
    </w:p>
    <w:p w:rsidR="00BB5883" w:rsidRPr="00BB5883" w:rsidRDefault="00BB5883" w:rsidP="00BB5883">
      <w:pPr>
        <w:jc w:val="both"/>
        <w:rPr>
          <w:rFonts w:ascii="Arial" w:hAnsi="Arial" w:cs="Arial"/>
          <w:sz w:val="24"/>
          <w:szCs w:val="24"/>
        </w:rPr>
      </w:pPr>
      <w:r w:rsidRPr="00BB5883">
        <w:rPr>
          <w:rFonts w:ascii="Arial" w:hAnsi="Arial" w:cs="Arial"/>
          <w:sz w:val="24"/>
          <w:szCs w:val="24"/>
        </w:rPr>
        <w:t>UTIs are common among infections, a common type of them is asymptomatic bacteriuria, a state where the person that is infected shows no signs, and this research discussed whether the gender had any effect on the prevalence of this disease.</w:t>
      </w:r>
    </w:p>
    <w:p w:rsidR="00CE1FAC" w:rsidRDefault="00BB5883" w:rsidP="00BB5883">
      <w:pPr>
        <w:jc w:val="both"/>
        <w:rPr>
          <w:rFonts w:ascii="Arial" w:hAnsi="Arial" w:cs="Arial"/>
          <w:sz w:val="24"/>
          <w:szCs w:val="24"/>
        </w:rPr>
      </w:pPr>
      <w:r w:rsidRPr="00BB5883">
        <w:rPr>
          <w:rFonts w:ascii="Arial" w:hAnsi="Arial" w:cs="Arial"/>
          <w:sz w:val="24"/>
          <w:szCs w:val="24"/>
        </w:rPr>
        <w:t>The result showed that gender does have an effect and that women are more</w:t>
      </w:r>
      <w:r>
        <w:rPr>
          <w:rFonts w:ascii="Arial" w:hAnsi="Arial" w:cs="Arial"/>
          <w:sz w:val="24"/>
          <w:szCs w:val="24"/>
        </w:rPr>
        <w:t xml:space="preserve"> </w:t>
      </w:r>
      <w:r w:rsidRPr="00BB5883">
        <w:rPr>
          <w:rFonts w:ascii="Arial" w:hAnsi="Arial" w:cs="Arial"/>
          <w:sz w:val="24"/>
          <w:szCs w:val="24"/>
        </w:rPr>
        <w:t>affected when compared to men.</w:t>
      </w:r>
    </w:p>
    <w:p w:rsidR="00D565DC" w:rsidRDefault="00D565DC" w:rsidP="00815047">
      <w:pPr>
        <w:rPr>
          <w:rFonts w:ascii="Arial" w:hAnsi="Arial" w:cs="Arial"/>
          <w:sz w:val="24"/>
          <w:szCs w:val="24"/>
        </w:rPr>
      </w:pPr>
    </w:p>
    <w:p w:rsidR="00D565DC" w:rsidRDefault="00D565DC" w:rsidP="00815047">
      <w:pPr>
        <w:rPr>
          <w:rFonts w:ascii="Arial" w:hAnsi="Arial" w:cs="Arial"/>
          <w:sz w:val="24"/>
          <w:szCs w:val="24"/>
        </w:rPr>
      </w:pPr>
    </w:p>
    <w:p w:rsidR="00D565DC" w:rsidRDefault="00D565DC" w:rsidP="00815047">
      <w:pPr>
        <w:rPr>
          <w:rFonts w:ascii="Arial" w:hAnsi="Arial" w:cs="Arial"/>
          <w:b/>
          <w:bCs/>
          <w:sz w:val="28"/>
          <w:szCs w:val="28"/>
        </w:rPr>
      </w:pPr>
    </w:p>
    <w:p w:rsidR="00D565DC" w:rsidRDefault="00D565DC" w:rsidP="00815047">
      <w:pPr>
        <w:rPr>
          <w:rFonts w:ascii="Arial" w:hAnsi="Arial" w:cs="Arial"/>
          <w:b/>
          <w:bCs/>
          <w:sz w:val="28"/>
          <w:szCs w:val="28"/>
        </w:rPr>
      </w:pPr>
    </w:p>
    <w:p w:rsidR="00D565DC" w:rsidRDefault="00D565DC" w:rsidP="00815047">
      <w:pPr>
        <w:rPr>
          <w:rFonts w:ascii="Arial" w:hAnsi="Arial" w:cs="Arial"/>
          <w:b/>
          <w:bCs/>
          <w:sz w:val="28"/>
          <w:szCs w:val="28"/>
        </w:rPr>
      </w:pPr>
    </w:p>
    <w:p w:rsidR="007A6923" w:rsidRDefault="007A6923" w:rsidP="00815047">
      <w:pPr>
        <w:rPr>
          <w:rFonts w:ascii="Arial" w:hAnsi="Arial" w:cs="Arial"/>
          <w:b/>
          <w:bCs/>
          <w:sz w:val="28"/>
          <w:szCs w:val="28"/>
        </w:rPr>
      </w:pPr>
      <w:r w:rsidRPr="007A6923">
        <w:rPr>
          <w:rFonts w:ascii="Arial" w:hAnsi="Arial" w:cs="Arial"/>
          <w:b/>
          <w:bCs/>
          <w:sz w:val="28"/>
          <w:szCs w:val="28"/>
        </w:rPr>
        <w:lastRenderedPageBreak/>
        <w:t>References:</w:t>
      </w:r>
    </w:p>
    <w:p w:rsidR="007A6923" w:rsidRPr="00D625DE" w:rsidRDefault="007A6923" w:rsidP="007A6923">
      <w:pPr>
        <w:pStyle w:val="a6"/>
        <w:numPr>
          <w:ilvl w:val="0"/>
          <w:numId w:val="2"/>
        </w:numPr>
        <w:rPr>
          <w:rFonts w:ascii="Arial" w:hAnsi="Arial" w:cs="Arial"/>
        </w:rPr>
      </w:pPr>
      <w:r w:rsidRPr="007A6923">
        <w:rPr>
          <w:rFonts w:ascii="Arial" w:hAnsi="Arial" w:cs="Arial"/>
          <w:b/>
          <w:bCs/>
          <w:sz w:val="28"/>
          <w:szCs w:val="28"/>
        </w:rPr>
        <w:t xml:space="preserve"> </w:t>
      </w:r>
      <w:r w:rsidRPr="00D625DE">
        <w:rPr>
          <w:rFonts w:ascii="Arial" w:hAnsi="Arial" w:cs="Arial"/>
        </w:rPr>
        <w:t xml:space="preserve">Weissfeld, A., Forbes, B. and Sahm, D., n.d. Bailey &amp; Scott's diagnostic microbiology. 12th </w:t>
      </w:r>
      <w:r w:rsidR="00BB5883" w:rsidRPr="00D625DE">
        <w:rPr>
          <w:rFonts w:ascii="Arial" w:hAnsi="Arial" w:cs="Arial"/>
        </w:rPr>
        <w:t>Ed</w:t>
      </w:r>
      <w:r w:rsidRPr="00D625DE">
        <w:rPr>
          <w:rFonts w:ascii="Arial" w:hAnsi="Arial" w:cs="Arial"/>
        </w:rPr>
        <w:t>.</w:t>
      </w:r>
    </w:p>
    <w:p w:rsidR="007A6923" w:rsidRDefault="007A6923" w:rsidP="007A6923">
      <w:pPr>
        <w:pStyle w:val="a6"/>
        <w:numPr>
          <w:ilvl w:val="0"/>
          <w:numId w:val="2"/>
        </w:numPr>
        <w:rPr>
          <w:rFonts w:ascii="Arial" w:hAnsi="Arial" w:cs="Arial"/>
        </w:rPr>
      </w:pPr>
      <w:r w:rsidRPr="00D625DE">
        <w:rPr>
          <w:rFonts w:ascii="Arial" w:hAnsi="Arial" w:cs="Arial"/>
        </w:rPr>
        <w:t>Levinson, W., Chin-Hong, P., Joyce, E., Nussbaum, J. and Schwartz, B., 2022. Review of medical microbiology and immunology. 15</w:t>
      </w:r>
      <w:r w:rsidRPr="00D625DE">
        <w:rPr>
          <w:rFonts w:ascii="Arial" w:hAnsi="Arial" w:cs="Arial"/>
          <w:vertAlign w:val="superscript"/>
        </w:rPr>
        <w:t>th</w:t>
      </w:r>
      <w:r w:rsidRPr="00D625DE">
        <w:rPr>
          <w:rFonts w:ascii="Arial" w:hAnsi="Arial" w:cs="Arial"/>
        </w:rPr>
        <w:t xml:space="preserve"> ed. [S.I.]: Mcgraw-Hill education.</w:t>
      </w:r>
    </w:p>
    <w:p w:rsidR="007A6923" w:rsidRPr="00D625DE" w:rsidRDefault="007A6923" w:rsidP="007A6923">
      <w:pPr>
        <w:pStyle w:val="a6"/>
        <w:numPr>
          <w:ilvl w:val="0"/>
          <w:numId w:val="2"/>
        </w:numPr>
        <w:rPr>
          <w:rFonts w:ascii="Arial" w:hAnsi="Arial" w:cs="Arial"/>
          <w:color w:val="212121"/>
          <w:shd w:val="clear" w:color="auto" w:fill="FFFFFF"/>
        </w:rPr>
      </w:pPr>
      <w:r w:rsidRPr="00D625DE">
        <w:rPr>
          <w:rFonts w:ascii="Arial" w:hAnsi="Arial" w:cs="Arial"/>
          <w:color w:val="212121"/>
          <w:shd w:val="clear" w:color="auto" w:fill="FFFFFF"/>
        </w:rPr>
        <w:t>Harrington RD, Hooton TM. Urinary tract infection risk factors and gender. </w:t>
      </w:r>
      <w:r w:rsidRPr="00D625DE">
        <w:rPr>
          <w:rFonts w:ascii="Arial" w:hAnsi="Arial" w:cs="Arial"/>
          <w:i/>
          <w:iCs/>
          <w:color w:val="212121"/>
          <w:shd w:val="clear" w:color="auto" w:fill="FFFFFF"/>
        </w:rPr>
        <w:t>J Gend Specif Med</w:t>
      </w:r>
      <w:r w:rsidRPr="00D625DE">
        <w:rPr>
          <w:rFonts w:ascii="Arial" w:hAnsi="Arial" w:cs="Arial"/>
          <w:color w:val="212121"/>
          <w:shd w:val="clear" w:color="auto" w:fill="FFFFFF"/>
        </w:rPr>
        <w:t>. 2000;3(8):27-34.</w:t>
      </w:r>
    </w:p>
    <w:p w:rsidR="007A6923" w:rsidRDefault="007A6923" w:rsidP="007A6923">
      <w:pPr>
        <w:pStyle w:val="a6"/>
        <w:numPr>
          <w:ilvl w:val="0"/>
          <w:numId w:val="2"/>
        </w:numPr>
        <w:rPr>
          <w:rFonts w:ascii="Arial" w:hAnsi="Arial" w:cs="Arial"/>
        </w:rPr>
      </w:pPr>
      <w:r w:rsidRPr="00D625DE">
        <w:rPr>
          <w:rFonts w:ascii="Arial" w:hAnsi="Arial" w:cs="Arial"/>
        </w:rPr>
        <w:t>Givler, D. and Givler, A., 2022. Asymptomatic Bacteriuria.[Accessed 11 June 2022].</w:t>
      </w:r>
    </w:p>
    <w:p w:rsidR="00E329B4" w:rsidRPr="00D625DE" w:rsidRDefault="00E329B4" w:rsidP="00E329B4">
      <w:pPr>
        <w:pStyle w:val="a6"/>
        <w:numPr>
          <w:ilvl w:val="0"/>
          <w:numId w:val="2"/>
        </w:numPr>
        <w:rPr>
          <w:rFonts w:ascii="Arial" w:hAnsi="Arial" w:cs="Arial"/>
        </w:rPr>
      </w:pPr>
      <w:r w:rsidRPr="00E329B4">
        <w:rPr>
          <w:rFonts w:ascii="Arial" w:hAnsi="Arial" w:cs="Arial"/>
        </w:rPr>
        <w:t>Nicolle LE, Gupta K, Bradley SF, et al. Clinical Practice Guideline for the Management of Asymptomatic Bacteriuria: 2019 Update by the Infectious Diseases Society of America. Clin Infect Dis. 2019;68(10):e83-e110. doi:10.1093/cid/ciy1121</w:t>
      </w:r>
    </w:p>
    <w:p w:rsidR="007A6923" w:rsidRPr="007A6923" w:rsidRDefault="007A6923" w:rsidP="00815047">
      <w:pPr>
        <w:rPr>
          <w:rFonts w:ascii="Arial" w:hAnsi="Arial" w:cs="Arial"/>
          <w:b/>
          <w:bCs/>
          <w:sz w:val="28"/>
          <w:szCs w:val="28"/>
        </w:rPr>
      </w:pPr>
    </w:p>
    <w:sectPr w:rsidR="007A6923" w:rsidRPr="007A6923" w:rsidSect="00F35623">
      <w:footerReference w:type="default" r:id="rId12"/>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76FD" w:rsidRDefault="003276FD" w:rsidP="00A37EB0">
      <w:pPr>
        <w:spacing w:after="0" w:line="240" w:lineRule="auto"/>
      </w:pPr>
      <w:r>
        <w:separator/>
      </w:r>
    </w:p>
  </w:endnote>
  <w:endnote w:type="continuationSeparator" w:id="0">
    <w:p w:rsidR="003276FD" w:rsidRDefault="003276FD" w:rsidP="00A37E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4587276"/>
      <w:docPartObj>
        <w:docPartGallery w:val="Page Numbers (Bottom of Page)"/>
        <w:docPartUnique/>
      </w:docPartObj>
    </w:sdtPr>
    <w:sdtEndPr/>
    <w:sdtContent>
      <w:p w:rsidR="00FB1BE7" w:rsidRDefault="00FB1BE7">
        <w:pPr>
          <w:pStyle w:val="a5"/>
          <w:jc w:val="center"/>
        </w:pPr>
        <w:r>
          <w:fldChar w:fldCharType="begin"/>
        </w:r>
        <w:r>
          <w:instrText>PAGE   \* MERGEFORMAT</w:instrText>
        </w:r>
        <w:r>
          <w:fldChar w:fldCharType="separate"/>
        </w:r>
        <w:r w:rsidR="003B20A2" w:rsidRPr="003B20A2">
          <w:rPr>
            <w:rFonts w:cs="Calibri"/>
            <w:noProof/>
            <w:lang w:val="ar-SA"/>
          </w:rPr>
          <w:t>6</w:t>
        </w:r>
        <w:r>
          <w:fldChar w:fldCharType="end"/>
        </w:r>
      </w:p>
    </w:sdtContent>
  </w:sdt>
  <w:p w:rsidR="00FB1BE7" w:rsidRDefault="00FB1BE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76FD" w:rsidRDefault="003276FD" w:rsidP="00A37EB0">
      <w:pPr>
        <w:spacing w:after="0" w:line="240" w:lineRule="auto"/>
      </w:pPr>
      <w:r>
        <w:separator/>
      </w:r>
    </w:p>
  </w:footnote>
  <w:footnote w:type="continuationSeparator" w:id="0">
    <w:p w:rsidR="003276FD" w:rsidRDefault="003276FD" w:rsidP="00A37E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E453DC"/>
    <w:multiLevelType w:val="hybridMultilevel"/>
    <w:tmpl w:val="89C00E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DF91220"/>
    <w:multiLevelType w:val="hybridMultilevel"/>
    <w:tmpl w:val="F9D05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F3A5839"/>
    <w:multiLevelType w:val="hybridMultilevel"/>
    <w:tmpl w:val="91223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1A5"/>
    <w:rsid w:val="00031D4F"/>
    <w:rsid w:val="000441BC"/>
    <w:rsid w:val="00073C34"/>
    <w:rsid w:val="00087B5D"/>
    <w:rsid w:val="001F09DA"/>
    <w:rsid w:val="002F2591"/>
    <w:rsid w:val="002F4BB6"/>
    <w:rsid w:val="003276FD"/>
    <w:rsid w:val="00395B2B"/>
    <w:rsid w:val="003B20A2"/>
    <w:rsid w:val="003B2962"/>
    <w:rsid w:val="00411B4C"/>
    <w:rsid w:val="004514C8"/>
    <w:rsid w:val="00462963"/>
    <w:rsid w:val="00471C35"/>
    <w:rsid w:val="005948FA"/>
    <w:rsid w:val="00595420"/>
    <w:rsid w:val="005A4F5A"/>
    <w:rsid w:val="006751A5"/>
    <w:rsid w:val="00757878"/>
    <w:rsid w:val="0077020D"/>
    <w:rsid w:val="00777C0B"/>
    <w:rsid w:val="007A6923"/>
    <w:rsid w:val="0081126B"/>
    <w:rsid w:val="00815047"/>
    <w:rsid w:val="008D419A"/>
    <w:rsid w:val="00900122"/>
    <w:rsid w:val="00942067"/>
    <w:rsid w:val="00951CCE"/>
    <w:rsid w:val="00A07730"/>
    <w:rsid w:val="00A37EB0"/>
    <w:rsid w:val="00A500DE"/>
    <w:rsid w:val="00A53203"/>
    <w:rsid w:val="00A7282B"/>
    <w:rsid w:val="00A85A85"/>
    <w:rsid w:val="00A8651D"/>
    <w:rsid w:val="00AE6373"/>
    <w:rsid w:val="00B35BF2"/>
    <w:rsid w:val="00B8734C"/>
    <w:rsid w:val="00BB5883"/>
    <w:rsid w:val="00BD4DA4"/>
    <w:rsid w:val="00BF70F0"/>
    <w:rsid w:val="00C8616B"/>
    <w:rsid w:val="00CE1FAC"/>
    <w:rsid w:val="00CE5921"/>
    <w:rsid w:val="00D565DC"/>
    <w:rsid w:val="00D63F1B"/>
    <w:rsid w:val="00DB39F2"/>
    <w:rsid w:val="00DE0834"/>
    <w:rsid w:val="00E163C1"/>
    <w:rsid w:val="00E328A9"/>
    <w:rsid w:val="00E329B4"/>
    <w:rsid w:val="00E86C27"/>
    <w:rsid w:val="00EA4DD3"/>
    <w:rsid w:val="00F0393C"/>
    <w:rsid w:val="00F35623"/>
    <w:rsid w:val="00F91F0A"/>
    <w:rsid w:val="00FB1B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701C0F-3A39-486C-9F22-4A00F7567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6751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6751A5"/>
    <w:rPr>
      <w:rFonts w:asciiTheme="majorHAnsi" w:eastAsiaTheme="majorEastAsia" w:hAnsiTheme="majorHAnsi" w:cstheme="majorBidi"/>
      <w:spacing w:val="-10"/>
      <w:kern w:val="28"/>
      <w:sz w:val="56"/>
      <w:szCs w:val="56"/>
    </w:rPr>
  </w:style>
  <w:style w:type="paragraph" w:styleId="a4">
    <w:name w:val="header"/>
    <w:basedOn w:val="a"/>
    <w:link w:val="Char0"/>
    <w:uiPriority w:val="99"/>
    <w:unhideWhenUsed/>
    <w:rsid w:val="00A37EB0"/>
    <w:pPr>
      <w:tabs>
        <w:tab w:val="center" w:pos="4320"/>
        <w:tab w:val="right" w:pos="8640"/>
      </w:tabs>
      <w:spacing w:after="0" w:line="240" w:lineRule="auto"/>
    </w:pPr>
  </w:style>
  <w:style w:type="character" w:customStyle="1" w:styleId="Char0">
    <w:name w:val="رأس الصفحة Char"/>
    <w:basedOn w:val="a0"/>
    <w:link w:val="a4"/>
    <w:uiPriority w:val="99"/>
    <w:rsid w:val="00A37EB0"/>
  </w:style>
  <w:style w:type="paragraph" w:styleId="a5">
    <w:name w:val="footer"/>
    <w:basedOn w:val="a"/>
    <w:link w:val="Char1"/>
    <w:uiPriority w:val="99"/>
    <w:unhideWhenUsed/>
    <w:rsid w:val="00A37EB0"/>
    <w:pPr>
      <w:tabs>
        <w:tab w:val="center" w:pos="4320"/>
        <w:tab w:val="right" w:pos="8640"/>
      </w:tabs>
      <w:spacing w:after="0" w:line="240" w:lineRule="auto"/>
    </w:pPr>
  </w:style>
  <w:style w:type="character" w:customStyle="1" w:styleId="Char1">
    <w:name w:val="تذييل الصفحة Char"/>
    <w:basedOn w:val="a0"/>
    <w:link w:val="a5"/>
    <w:uiPriority w:val="99"/>
    <w:rsid w:val="00A37EB0"/>
  </w:style>
  <w:style w:type="paragraph" w:styleId="a6">
    <w:name w:val="List Paragraph"/>
    <w:basedOn w:val="a"/>
    <w:uiPriority w:val="34"/>
    <w:qFormat/>
    <w:rsid w:val="00A85A85"/>
    <w:pPr>
      <w:ind w:left="720"/>
      <w:contextualSpacing/>
    </w:pPr>
  </w:style>
  <w:style w:type="table" w:styleId="2-5">
    <w:name w:val="List Table 2 Accent 5"/>
    <w:basedOn w:val="a1"/>
    <w:uiPriority w:val="47"/>
    <w:rsid w:val="00A85A85"/>
    <w:pPr>
      <w:spacing w:after="0" w:line="240" w:lineRule="auto"/>
    </w:pPr>
    <w:tblPr>
      <w:tblStyleRowBandSize w:val="1"/>
      <w:tblStyleColBandSize w:val="1"/>
      <w:tblInd w:w="0" w:type="dxa"/>
      <w:tblBorders>
        <w:top w:val="single" w:sz="4" w:space="0" w:color="8EAADB" w:themeColor="accent5" w:themeTint="99"/>
        <w:bottom w:val="single" w:sz="4" w:space="0" w:color="8EAADB" w:themeColor="accent5" w:themeTint="99"/>
        <w:insideH w:val="single" w:sz="4" w:space="0" w:color="8EAADB" w:themeColor="accent5"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3094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A94547-55E2-4442-B83F-B99A3ED58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1507</Words>
  <Characters>8593</Characters>
  <Application>Microsoft Office Word</Application>
  <DocSecurity>0</DocSecurity>
  <Lines>71</Lines>
  <Paragraphs>20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PIXEL-PC</dc:creator>
  <cp:keywords/>
  <dc:description/>
  <cp:lastModifiedBy>PIXEL-PC</cp:lastModifiedBy>
  <cp:revision>2</cp:revision>
  <dcterms:created xsi:type="dcterms:W3CDTF">2022-06-20T18:21:00Z</dcterms:created>
  <dcterms:modified xsi:type="dcterms:W3CDTF">2022-06-20T18:21:00Z</dcterms:modified>
</cp:coreProperties>
</file>