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34D" w:rsidRDefault="00E5434D" w:rsidP="00E5434D">
      <w:pPr>
        <w:rPr>
          <w:rFonts w:asciiTheme="minorBidi" w:hAnsiTheme="minorBidi"/>
          <w:b/>
          <w:bCs/>
          <w:i/>
          <w:iCs/>
          <w:sz w:val="52"/>
          <w:szCs w:val="52"/>
        </w:rPr>
      </w:pPr>
    </w:p>
    <w:p w:rsidR="00E5434D" w:rsidRDefault="00E5434D" w:rsidP="00E5434D">
      <w:pPr>
        <w:jc w:val="center"/>
        <w:rPr>
          <w:rFonts w:asciiTheme="minorBidi" w:hAnsiTheme="minorBidi"/>
          <w:b/>
          <w:bCs/>
          <w:i/>
          <w:iCs/>
          <w:sz w:val="52"/>
          <w:szCs w:val="52"/>
        </w:rPr>
      </w:pPr>
    </w:p>
    <w:p w:rsidR="00E5434D" w:rsidRDefault="00E5434D" w:rsidP="00E5434D">
      <w:pPr>
        <w:jc w:val="center"/>
        <w:rPr>
          <w:rFonts w:asciiTheme="minorBidi" w:hAnsiTheme="minorBidi"/>
          <w:b/>
          <w:bCs/>
          <w:i/>
          <w:iCs/>
          <w:sz w:val="52"/>
          <w:szCs w:val="52"/>
        </w:rPr>
      </w:pPr>
      <w:r>
        <w:rPr>
          <w:rFonts w:asciiTheme="minorBidi" w:hAnsiTheme="minorBidi"/>
          <w:b/>
          <w:bCs/>
          <w:i/>
          <w:iCs/>
          <w:noProof/>
          <w:sz w:val="52"/>
          <w:szCs w:val="52"/>
        </w:rPr>
        <w:drawing>
          <wp:inline distT="0" distB="0" distL="0" distR="0" wp14:anchorId="7F25CE72">
            <wp:extent cx="1558917" cy="1304925"/>
            <wp:effectExtent l="0" t="0" r="381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0830" cy="1306526"/>
                    </a:xfrm>
                    <a:prstGeom prst="rect">
                      <a:avLst/>
                    </a:prstGeom>
                    <a:noFill/>
                  </pic:spPr>
                </pic:pic>
              </a:graphicData>
            </a:graphic>
          </wp:inline>
        </w:drawing>
      </w:r>
      <w:r>
        <w:rPr>
          <w:rFonts w:asciiTheme="minorBidi" w:hAnsiTheme="minorBidi"/>
          <w:b/>
          <w:bCs/>
          <w:i/>
          <w:iCs/>
          <w:noProof/>
          <w:sz w:val="52"/>
          <w:szCs w:val="52"/>
        </w:rPr>
        <w:drawing>
          <wp:inline distT="0" distB="0" distL="0" distR="0" wp14:anchorId="028ADD85">
            <wp:extent cx="1682750" cy="1200785"/>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82750" cy="1200785"/>
                    </a:xfrm>
                    <a:prstGeom prst="rect">
                      <a:avLst/>
                    </a:prstGeom>
                    <a:noFill/>
                  </pic:spPr>
                </pic:pic>
              </a:graphicData>
            </a:graphic>
          </wp:inline>
        </w:drawing>
      </w:r>
    </w:p>
    <w:p w:rsidR="00E5434D" w:rsidRDefault="00E5434D" w:rsidP="00E5434D">
      <w:pPr>
        <w:jc w:val="center"/>
        <w:rPr>
          <w:rFonts w:asciiTheme="minorBidi" w:hAnsiTheme="minorBidi"/>
          <w:b/>
          <w:bCs/>
          <w:i/>
          <w:iCs/>
          <w:sz w:val="52"/>
          <w:szCs w:val="52"/>
        </w:rPr>
      </w:pPr>
    </w:p>
    <w:p w:rsidR="00E5434D" w:rsidRPr="00E5434D" w:rsidRDefault="00E5434D" w:rsidP="00E5434D">
      <w:pPr>
        <w:jc w:val="center"/>
        <w:rPr>
          <w:rFonts w:asciiTheme="minorBidi" w:hAnsiTheme="minorBidi"/>
          <w:sz w:val="28"/>
          <w:szCs w:val="28"/>
        </w:rPr>
      </w:pPr>
      <w:r w:rsidRPr="00E5434D">
        <w:rPr>
          <w:rFonts w:asciiTheme="minorBidi" w:hAnsiTheme="minorBidi"/>
          <w:sz w:val="28"/>
          <w:szCs w:val="28"/>
        </w:rPr>
        <w:t>Libyan international medical university</w:t>
      </w:r>
    </w:p>
    <w:p w:rsidR="003D1CD4" w:rsidRPr="00E5434D" w:rsidRDefault="00E5434D" w:rsidP="00E5434D">
      <w:pPr>
        <w:jc w:val="center"/>
        <w:rPr>
          <w:rFonts w:asciiTheme="minorBidi" w:hAnsiTheme="minorBidi"/>
          <w:sz w:val="28"/>
          <w:szCs w:val="28"/>
        </w:rPr>
      </w:pPr>
      <w:r w:rsidRPr="00E5434D">
        <w:rPr>
          <w:rFonts w:asciiTheme="minorBidi" w:hAnsiTheme="minorBidi"/>
          <w:sz w:val="28"/>
          <w:szCs w:val="28"/>
        </w:rPr>
        <w:t>Faculty of applied medical sciences</w:t>
      </w:r>
    </w:p>
    <w:p w:rsidR="003D1CD4" w:rsidRDefault="003D1CD4" w:rsidP="00E5434D">
      <w:pPr>
        <w:jc w:val="center"/>
        <w:rPr>
          <w:rFonts w:asciiTheme="minorBidi" w:hAnsiTheme="minorBidi"/>
          <w:sz w:val="36"/>
          <w:szCs w:val="36"/>
        </w:rPr>
      </w:pPr>
    </w:p>
    <w:p w:rsidR="00E5434D" w:rsidRPr="00E5434D" w:rsidRDefault="00E5434D" w:rsidP="00E5434D">
      <w:pPr>
        <w:jc w:val="center"/>
        <w:rPr>
          <w:rFonts w:asciiTheme="majorBidi" w:hAnsiTheme="majorBidi" w:cstheme="majorBidi"/>
          <w:sz w:val="36"/>
          <w:szCs w:val="36"/>
        </w:rPr>
      </w:pPr>
      <w:r w:rsidRPr="00E5434D">
        <w:rPr>
          <w:rFonts w:asciiTheme="majorBidi" w:hAnsiTheme="majorBidi" w:cstheme="majorBidi"/>
          <w:sz w:val="36"/>
          <w:szCs w:val="36"/>
        </w:rPr>
        <w:t>Asymptomatic Bacteriuria</w:t>
      </w:r>
    </w:p>
    <w:p w:rsidR="00E5434D" w:rsidRPr="00E5434D" w:rsidRDefault="00E5434D" w:rsidP="00E5434D">
      <w:pPr>
        <w:rPr>
          <w:rFonts w:asciiTheme="minorBidi" w:hAnsiTheme="minorBidi"/>
          <w:sz w:val="36"/>
          <w:szCs w:val="36"/>
        </w:rPr>
      </w:pPr>
    </w:p>
    <w:p w:rsidR="00E5434D" w:rsidRPr="00E5434D" w:rsidRDefault="00E5434D" w:rsidP="00E5434D">
      <w:pPr>
        <w:jc w:val="center"/>
        <w:rPr>
          <w:rFonts w:asciiTheme="majorBidi" w:hAnsiTheme="majorBidi" w:cstheme="majorBidi"/>
          <w:b/>
          <w:bCs/>
          <w:sz w:val="32"/>
          <w:szCs w:val="32"/>
        </w:rPr>
      </w:pPr>
      <w:r w:rsidRPr="00E5434D">
        <w:rPr>
          <w:rFonts w:asciiTheme="majorBidi" w:hAnsiTheme="majorBidi" w:cstheme="majorBidi"/>
          <w:b/>
          <w:bCs/>
          <w:sz w:val="32"/>
          <w:szCs w:val="32"/>
        </w:rPr>
        <w:t xml:space="preserve">Name : </w:t>
      </w:r>
      <w:r w:rsidRPr="00E5434D">
        <w:rPr>
          <w:rFonts w:asciiTheme="majorBidi" w:hAnsiTheme="majorBidi" w:cstheme="majorBidi"/>
          <w:b/>
          <w:bCs/>
          <w:sz w:val="32"/>
          <w:szCs w:val="32"/>
        </w:rPr>
        <w:t>Ahmed Mohammed Ahmed Elferjani</w:t>
      </w:r>
    </w:p>
    <w:p w:rsidR="00E5434D" w:rsidRPr="00E5434D" w:rsidRDefault="00E5434D" w:rsidP="00E5434D">
      <w:pPr>
        <w:jc w:val="center"/>
        <w:rPr>
          <w:rFonts w:asciiTheme="majorBidi" w:hAnsiTheme="majorBidi" w:cstheme="majorBidi"/>
          <w:b/>
          <w:bCs/>
          <w:sz w:val="32"/>
          <w:szCs w:val="32"/>
        </w:rPr>
      </w:pPr>
      <w:r w:rsidRPr="00E5434D">
        <w:rPr>
          <w:rFonts w:asciiTheme="majorBidi" w:hAnsiTheme="majorBidi" w:cstheme="majorBidi"/>
          <w:b/>
          <w:bCs/>
          <w:sz w:val="32"/>
          <w:szCs w:val="32"/>
        </w:rPr>
        <w:t>Student number : 31</w:t>
      </w:r>
      <w:r w:rsidRPr="00E5434D">
        <w:rPr>
          <w:rFonts w:asciiTheme="majorBidi" w:hAnsiTheme="majorBidi" w:cstheme="majorBidi"/>
          <w:b/>
          <w:bCs/>
          <w:sz w:val="32"/>
          <w:szCs w:val="32"/>
        </w:rPr>
        <w:t>23</w:t>
      </w:r>
    </w:p>
    <w:p w:rsidR="00E5434D" w:rsidRDefault="00E5434D" w:rsidP="00E5434D">
      <w:pPr>
        <w:jc w:val="center"/>
        <w:rPr>
          <w:rFonts w:asciiTheme="minorBidi" w:hAnsiTheme="minorBidi"/>
          <w:sz w:val="36"/>
          <w:szCs w:val="36"/>
        </w:rPr>
      </w:pPr>
    </w:p>
    <w:p w:rsidR="00E5434D" w:rsidRDefault="00E5434D" w:rsidP="00E5434D">
      <w:pPr>
        <w:jc w:val="center"/>
        <w:rPr>
          <w:rFonts w:asciiTheme="minorBidi" w:hAnsiTheme="minorBidi"/>
          <w:sz w:val="36"/>
          <w:szCs w:val="36"/>
        </w:rPr>
      </w:pPr>
    </w:p>
    <w:p w:rsidR="003D1CD4" w:rsidRDefault="003D1CD4" w:rsidP="003D1CD4">
      <w:pPr>
        <w:rPr>
          <w:rFonts w:asciiTheme="minorBidi" w:hAnsiTheme="minorBidi"/>
          <w:sz w:val="36"/>
          <w:szCs w:val="36"/>
        </w:rPr>
      </w:pPr>
    </w:p>
    <w:p w:rsidR="003D1CD4" w:rsidRDefault="003D1CD4" w:rsidP="003D1CD4">
      <w:pPr>
        <w:rPr>
          <w:rFonts w:asciiTheme="minorBidi" w:hAnsiTheme="minorBidi"/>
          <w:sz w:val="36"/>
          <w:szCs w:val="36"/>
        </w:rPr>
      </w:pPr>
    </w:p>
    <w:p w:rsidR="003D1CD4" w:rsidRDefault="003D1CD4" w:rsidP="003D1CD4">
      <w:pPr>
        <w:rPr>
          <w:rFonts w:asciiTheme="minorBidi" w:hAnsiTheme="minorBidi"/>
          <w:sz w:val="36"/>
          <w:szCs w:val="36"/>
        </w:rPr>
      </w:pPr>
    </w:p>
    <w:p w:rsidR="003D1CD4" w:rsidRDefault="003D1CD4" w:rsidP="003D1CD4">
      <w:pPr>
        <w:rPr>
          <w:rFonts w:asciiTheme="minorBidi" w:hAnsiTheme="minorBidi"/>
          <w:sz w:val="36"/>
          <w:szCs w:val="36"/>
        </w:rPr>
      </w:pPr>
    </w:p>
    <w:p w:rsidR="003D1CD4" w:rsidRDefault="003D1CD4" w:rsidP="003D1CD4">
      <w:pPr>
        <w:rPr>
          <w:rFonts w:asciiTheme="minorBidi" w:hAnsiTheme="minorBidi"/>
          <w:sz w:val="36"/>
          <w:szCs w:val="36"/>
        </w:rPr>
      </w:pPr>
    </w:p>
    <w:p w:rsidR="003D1CD4" w:rsidRDefault="003D1CD4" w:rsidP="003D1CD4">
      <w:pPr>
        <w:rPr>
          <w:rFonts w:asciiTheme="minorBidi" w:hAnsiTheme="minorBidi"/>
          <w:sz w:val="36"/>
          <w:szCs w:val="36"/>
        </w:rPr>
      </w:pPr>
    </w:p>
    <w:p w:rsidR="003D1CD4" w:rsidRDefault="003D1CD4" w:rsidP="003D1CD4">
      <w:pPr>
        <w:rPr>
          <w:rFonts w:asciiTheme="minorBidi" w:hAnsiTheme="minorBidi"/>
          <w:sz w:val="36"/>
          <w:szCs w:val="36"/>
        </w:rPr>
      </w:pPr>
    </w:p>
    <w:p w:rsidR="003D1CD4" w:rsidRPr="00E5434D" w:rsidRDefault="00E5434D" w:rsidP="003D1CD4">
      <w:pPr>
        <w:rPr>
          <w:rFonts w:asciiTheme="minorBidi" w:hAnsiTheme="minorBidi"/>
          <w:sz w:val="28"/>
          <w:szCs w:val="28"/>
        </w:rPr>
      </w:pPr>
      <w:r w:rsidRPr="00E5434D">
        <w:rPr>
          <w:rFonts w:asciiTheme="minorBidi" w:hAnsiTheme="minorBidi"/>
          <w:b/>
          <w:bCs/>
          <w:sz w:val="28"/>
          <w:szCs w:val="28"/>
        </w:rPr>
        <w:lastRenderedPageBreak/>
        <w:t xml:space="preserve">Abstract </w:t>
      </w:r>
    </w:p>
    <w:p w:rsidR="003D1CD4" w:rsidRPr="00E5434D" w:rsidRDefault="00E5434D" w:rsidP="005A366B">
      <w:pPr>
        <w:rPr>
          <w:rFonts w:asciiTheme="minorBidi" w:hAnsiTheme="minorBidi"/>
          <w:sz w:val="24"/>
          <w:szCs w:val="24"/>
        </w:rPr>
      </w:pPr>
      <w:r w:rsidRPr="005A366B">
        <w:rPr>
          <w:rFonts w:cstheme="minorHAnsi"/>
          <w:sz w:val="24"/>
          <w:szCs w:val="24"/>
        </w:rPr>
        <w:t>Urinary tract infection is one of the most frequent forms of in</w:t>
      </w:r>
      <w:r w:rsidR="005A366B">
        <w:rPr>
          <w:rFonts w:cstheme="minorHAnsi"/>
          <w:sz w:val="24"/>
          <w:szCs w:val="24"/>
        </w:rPr>
        <w:t>fection in the world, this report is focusing on</w:t>
      </w:r>
      <w:r w:rsidRPr="005A366B">
        <w:rPr>
          <w:rFonts w:cstheme="minorHAnsi"/>
          <w:sz w:val="24"/>
          <w:szCs w:val="24"/>
        </w:rPr>
        <w:t xml:space="preserve"> investiga</w:t>
      </w:r>
      <w:r w:rsidR="00C914E2">
        <w:rPr>
          <w:rFonts w:cstheme="minorHAnsi"/>
          <w:sz w:val="24"/>
          <w:szCs w:val="24"/>
        </w:rPr>
        <w:t>ting the formation of</w:t>
      </w:r>
      <w:r w:rsidRPr="005A366B">
        <w:rPr>
          <w:rFonts w:cstheme="minorHAnsi"/>
          <w:sz w:val="24"/>
          <w:szCs w:val="24"/>
        </w:rPr>
        <w:t xml:space="preserve"> bacterial growth i</w:t>
      </w:r>
      <w:r w:rsidR="005A366B">
        <w:rPr>
          <w:rFonts w:cstheme="minorHAnsi"/>
          <w:sz w:val="24"/>
          <w:szCs w:val="24"/>
        </w:rPr>
        <w:t>n individuals who had not appear</w:t>
      </w:r>
      <w:r w:rsidRPr="005A366B">
        <w:rPr>
          <w:rFonts w:cstheme="minorHAnsi"/>
          <w:sz w:val="24"/>
          <w:szCs w:val="24"/>
        </w:rPr>
        <w:t xml:space="preserve"> indications of infection, a condition known as silent bacteriuria</w:t>
      </w:r>
      <w:r w:rsidR="005A366B">
        <w:rPr>
          <w:rFonts w:cstheme="minorHAnsi"/>
          <w:sz w:val="24"/>
          <w:szCs w:val="24"/>
        </w:rPr>
        <w:t xml:space="preserve"> or asymptomatic infection</w:t>
      </w:r>
      <w:r w:rsidRPr="005A366B">
        <w:rPr>
          <w:rFonts w:cstheme="minorHAnsi"/>
          <w:sz w:val="24"/>
          <w:szCs w:val="24"/>
        </w:rPr>
        <w:t>. E.Coli is the</w:t>
      </w:r>
      <w:r w:rsidR="005A366B">
        <w:rPr>
          <w:rFonts w:cstheme="minorHAnsi"/>
          <w:sz w:val="24"/>
          <w:szCs w:val="24"/>
        </w:rPr>
        <w:t xml:space="preserve"> most prevalent caus., T</w:t>
      </w:r>
      <w:r w:rsidRPr="005A366B">
        <w:rPr>
          <w:rFonts w:cstheme="minorHAnsi"/>
          <w:sz w:val="24"/>
          <w:szCs w:val="24"/>
        </w:rPr>
        <w:t>o monitor bacterial growth, 24 samples were separated into 12 males and 12 females in this investigation. Around 75% of the men exhibited no growth, whereas 25% showed little increase.</w:t>
      </w:r>
      <w:r w:rsidR="005A366B">
        <w:rPr>
          <w:rFonts w:cstheme="minorHAnsi"/>
          <w:sz w:val="24"/>
          <w:szCs w:val="24"/>
        </w:rPr>
        <w:t xml:space="preserve"> In contrast the percentage regarding the females was high, about</w:t>
      </w:r>
      <w:r w:rsidRPr="005A366B">
        <w:rPr>
          <w:rFonts w:cstheme="minorHAnsi"/>
          <w:sz w:val="24"/>
          <w:szCs w:val="24"/>
        </w:rPr>
        <w:t xml:space="preserve"> 1</w:t>
      </w:r>
      <w:r w:rsidR="005A366B">
        <w:rPr>
          <w:rFonts w:cstheme="minorHAnsi"/>
          <w:sz w:val="24"/>
          <w:szCs w:val="24"/>
        </w:rPr>
        <w:t xml:space="preserve">6.7% having strong growth, 66.7% </w:t>
      </w:r>
      <w:r w:rsidRPr="005A366B">
        <w:rPr>
          <w:rFonts w:cstheme="minorHAnsi"/>
          <w:sz w:val="24"/>
          <w:szCs w:val="24"/>
        </w:rPr>
        <w:t>having low growth, and only 16.7% being sterile. Because of the physical</w:t>
      </w:r>
      <w:r w:rsidR="005A366B">
        <w:rPr>
          <w:rFonts w:cstheme="minorHAnsi"/>
          <w:sz w:val="24"/>
          <w:szCs w:val="24"/>
        </w:rPr>
        <w:t xml:space="preserve"> and anatomical</w:t>
      </w:r>
      <w:r w:rsidRPr="005A366B">
        <w:rPr>
          <w:rFonts w:cstheme="minorHAnsi"/>
          <w:sz w:val="24"/>
          <w:szCs w:val="24"/>
        </w:rPr>
        <w:t xml:space="preserve"> differences between the two genders, there is a</w:t>
      </w:r>
      <w:r w:rsidR="005A366B">
        <w:rPr>
          <w:rFonts w:cstheme="minorHAnsi"/>
          <w:sz w:val="24"/>
          <w:szCs w:val="24"/>
        </w:rPr>
        <w:t xml:space="preserve"> complete difference in the results.</w:t>
      </w:r>
    </w:p>
    <w:p w:rsidR="003D1CD4" w:rsidRPr="00E5434D" w:rsidRDefault="00203F9D" w:rsidP="003D1CD4">
      <w:pPr>
        <w:rPr>
          <w:rFonts w:asciiTheme="minorBidi" w:hAnsiTheme="minorBidi"/>
          <w:b/>
          <w:bCs/>
          <w:i/>
          <w:iCs/>
          <w:sz w:val="28"/>
          <w:szCs w:val="28"/>
        </w:rPr>
      </w:pPr>
      <w:r w:rsidRPr="00E5434D">
        <w:rPr>
          <w:rFonts w:asciiTheme="minorBidi" w:hAnsiTheme="minorBidi"/>
          <w:b/>
          <w:bCs/>
          <w:i/>
          <w:iCs/>
          <w:sz w:val="28"/>
          <w:szCs w:val="28"/>
        </w:rPr>
        <w:t>Introduction</w:t>
      </w:r>
      <w:r w:rsidR="003D1CD4" w:rsidRPr="00E5434D">
        <w:rPr>
          <w:rFonts w:asciiTheme="minorBidi" w:hAnsiTheme="minorBidi"/>
          <w:b/>
          <w:bCs/>
          <w:i/>
          <w:iCs/>
          <w:sz w:val="28"/>
          <w:szCs w:val="28"/>
        </w:rPr>
        <w:t xml:space="preserve"> :</w:t>
      </w:r>
    </w:p>
    <w:p w:rsidR="00DB4F7A" w:rsidRDefault="00DB4F7A" w:rsidP="00DB4F7A">
      <w:pPr>
        <w:rPr>
          <w:sz w:val="24"/>
          <w:szCs w:val="24"/>
        </w:rPr>
      </w:pPr>
      <w:r w:rsidRPr="00DB4F7A">
        <w:rPr>
          <w:sz w:val="24"/>
          <w:szCs w:val="24"/>
        </w:rPr>
        <w:t>Bacteria in the urine is called bacteriuria, this type specifically produces symptoms when the patient had the infection, while asymptomatic bacteriuria is an infection without the appearance of symptoms, the targeted people from this type of infection are mainly old people aged from 65 to 80 an</w:t>
      </w:r>
      <w:r>
        <w:rPr>
          <w:sz w:val="24"/>
          <w:szCs w:val="24"/>
        </w:rPr>
        <w:t>d patients in long-term care as</w:t>
      </w:r>
      <w:r w:rsidRPr="00DB4F7A">
        <w:rPr>
          <w:sz w:val="24"/>
          <w:szCs w:val="24"/>
        </w:rPr>
        <w:t xml:space="preserve"> it considers a nosocomial infection, this age vulnerable to the infection due to their poor immunity, the bacterium was shown to be the most common </w:t>
      </w:r>
      <w:r>
        <w:rPr>
          <w:sz w:val="24"/>
          <w:szCs w:val="24"/>
        </w:rPr>
        <w:t>are</w:t>
      </w:r>
      <w:r w:rsidRPr="00DB4F7A">
        <w:rPr>
          <w:sz w:val="24"/>
          <w:szCs w:val="24"/>
        </w:rPr>
        <w:t xml:space="preserve"> gram-negative bacteria and mainly is Escherichia coli, Klebsiella and its s</w:t>
      </w:r>
      <w:r w:rsidR="003118F9">
        <w:rPr>
          <w:sz w:val="24"/>
          <w:szCs w:val="24"/>
        </w:rPr>
        <w:t>pecies, Asymptomatic bacteri</w:t>
      </w:r>
      <w:r w:rsidRPr="00DB4F7A">
        <w:rPr>
          <w:sz w:val="24"/>
          <w:szCs w:val="24"/>
        </w:rPr>
        <w:t>uria does not require treatment, people who have a transplanted organ, pregnant patients and children who suffer from vesicoureteral reflux are all possible exceptions cases</w:t>
      </w:r>
      <w:r w:rsidR="00C914E2">
        <w:rPr>
          <w:sz w:val="24"/>
          <w:szCs w:val="24"/>
        </w:rPr>
        <w:t>.</w:t>
      </w:r>
    </w:p>
    <w:p w:rsidR="00690822" w:rsidRPr="00E5434D" w:rsidRDefault="00690822" w:rsidP="00DB4F7A">
      <w:pPr>
        <w:rPr>
          <w:b/>
          <w:bCs/>
          <w:i/>
          <w:iCs/>
          <w:sz w:val="28"/>
          <w:szCs w:val="28"/>
        </w:rPr>
      </w:pPr>
      <w:r w:rsidRPr="00E5434D">
        <w:rPr>
          <w:b/>
          <w:bCs/>
          <w:i/>
          <w:iCs/>
          <w:sz w:val="28"/>
          <w:szCs w:val="28"/>
        </w:rPr>
        <w:t xml:space="preserve">Method : </w:t>
      </w:r>
    </w:p>
    <w:p w:rsidR="005C43F9" w:rsidRDefault="005C43F9" w:rsidP="00D21159">
      <w:pPr>
        <w:rPr>
          <w:sz w:val="24"/>
          <w:szCs w:val="24"/>
        </w:rPr>
      </w:pPr>
      <w:r w:rsidRPr="005C43F9">
        <w:rPr>
          <w:sz w:val="24"/>
          <w:szCs w:val="24"/>
        </w:rPr>
        <w:t xml:space="preserve">The collection of urine is done by </w:t>
      </w:r>
      <w:r w:rsidR="005250C9">
        <w:rPr>
          <w:sz w:val="24"/>
          <w:szCs w:val="24"/>
        </w:rPr>
        <w:t xml:space="preserve">either </w:t>
      </w:r>
      <w:r w:rsidRPr="005C43F9">
        <w:rPr>
          <w:sz w:val="24"/>
          <w:szCs w:val="24"/>
        </w:rPr>
        <w:t>Midstream</w:t>
      </w:r>
      <w:r w:rsidR="005250C9">
        <w:rPr>
          <w:sz w:val="24"/>
          <w:szCs w:val="24"/>
        </w:rPr>
        <w:t xml:space="preserve"> clean–catch method,</w:t>
      </w:r>
      <w:r w:rsidR="007D427B">
        <w:rPr>
          <w:sz w:val="24"/>
          <w:szCs w:val="24"/>
        </w:rPr>
        <w:t xml:space="preserve"> </w:t>
      </w:r>
      <w:r w:rsidR="005250C9" w:rsidRPr="005250C9">
        <w:rPr>
          <w:rFonts w:eastAsiaTheme="minorEastAsia" w:hAnsi="Calibri"/>
          <w:color w:val="000000" w:themeColor="text1"/>
          <w:kern w:val="24"/>
          <w:sz w:val="24"/>
          <w:szCs w:val="24"/>
        </w:rPr>
        <w:t>urethral catheterization (CATH)</w:t>
      </w:r>
      <w:r w:rsidR="005250C9">
        <w:rPr>
          <w:rFonts w:eastAsiaTheme="minorEastAsia" w:hAnsi="Calibri"/>
          <w:color w:val="000000" w:themeColor="text1"/>
          <w:kern w:val="24"/>
          <w:sz w:val="24"/>
          <w:szCs w:val="24"/>
        </w:rPr>
        <w:t>,</w:t>
      </w:r>
      <w:r w:rsidR="007D427B">
        <w:rPr>
          <w:rFonts w:eastAsiaTheme="minorEastAsia" w:hAnsi="Calibri"/>
          <w:color w:val="000000" w:themeColor="text1"/>
          <w:kern w:val="24"/>
          <w:sz w:val="24"/>
          <w:szCs w:val="24"/>
        </w:rPr>
        <w:t xml:space="preserve"> </w:t>
      </w:r>
      <w:r w:rsidR="005250C9">
        <w:rPr>
          <w:rFonts w:eastAsiaTheme="minorEastAsia" w:hAnsi="Calibri"/>
          <w:color w:val="000000" w:themeColor="text1"/>
          <w:kern w:val="24"/>
          <w:sz w:val="24"/>
          <w:szCs w:val="24"/>
        </w:rPr>
        <w:t>Suprapubic aspiration</w:t>
      </w:r>
      <w:r w:rsidR="007D427B">
        <w:rPr>
          <w:rFonts w:eastAsiaTheme="minorEastAsia" w:hAnsi="Calibri"/>
          <w:color w:val="000000" w:themeColor="text1"/>
          <w:kern w:val="24"/>
          <w:sz w:val="24"/>
          <w:szCs w:val="24"/>
        </w:rPr>
        <w:t>, or Sterile urine b</w:t>
      </w:r>
      <w:r w:rsidR="00D21159">
        <w:rPr>
          <w:rFonts w:eastAsiaTheme="minorEastAsia" w:hAnsi="Calibri"/>
          <w:color w:val="000000" w:themeColor="text1"/>
          <w:kern w:val="24"/>
          <w:sz w:val="24"/>
          <w:szCs w:val="24"/>
        </w:rPr>
        <w:t xml:space="preserve">ag, in our Laboratory session the method that has done is the Midstream clean-catch </w:t>
      </w:r>
      <w:r w:rsidR="00C914E2">
        <w:rPr>
          <w:rFonts w:eastAsiaTheme="minorEastAsia" w:hAnsi="Calibri"/>
          <w:color w:val="000000" w:themeColor="text1"/>
          <w:kern w:val="24"/>
          <w:sz w:val="24"/>
          <w:szCs w:val="24"/>
        </w:rPr>
        <w:t xml:space="preserve">, the sample </w:t>
      </w:r>
      <w:r w:rsidR="00D21159">
        <w:rPr>
          <w:rFonts w:eastAsiaTheme="minorEastAsia" w:hAnsi="Calibri"/>
          <w:color w:val="000000" w:themeColor="text1"/>
          <w:kern w:val="24"/>
          <w:sz w:val="24"/>
          <w:szCs w:val="24"/>
        </w:rPr>
        <w:t>had</w:t>
      </w:r>
      <w:r w:rsidR="00D21159">
        <w:rPr>
          <w:sz w:val="24"/>
          <w:szCs w:val="24"/>
        </w:rPr>
        <w:t xml:space="preserve"> put</w:t>
      </w:r>
      <w:r w:rsidRPr="005C43F9">
        <w:rPr>
          <w:sz w:val="24"/>
          <w:szCs w:val="24"/>
        </w:rPr>
        <w:t xml:space="preserve"> in the refrigerator for several hours</w:t>
      </w:r>
      <w:r w:rsidR="00081452">
        <w:rPr>
          <w:sz w:val="24"/>
          <w:szCs w:val="24"/>
        </w:rPr>
        <w:t xml:space="preserve">, </w:t>
      </w:r>
      <w:r w:rsidRPr="005C43F9">
        <w:rPr>
          <w:sz w:val="24"/>
          <w:szCs w:val="24"/>
        </w:rPr>
        <w:t>the procedure is start by mixing the urine and use of a sterile calibrated wire loop, insertion the loop vertically to make sure that the</w:t>
      </w:r>
      <w:r w:rsidR="007D427B">
        <w:rPr>
          <w:sz w:val="24"/>
          <w:szCs w:val="24"/>
        </w:rPr>
        <w:t xml:space="preserve"> sample is well collected, </w:t>
      </w:r>
      <w:r w:rsidR="00C914E2">
        <w:rPr>
          <w:sz w:val="24"/>
          <w:szCs w:val="24"/>
        </w:rPr>
        <w:t>the method</w:t>
      </w:r>
      <w:r w:rsidR="00D21159">
        <w:rPr>
          <w:sz w:val="24"/>
          <w:szCs w:val="24"/>
        </w:rPr>
        <w:t xml:space="preserve"> has followed was by </w:t>
      </w:r>
      <w:r w:rsidR="00081452">
        <w:rPr>
          <w:sz w:val="24"/>
          <w:szCs w:val="24"/>
        </w:rPr>
        <w:t>spread</w:t>
      </w:r>
      <w:r w:rsidR="00D21159">
        <w:rPr>
          <w:sz w:val="24"/>
          <w:szCs w:val="24"/>
        </w:rPr>
        <w:t>ing</w:t>
      </w:r>
      <w:r w:rsidR="00081452">
        <w:rPr>
          <w:sz w:val="24"/>
          <w:szCs w:val="24"/>
        </w:rPr>
        <w:t xml:space="preserve"> the sample slowly and smoothly by streaking the loop in the middle of agar pl</w:t>
      </w:r>
      <w:r w:rsidR="00BB4058">
        <w:rPr>
          <w:sz w:val="24"/>
          <w:szCs w:val="24"/>
        </w:rPr>
        <w:t>ate from up to down and then</w:t>
      </w:r>
      <w:r w:rsidR="00081452">
        <w:rPr>
          <w:sz w:val="24"/>
          <w:szCs w:val="24"/>
        </w:rPr>
        <w:t xml:space="preserve"> streak with the same loop that contains the sample horizontally in a wavy pattern to make sure that all the sample has adher</w:t>
      </w:r>
      <w:r w:rsidR="00D21159">
        <w:rPr>
          <w:sz w:val="24"/>
          <w:szCs w:val="24"/>
        </w:rPr>
        <w:t xml:space="preserve">ed to the agar plate after that the sample was incubated for 24 hours at 37 Celsius,  the colonies had counted </w:t>
      </w:r>
      <w:r w:rsidR="00081452">
        <w:rPr>
          <w:sz w:val="24"/>
          <w:szCs w:val="24"/>
        </w:rPr>
        <w:t xml:space="preserve">on the plate and found that </w:t>
      </w:r>
      <w:r w:rsidR="00D21159">
        <w:rPr>
          <w:sz w:val="24"/>
          <w:szCs w:val="24"/>
        </w:rPr>
        <w:t>the number is 832, as following</w:t>
      </w:r>
      <w:r w:rsidR="001B5DAC">
        <w:rPr>
          <w:sz w:val="24"/>
          <w:szCs w:val="24"/>
        </w:rPr>
        <w:t xml:space="preserve"> the Midstr</w:t>
      </w:r>
      <w:r w:rsidR="00D21159">
        <w:rPr>
          <w:sz w:val="24"/>
          <w:szCs w:val="24"/>
        </w:rPr>
        <w:t>eam clean-catch method roles the colony</w:t>
      </w:r>
      <w:r w:rsidR="00081452">
        <w:rPr>
          <w:sz w:val="24"/>
          <w:szCs w:val="24"/>
        </w:rPr>
        <w:t xml:space="preserve"> </w:t>
      </w:r>
      <w:r w:rsidR="00D21159">
        <w:rPr>
          <w:sz w:val="24"/>
          <w:szCs w:val="24"/>
        </w:rPr>
        <w:t xml:space="preserve">number was </w:t>
      </w:r>
      <w:r w:rsidR="00081452">
        <w:rPr>
          <w:sz w:val="24"/>
          <w:szCs w:val="24"/>
        </w:rPr>
        <w:t>multip</w:t>
      </w:r>
      <w:r w:rsidR="00D21159">
        <w:rPr>
          <w:sz w:val="24"/>
          <w:szCs w:val="24"/>
        </w:rPr>
        <w:t>lied</w:t>
      </w:r>
      <w:r w:rsidR="001B5DAC">
        <w:rPr>
          <w:sz w:val="24"/>
          <w:szCs w:val="24"/>
        </w:rPr>
        <w:t xml:space="preserve"> to 100, the answer was 83</w:t>
      </w:r>
      <w:r w:rsidR="00081452">
        <w:rPr>
          <w:sz w:val="24"/>
          <w:szCs w:val="24"/>
        </w:rPr>
        <w:t>,200 “ there is no significant</w:t>
      </w:r>
      <w:r w:rsidR="00F44434">
        <w:rPr>
          <w:sz w:val="24"/>
          <w:szCs w:val="24"/>
        </w:rPr>
        <w:t xml:space="preserve"> and gross</w:t>
      </w:r>
      <w:r w:rsidR="00081452">
        <w:rPr>
          <w:sz w:val="24"/>
          <w:szCs w:val="24"/>
        </w:rPr>
        <w:t xml:space="preserve"> growth in the agar plate “</w:t>
      </w:r>
      <w:r w:rsidR="00D21159">
        <w:rPr>
          <w:sz w:val="24"/>
          <w:szCs w:val="24"/>
        </w:rPr>
        <w:t xml:space="preserve"> relying on this result it is not necessary</w:t>
      </w:r>
      <w:r w:rsidR="00F44434">
        <w:rPr>
          <w:sz w:val="24"/>
          <w:szCs w:val="24"/>
        </w:rPr>
        <w:t xml:space="preserve"> to do microscopic examination on the media,</w:t>
      </w:r>
      <w:r w:rsidR="00081452">
        <w:rPr>
          <w:sz w:val="24"/>
          <w:szCs w:val="24"/>
        </w:rPr>
        <w:t xml:space="preserve"> </w:t>
      </w:r>
      <w:r w:rsidR="00F44434">
        <w:rPr>
          <w:sz w:val="24"/>
          <w:szCs w:val="24"/>
        </w:rPr>
        <w:t>T</w:t>
      </w:r>
      <w:r w:rsidR="00D21159">
        <w:rPr>
          <w:sz w:val="24"/>
          <w:szCs w:val="24"/>
        </w:rPr>
        <w:t>he media that</w:t>
      </w:r>
      <w:r w:rsidR="00504380">
        <w:rPr>
          <w:sz w:val="24"/>
          <w:szCs w:val="24"/>
        </w:rPr>
        <w:t xml:space="preserve"> used was blood agar plate media</w:t>
      </w:r>
      <w:r w:rsidR="00C914E2">
        <w:rPr>
          <w:sz w:val="24"/>
          <w:szCs w:val="24"/>
        </w:rPr>
        <w:t xml:space="preserve"> and </w:t>
      </w:r>
      <w:r w:rsidR="00C914E2" w:rsidRPr="00C914E2">
        <w:rPr>
          <w:sz w:val="24"/>
          <w:szCs w:val="24"/>
        </w:rPr>
        <w:t>McConkey agar</w:t>
      </w:r>
      <w:r w:rsidR="00C914E2">
        <w:rPr>
          <w:sz w:val="24"/>
          <w:szCs w:val="24"/>
        </w:rPr>
        <w:t xml:space="preserve"> media</w:t>
      </w:r>
    </w:p>
    <w:p w:rsidR="00C914E2" w:rsidRDefault="00C914E2" w:rsidP="00C914E2">
      <w:pPr>
        <w:jc w:val="center"/>
        <w:rPr>
          <w:sz w:val="24"/>
          <w:szCs w:val="24"/>
        </w:rPr>
      </w:pPr>
      <w:r>
        <w:rPr>
          <w:noProof/>
          <w:sz w:val="24"/>
          <w:szCs w:val="24"/>
        </w:rPr>
        <w:lastRenderedPageBreak/>
        <w:drawing>
          <wp:inline distT="0" distB="0" distL="0" distR="0" wp14:anchorId="6E68660F">
            <wp:extent cx="3529965" cy="2505710"/>
            <wp:effectExtent l="0" t="0" r="0" b="889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29965" cy="2505710"/>
                    </a:xfrm>
                    <a:prstGeom prst="rect">
                      <a:avLst/>
                    </a:prstGeom>
                    <a:noFill/>
                  </pic:spPr>
                </pic:pic>
              </a:graphicData>
            </a:graphic>
          </wp:inline>
        </w:drawing>
      </w:r>
    </w:p>
    <w:p w:rsidR="00C914E2" w:rsidRPr="005C43F9" w:rsidRDefault="00C914E2" w:rsidP="00C914E2">
      <w:pPr>
        <w:jc w:val="center"/>
        <w:rPr>
          <w:sz w:val="24"/>
          <w:szCs w:val="24"/>
        </w:rPr>
      </w:pPr>
      <w:r>
        <w:rPr>
          <w:sz w:val="24"/>
          <w:szCs w:val="24"/>
        </w:rPr>
        <w:t xml:space="preserve"> Figure shows </w:t>
      </w:r>
      <w:bookmarkStart w:id="0" w:name="_GoBack"/>
      <w:bookmarkEnd w:id="0"/>
      <w:r>
        <w:rPr>
          <w:sz w:val="24"/>
          <w:szCs w:val="24"/>
        </w:rPr>
        <w:t xml:space="preserve">E.coli growth on </w:t>
      </w:r>
      <w:r w:rsidRPr="00C914E2">
        <w:rPr>
          <w:sz w:val="24"/>
          <w:szCs w:val="24"/>
        </w:rPr>
        <w:t>McConkey agar</w:t>
      </w:r>
    </w:p>
    <w:p w:rsidR="00E179D2" w:rsidRPr="00E5434D" w:rsidRDefault="00F44434" w:rsidP="00E179D2">
      <w:pPr>
        <w:rPr>
          <w:b/>
          <w:bCs/>
          <w:sz w:val="28"/>
          <w:szCs w:val="28"/>
        </w:rPr>
      </w:pPr>
      <w:r w:rsidRPr="00E5434D">
        <w:rPr>
          <w:b/>
          <w:bCs/>
          <w:sz w:val="28"/>
          <w:szCs w:val="28"/>
        </w:rPr>
        <w:t xml:space="preserve">Statistical Analysis </w:t>
      </w:r>
    </w:p>
    <w:p w:rsidR="00E179D2" w:rsidRPr="006B72AB" w:rsidRDefault="00E179D2" w:rsidP="00E179D2">
      <w:pPr>
        <w:autoSpaceDE w:val="0"/>
        <w:autoSpaceDN w:val="0"/>
        <w:adjustRightInd w:val="0"/>
        <w:spacing w:after="0" w:line="240" w:lineRule="auto"/>
        <w:rPr>
          <w:rFonts w:ascii="Times New Roman" w:hAnsi="Times New Roman" w:cs="Times New Roman"/>
          <w:sz w:val="24"/>
          <w:szCs w:val="24"/>
        </w:rPr>
      </w:pP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9"/>
        <w:gridCol w:w="1030"/>
        <w:gridCol w:w="1030"/>
        <w:gridCol w:w="1030"/>
        <w:gridCol w:w="1030"/>
        <w:gridCol w:w="1030"/>
        <w:gridCol w:w="1030"/>
      </w:tblGrid>
      <w:tr w:rsidR="00E179D2" w:rsidRPr="006B72AB" w:rsidTr="00FD3075">
        <w:trPr>
          <w:cantSplit/>
        </w:trPr>
        <w:tc>
          <w:tcPr>
            <w:tcW w:w="8033" w:type="dxa"/>
            <w:gridSpan w:val="7"/>
            <w:tcBorders>
              <w:top w:val="nil"/>
              <w:left w:val="nil"/>
              <w:bottom w:val="nil"/>
              <w:right w:val="nil"/>
            </w:tcBorders>
            <w:shd w:val="clear" w:color="auto" w:fill="FFFFFF"/>
            <w:vAlign w:val="center"/>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Case Processing Summary</w:t>
            </w:r>
          </w:p>
        </w:tc>
      </w:tr>
      <w:tr w:rsidR="00E179D2" w:rsidRPr="006B72AB" w:rsidTr="00FD3075">
        <w:trPr>
          <w:cantSplit/>
        </w:trPr>
        <w:tc>
          <w:tcPr>
            <w:tcW w:w="1859" w:type="dxa"/>
            <w:vMerge w:val="restart"/>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6174" w:type="dxa"/>
            <w:gridSpan w:val="6"/>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E179D2" w:rsidRPr="006B72AB" w:rsidTr="00FD3075">
        <w:trPr>
          <w:cantSplit/>
        </w:trPr>
        <w:tc>
          <w:tcPr>
            <w:tcW w:w="1859" w:type="dxa"/>
            <w:vMerge/>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2058" w:type="dxa"/>
            <w:gridSpan w:val="2"/>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E179D2" w:rsidRPr="006B72AB" w:rsidTr="00FD3075">
        <w:trPr>
          <w:cantSplit/>
        </w:trPr>
        <w:tc>
          <w:tcPr>
            <w:tcW w:w="1859" w:type="dxa"/>
            <w:vMerge/>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E179D2" w:rsidRPr="006B72AB" w:rsidTr="00FD3075">
        <w:trPr>
          <w:cantSplit/>
        </w:trPr>
        <w:tc>
          <w:tcPr>
            <w:tcW w:w="1859" w:type="dxa"/>
            <w:tcBorders>
              <w:top w:val="single" w:sz="8" w:space="0" w:color="152935"/>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E179D2" w:rsidRPr="006B72AB" w:rsidRDefault="00E179D2" w:rsidP="00E179D2">
      <w:pPr>
        <w:autoSpaceDE w:val="0"/>
        <w:autoSpaceDN w:val="0"/>
        <w:adjustRightInd w:val="0"/>
        <w:spacing w:after="0" w:line="400" w:lineRule="atLeast"/>
        <w:rPr>
          <w:rFonts w:ascii="Times New Roman" w:hAnsi="Times New Roman" w:cs="Times New Roman"/>
          <w:sz w:val="24"/>
          <w:szCs w:val="24"/>
        </w:rPr>
      </w:pPr>
    </w:p>
    <w:p w:rsidR="00E179D2" w:rsidRPr="006B72AB" w:rsidRDefault="00E179D2" w:rsidP="00E179D2">
      <w:pPr>
        <w:autoSpaceDE w:val="0"/>
        <w:autoSpaceDN w:val="0"/>
        <w:adjustRightInd w:val="0"/>
        <w:spacing w:after="0" w:line="240" w:lineRule="auto"/>
        <w:rPr>
          <w:rFonts w:ascii="Times New Roman" w:hAnsi="Times New Roman" w:cs="Times New Roman"/>
          <w:sz w:val="24"/>
          <w:szCs w:val="24"/>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E179D2" w:rsidRPr="006B72AB" w:rsidTr="00FD3075">
        <w:trPr>
          <w:cantSplit/>
        </w:trPr>
        <w:tc>
          <w:tcPr>
            <w:tcW w:w="8803" w:type="dxa"/>
            <w:gridSpan w:val="7"/>
            <w:tcBorders>
              <w:top w:val="nil"/>
              <w:left w:val="nil"/>
              <w:bottom w:val="nil"/>
              <w:right w:val="nil"/>
            </w:tcBorders>
            <w:shd w:val="clear" w:color="auto" w:fill="FFFFFF"/>
            <w:vAlign w:val="center"/>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Gender * UTICATS Crosstabulation</w:t>
            </w:r>
          </w:p>
        </w:tc>
      </w:tr>
      <w:tr w:rsidR="00E179D2" w:rsidRPr="006B72AB" w:rsidTr="00FD3075">
        <w:trPr>
          <w:cantSplit/>
        </w:trPr>
        <w:tc>
          <w:tcPr>
            <w:tcW w:w="3672" w:type="dxa"/>
            <w:gridSpan w:val="3"/>
            <w:vMerge w:val="restart"/>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29" w:type="dxa"/>
            <w:vMerge w:val="restart"/>
            <w:tcBorders>
              <w:top w:val="nil"/>
              <w:left w:val="single" w:sz="8" w:space="0" w:color="E0E0E0"/>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E179D2" w:rsidRPr="006B72AB" w:rsidTr="00FD3075">
        <w:trPr>
          <w:cantSplit/>
        </w:trPr>
        <w:tc>
          <w:tcPr>
            <w:tcW w:w="3672" w:type="dxa"/>
            <w:gridSpan w:val="3"/>
            <w:vMerge/>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r>
      <w:tr w:rsidR="00E179D2" w:rsidRPr="006B72AB" w:rsidTr="00FD3075">
        <w:trPr>
          <w:cantSplit/>
        </w:trPr>
        <w:tc>
          <w:tcPr>
            <w:tcW w:w="922" w:type="dxa"/>
            <w:vMerge w:val="restart"/>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E179D2" w:rsidRPr="006B72AB" w:rsidTr="00FD3075">
        <w:trPr>
          <w:cantSplit/>
        </w:trPr>
        <w:tc>
          <w:tcPr>
            <w:tcW w:w="922" w:type="dxa"/>
            <w:vMerge/>
            <w:tcBorders>
              <w:top w:val="single" w:sz="8" w:space="0" w:color="152935"/>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E179D2" w:rsidRPr="006B72AB" w:rsidTr="00FD3075">
        <w:trPr>
          <w:cantSplit/>
        </w:trPr>
        <w:tc>
          <w:tcPr>
            <w:tcW w:w="1859" w:type="dxa"/>
            <w:gridSpan w:val="2"/>
            <w:vMerge w:val="restart"/>
            <w:tcBorders>
              <w:top w:val="single" w:sz="8" w:space="0" w:color="AEAEAE"/>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E179D2" w:rsidRPr="006B72AB" w:rsidTr="00FD3075">
        <w:trPr>
          <w:cantSplit/>
        </w:trPr>
        <w:tc>
          <w:tcPr>
            <w:tcW w:w="1859" w:type="dxa"/>
            <w:gridSpan w:val="2"/>
            <w:vMerge/>
            <w:tcBorders>
              <w:top w:val="single" w:sz="8" w:space="0" w:color="AEAEAE"/>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E179D2" w:rsidRPr="006B72AB" w:rsidTr="00FD3075">
        <w:trPr>
          <w:cantSplit/>
        </w:trPr>
        <w:tc>
          <w:tcPr>
            <w:tcW w:w="1859" w:type="dxa"/>
            <w:gridSpan w:val="2"/>
            <w:vMerge/>
            <w:tcBorders>
              <w:top w:val="single" w:sz="8" w:space="0" w:color="AEAEAE"/>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E179D2" w:rsidRPr="006B72AB" w:rsidTr="00FD3075">
        <w:trPr>
          <w:cantSplit/>
        </w:trPr>
        <w:tc>
          <w:tcPr>
            <w:tcW w:w="1859" w:type="dxa"/>
            <w:gridSpan w:val="2"/>
            <w:vMerge/>
            <w:tcBorders>
              <w:top w:val="single" w:sz="8" w:space="0" w:color="AEAEAE"/>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2" w:type="dxa"/>
            <w:tcBorders>
              <w:top w:val="single" w:sz="8" w:space="0" w:color="AEAEAE"/>
              <w:left w:val="nil"/>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rsidR="00E179D2" w:rsidRPr="006B72AB" w:rsidRDefault="00E179D2" w:rsidP="00E179D2">
      <w:pPr>
        <w:autoSpaceDE w:val="0"/>
        <w:autoSpaceDN w:val="0"/>
        <w:adjustRightInd w:val="0"/>
        <w:spacing w:after="0" w:line="400" w:lineRule="atLeast"/>
        <w:rPr>
          <w:rFonts w:ascii="Times New Roman" w:hAnsi="Times New Roman" w:cs="Times New Roman"/>
          <w:sz w:val="24"/>
          <w:szCs w:val="24"/>
        </w:rPr>
      </w:pPr>
    </w:p>
    <w:p w:rsidR="00E179D2" w:rsidRPr="006B72AB" w:rsidRDefault="00E179D2" w:rsidP="00E179D2">
      <w:pPr>
        <w:autoSpaceDE w:val="0"/>
        <w:autoSpaceDN w:val="0"/>
        <w:adjustRightInd w:val="0"/>
        <w:spacing w:after="0" w:line="240" w:lineRule="auto"/>
        <w:rPr>
          <w:rFonts w:ascii="Times New Roman" w:hAnsi="Times New Roman" w:cs="Times New Roman"/>
          <w:sz w:val="24"/>
          <w:szCs w:val="24"/>
        </w:rPr>
      </w:pPr>
    </w:p>
    <w:tbl>
      <w:tblPr>
        <w:tblpPr w:leftFromText="180" w:rightFromText="180" w:tblpY="420"/>
        <w:tblW w:w="157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6"/>
        <w:gridCol w:w="2411"/>
        <w:gridCol w:w="992"/>
        <w:gridCol w:w="1134"/>
        <w:gridCol w:w="1559"/>
        <w:gridCol w:w="1276"/>
        <w:gridCol w:w="1417"/>
        <w:gridCol w:w="1418"/>
        <w:gridCol w:w="1873"/>
        <w:gridCol w:w="1560"/>
        <w:gridCol w:w="1560"/>
      </w:tblGrid>
      <w:tr w:rsidR="00E179D2" w:rsidRPr="006B72AB" w:rsidTr="00FD3075">
        <w:trPr>
          <w:cantSplit/>
        </w:trPr>
        <w:tc>
          <w:tcPr>
            <w:tcW w:w="15766" w:type="dxa"/>
            <w:gridSpan w:val="11"/>
            <w:tcBorders>
              <w:top w:val="nil"/>
              <w:left w:val="nil"/>
              <w:bottom w:val="nil"/>
              <w:right w:val="nil"/>
            </w:tcBorders>
            <w:shd w:val="clear" w:color="auto" w:fill="FFFFFF"/>
            <w:vAlign w:val="center"/>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lastRenderedPageBreak/>
              <w:t>Chi-Square Tests</w:t>
            </w:r>
          </w:p>
        </w:tc>
      </w:tr>
      <w:tr w:rsidR="00E179D2" w:rsidRPr="006B72AB" w:rsidTr="00FD3075">
        <w:trPr>
          <w:cantSplit/>
        </w:trPr>
        <w:tc>
          <w:tcPr>
            <w:tcW w:w="2977" w:type="dxa"/>
            <w:gridSpan w:val="2"/>
            <w:vMerge w:val="restart"/>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992" w:type="dxa"/>
            <w:vMerge w:val="restart"/>
            <w:tcBorders>
              <w:top w:val="nil"/>
              <w:left w:val="nil"/>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Value</w:t>
            </w:r>
          </w:p>
        </w:tc>
        <w:tc>
          <w:tcPr>
            <w:tcW w:w="1134" w:type="dxa"/>
            <w:vMerge w:val="restart"/>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df</w:t>
            </w:r>
          </w:p>
        </w:tc>
        <w:tc>
          <w:tcPr>
            <w:tcW w:w="1559" w:type="dxa"/>
            <w:vMerge w:val="restart"/>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Asymptotic Significance (2-sided)</w:t>
            </w:r>
          </w:p>
        </w:tc>
        <w:tc>
          <w:tcPr>
            <w:tcW w:w="4111" w:type="dxa"/>
            <w:gridSpan w:val="3"/>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(2-sided)</w:t>
            </w:r>
          </w:p>
        </w:tc>
        <w:tc>
          <w:tcPr>
            <w:tcW w:w="4993" w:type="dxa"/>
            <w:gridSpan w:val="3"/>
            <w:tcBorders>
              <w:top w:val="nil"/>
              <w:left w:val="single" w:sz="8" w:space="0" w:color="E0E0E0"/>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(1-sided)</w:t>
            </w:r>
          </w:p>
        </w:tc>
      </w:tr>
      <w:tr w:rsidR="00E179D2" w:rsidRPr="006B72AB" w:rsidTr="00FD3075">
        <w:trPr>
          <w:cantSplit/>
        </w:trPr>
        <w:tc>
          <w:tcPr>
            <w:tcW w:w="2977" w:type="dxa"/>
            <w:gridSpan w:val="2"/>
            <w:vMerge/>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276" w:type="dxa"/>
            <w:vMerge w:val="restart"/>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2835" w:type="dxa"/>
            <w:gridSpan w:val="2"/>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c>
          <w:tcPr>
            <w:tcW w:w="1873" w:type="dxa"/>
            <w:vMerge w:val="restart"/>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3120" w:type="dxa"/>
            <w:gridSpan w:val="2"/>
            <w:tcBorders>
              <w:top w:val="nil"/>
              <w:left w:val="single" w:sz="8" w:space="0" w:color="E0E0E0"/>
              <w:bottom w:val="nil"/>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r>
      <w:tr w:rsidR="00E179D2" w:rsidRPr="006B72AB" w:rsidTr="00FD3075">
        <w:trPr>
          <w:cantSplit/>
        </w:trPr>
        <w:tc>
          <w:tcPr>
            <w:tcW w:w="2977" w:type="dxa"/>
            <w:gridSpan w:val="2"/>
            <w:vMerge/>
            <w:tcBorders>
              <w:top w:val="nil"/>
              <w:left w:val="nil"/>
              <w:bottom w:val="nil"/>
              <w:right w:val="nil"/>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276" w:type="dxa"/>
            <w:vMerge/>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417"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1418"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c>
          <w:tcPr>
            <w:tcW w:w="1873" w:type="dxa"/>
            <w:vMerge/>
            <w:tcBorders>
              <w:top w:val="nil"/>
              <w:left w:val="single" w:sz="8" w:space="0" w:color="E0E0E0"/>
              <w:bottom w:val="nil"/>
              <w:right w:val="single" w:sz="8" w:space="0" w:color="E0E0E0"/>
            </w:tcBorders>
            <w:shd w:val="clear" w:color="auto" w:fill="FFFFFF"/>
            <w:vAlign w:val="bottom"/>
          </w:tcPr>
          <w:p w:rsidR="00E179D2" w:rsidRPr="006B72AB" w:rsidRDefault="00E179D2" w:rsidP="00FD3075">
            <w:pPr>
              <w:autoSpaceDE w:val="0"/>
              <w:autoSpaceDN w:val="0"/>
              <w:adjustRightInd w:val="0"/>
              <w:spacing w:after="0" w:line="240" w:lineRule="auto"/>
              <w:rPr>
                <w:rFonts w:ascii="Arial" w:hAnsi="Arial" w:cs="Arial"/>
                <w:color w:val="264A60"/>
                <w:sz w:val="18"/>
                <w:szCs w:val="18"/>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1560" w:type="dxa"/>
            <w:tcBorders>
              <w:top w:val="nil"/>
              <w:left w:val="single" w:sz="8" w:space="0" w:color="E0E0E0"/>
              <w:bottom w:val="single" w:sz="8" w:space="0" w:color="152935"/>
              <w:right w:val="nil"/>
            </w:tcBorders>
            <w:shd w:val="clear" w:color="auto" w:fill="FFFFFF"/>
            <w:vAlign w:val="bottom"/>
          </w:tcPr>
          <w:p w:rsidR="00E179D2" w:rsidRPr="006B72AB" w:rsidRDefault="00E179D2" w:rsidP="00FD3075">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r>
      <w:tr w:rsidR="00E179D2" w:rsidRPr="006B72AB" w:rsidTr="00FD3075">
        <w:trPr>
          <w:gridBefore w:val="1"/>
          <w:wBefore w:w="566" w:type="dxa"/>
          <w:cantSplit/>
        </w:trPr>
        <w:tc>
          <w:tcPr>
            <w:tcW w:w="2411" w:type="dxa"/>
            <w:tcBorders>
              <w:top w:val="single" w:sz="8" w:space="0" w:color="152935"/>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Pearson Chi-Square</w:t>
            </w:r>
          </w:p>
        </w:tc>
        <w:tc>
          <w:tcPr>
            <w:tcW w:w="992" w:type="dxa"/>
            <w:tcBorders>
              <w:top w:val="single" w:sz="8" w:space="0" w:color="152935"/>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559"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417"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873"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r>
      <w:tr w:rsidR="00E179D2" w:rsidRPr="006B72AB" w:rsidTr="00FD3075">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Likelihood Ratio</w:t>
            </w:r>
          </w:p>
        </w:tc>
        <w:tc>
          <w:tcPr>
            <w:tcW w:w="99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9.949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.009</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.015</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r>
      <w:tr w:rsidR="00E179D2" w:rsidRPr="006B72AB" w:rsidTr="00FD3075">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Fisher's Exact Test</w:t>
            </w:r>
          </w:p>
        </w:tc>
        <w:tc>
          <w:tcPr>
            <w:tcW w:w="99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5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r>
      <w:tr w:rsidR="00E179D2" w:rsidRPr="006B72AB" w:rsidTr="00FD3075">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Linear-by-Linear Association</w:t>
            </w:r>
          </w:p>
        </w:tc>
        <w:tc>
          <w:tcPr>
            <w:tcW w:w="992" w:type="dxa"/>
            <w:tcBorders>
              <w:top w:val="single" w:sz="8" w:space="0" w:color="AEAEAE"/>
              <w:left w:val="nil"/>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.008</w:t>
            </w:r>
          </w:p>
        </w:tc>
        <w:tc>
          <w:tcPr>
            <w:tcW w:w="1873"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.001</w:t>
            </w:r>
          </w:p>
        </w:tc>
        <w:tc>
          <w:tcPr>
            <w:tcW w:w="1560" w:type="dxa"/>
            <w:tcBorders>
              <w:top w:val="single" w:sz="8" w:space="0" w:color="AEAEAE"/>
              <w:left w:val="single" w:sz="8" w:space="0" w:color="E0E0E0"/>
              <w:bottom w:val="single" w:sz="8" w:space="0" w:color="AEAEAE"/>
              <w:right w:val="nil"/>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.003</w:t>
            </w:r>
          </w:p>
        </w:tc>
      </w:tr>
      <w:tr w:rsidR="00E179D2" w:rsidRPr="006B72AB" w:rsidTr="00FD3075">
        <w:trPr>
          <w:gridBefore w:val="1"/>
          <w:wBefore w:w="566" w:type="dxa"/>
          <w:cantSplit/>
        </w:trPr>
        <w:tc>
          <w:tcPr>
            <w:tcW w:w="2411" w:type="dxa"/>
            <w:tcBorders>
              <w:top w:val="single" w:sz="8" w:space="0" w:color="AEAEAE"/>
              <w:left w:val="nil"/>
              <w:bottom w:val="single" w:sz="8" w:space="0" w:color="152935"/>
              <w:right w:val="nil"/>
            </w:tcBorders>
            <w:shd w:val="clear" w:color="auto" w:fill="E0E0E0"/>
          </w:tcPr>
          <w:p w:rsidR="00E179D2" w:rsidRPr="006B72AB" w:rsidRDefault="00E179D2" w:rsidP="00FD3075">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N of Valid Cases</w:t>
            </w:r>
          </w:p>
        </w:tc>
        <w:tc>
          <w:tcPr>
            <w:tcW w:w="992" w:type="dxa"/>
            <w:tcBorders>
              <w:top w:val="single" w:sz="8" w:space="0" w:color="AEAEAE"/>
              <w:left w:val="nil"/>
              <w:bottom w:val="single" w:sz="8" w:space="0" w:color="152935"/>
              <w:right w:val="single" w:sz="8" w:space="0" w:color="E0E0E0"/>
            </w:tcBorders>
            <w:shd w:val="clear" w:color="auto" w:fill="FFFFFF"/>
          </w:tcPr>
          <w:p w:rsidR="00E179D2" w:rsidRPr="006B72AB" w:rsidRDefault="00E179D2" w:rsidP="00FD3075">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5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41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41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87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rsidR="00E179D2" w:rsidRPr="006B72AB" w:rsidRDefault="00E179D2" w:rsidP="00FD3075">
            <w:pPr>
              <w:autoSpaceDE w:val="0"/>
              <w:autoSpaceDN w:val="0"/>
              <w:adjustRightInd w:val="0"/>
              <w:spacing w:after="0" w:line="240" w:lineRule="auto"/>
              <w:rPr>
                <w:rFonts w:ascii="Times New Roman" w:hAnsi="Times New Roman" w:cs="Times New Roman"/>
                <w:sz w:val="24"/>
                <w:szCs w:val="24"/>
              </w:rPr>
            </w:pPr>
          </w:p>
        </w:tc>
      </w:tr>
      <w:tr w:rsidR="00E179D2" w:rsidRPr="006B72AB" w:rsidTr="00FD3075">
        <w:trPr>
          <w:gridBefore w:val="1"/>
          <w:wBefore w:w="566" w:type="dxa"/>
          <w:cantSplit/>
        </w:trPr>
        <w:tc>
          <w:tcPr>
            <w:tcW w:w="15200" w:type="dxa"/>
            <w:gridSpan w:val="10"/>
            <w:tcBorders>
              <w:top w:val="nil"/>
              <w:left w:val="nil"/>
              <w:bottom w:val="nil"/>
              <w:right w:val="nil"/>
            </w:tcBorders>
            <w:shd w:val="clear" w:color="auto" w:fill="FFFFFF"/>
          </w:tcPr>
          <w:p w:rsidR="00E179D2" w:rsidRPr="006B72AB" w:rsidRDefault="00E179D2" w:rsidP="00FD3075">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 xml:space="preserve">a. 2 cells (33.3%) have </w:t>
            </w:r>
            <w:r>
              <w:rPr>
                <w:rFonts w:ascii="Arial" w:hAnsi="Arial" w:cs="Arial"/>
                <w:color w:val="010205"/>
                <w:sz w:val="18"/>
                <w:szCs w:val="18"/>
              </w:rPr>
              <w:t xml:space="preserve">an </w:t>
            </w:r>
            <w:r w:rsidRPr="006B72AB">
              <w:rPr>
                <w:rFonts w:ascii="Arial" w:hAnsi="Arial" w:cs="Arial"/>
                <w:color w:val="010205"/>
                <w:sz w:val="18"/>
                <w:szCs w:val="18"/>
              </w:rPr>
              <w:t xml:space="preserve">expected count </w:t>
            </w:r>
            <w:r>
              <w:rPr>
                <w:rFonts w:ascii="Arial" w:hAnsi="Arial" w:cs="Arial"/>
                <w:color w:val="010205"/>
                <w:sz w:val="18"/>
                <w:szCs w:val="18"/>
              </w:rPr>
              <w:t xml:space="preserve">of </w:t>
            </w:r>
            <w:r w:rsidRPr="006B72AB">
              <w:rPr>
                <w:rFonts w:ascii="Arial" w:hAnsi="Arial" w:cs="Arial"/>
                <w:color w:val="010205"/>
                <w:sz w:val="18"/>
                <w:szCs w:val="18"/>
              </w:rPr>
              <w:t>less than 5. The minimum expected count is 1.00.</w:t>
            </w:r>
          </w:p>
        </w:tc>
      </w:tr>
      <w:tr w:rsidR="00E179D2" w:rsidRPr="006B72AB" w:rsidTr="00FD3075">
        <w:trPr>
          <w:gridBefore w:val="1"/>
          <w:wBefore w:w="566" w:type="dxa"/>
          <w:cantSplit/>
        </w:trPr>
        <w:tc>
          <w:tcPr>
            <w:tcW w:w="15200" w:type="dxa"/>
            <w:gridSpan w:val="10"/>
            <w:tcBorders>
              <w:top w:val="nil"/>
              <w:left w:val="nil"/>
              <w:bottom w:val="nil"/>
              <w:right w:val="nil"/>
            </w:tcBorders>
            <w:shd w:val="clear" w:color="auto" w:fill="FFFFFF"/>
          </w:tcPr>
          <w:p w:rsidR="00E179D2" w:rsidRPr="006B72AB" w:rsidRDefault="00E179D2" w:rsidP="00FD3075">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b. Based on 10000 sampled tables with starting seed 2000000.</w:t>
            </w:r>
          </w:p>
        </w:tc>
      </w:tr>
      <w:tr w:rsidR="00E179D2" w:rsidRPr="006B72AB" w:rsidTr="00FD3075">
        <w:trPr>
          <w:gridBefore w:val="1"/>
          <w:wBefore w:w="566" w:type="dxa"/>
          <w:cantSplit/>
        </w:trPr>
        <w:tc>
          <w:tcPr>
            <w:tcW w:w="15200" w:type="dxa"/>
            <w:gridSpan w:val="10"/>
            <w:tcBorders>
              <w:top w:val="nil"/>
              <w:left w:val="nil"/>
              <w:bottom w:val="nil"/>
              <w:right w:val="nil"/>
            </w:tcBorders>
            <w:shd w:val="clear" w:color="auto" w:fill="FFFFFF"/>
          </w:tcPr>
          <w:p w:rsidR="00E179D2" w:rsidRPr="006B72AB" w:rsidRDefault="00E179D2" w:rsidP="00FD3075">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c. The standardized statistic is 2.840.</w:t>
            </w:r>
          </w:p>
        </w:tc>
      </w:tr>
    </w:tbl>
    <w:p w:rsidR="00E179D2" w:rsidRDefault="00E179D2" w:rsidP="00E179D2">
      <w:pPr>
        <w:autoSpaceDE w:val="0"/>
        <w:autoSpaceDN w:val="0"/>
        <w:adjustRightInd w:val="0"/>
        <w:spacing w:after="0" w:line="400" w:lineRule="atLeast"/>
        <w:rPr>
          <w:rFonts w:ascii="Times New Roman" w:hAnsi="Times New Roman" w:cs="Times New Roman"/>
          <w:sz w:val="24"/>
          <w:szCs w:val="24"/>
        </w:rPr>
      </w:pPr>
    </w:p>
    <w:p w:rsidR="00E179D2" w:rsidRDefault="00E179D2" w:rsidP="00E179D2">
      <w:pPr>
        <w:autoSpaceDE w:val="0"/>
        <w:autoSpaceDN w:val="0"/>
        <w:adjustRightInd w:val="0"/>
        <w:spacing w:after="0" w:line="400" w:lineRule="atLeast"/>
        <w:rPr>
          <w:rFonts w:ascii="Times New Roman" w:hAnsi="Times New Roman" w:cs="Times New Roman"/>
          <w:sz w:val="24"/>
          <w:szCs w:val="24"/>
        </w:rPr>
      </w:pPr>
    </w:p>
    <w:p w:rsidR="00BB4058" w:rsidRDefault="00BB4058" w:rsidP="00E179D2">
      <w:pPr>
        <w:autoSpaceDE w:val="0"/>
        <w:autoSpaceDN w:val="0"/>
        <w:adjustRightInd w:val="0"/>
        <w:spacing w:after="0" w:line="400" w:lineRule="atLeast"/>
        <w:rPr>
          <w:rFonts w:ascii="Times New Roman" w:hAnsi="Times New Roman" w:cs="Times New Roman"/>
          <w:sz w:val="24"/>
          <w:szCs w:val="24"/>
        </w:rPr>
      </w:pPr>
    </w:p>
    <w:p w:rsidR="00BB4058" w:rsidRDefault="00BB4058" w:rsidP="00E179D2">
      <w:pPr>
        <w:autoSpaceDE w:val="0"/>
        <w:autoSpaceDN w:val="0"/>
        <w:adjustRightInd w:val="0"/>
        <w:spacing w:after="0" w:line="400" w:lineRule="atLeast"/>
        <w:rPr>
          <w:rFonts w:ascii="Times New Roman" w:hAnsi="Times New Roman" w:cs="Times New Roman"/>
          <w:sz w:val="24"/>
          <w:szCs w:val="24"/>
        </w:rPr>
      </w:pPr>
    </w:p>
    <w:p w:rsidR="00BB4058" w:rsidRDefault="00BB4058" w:rsidP="00E179D2">
      <w:pPr>
        <w:autoSpaceDE w:val="0"/>
        <w:autoSpaceDN w:val="0"/>
        <w:adjustRightInd w:val="0"/>
        <w:spacing w:after="0" w:line="400" w:lineRule="atLeast"/>
        <w:rPr>
          <w:rFonts w:ascii="Times New Roman" w:hAnsi="Times New Roman" w:cs="Times New Roman"/>
          <w:sz w:val="24"/>
          <w:szCs w:val="24"/>
        </w:rPr>
      </w:pPr>
    </w:p>
    <w:p w:rsidR="00BB4058" w:rsidRDefault="00BB4058" w:rsidP="00E179D2">
      <w:pPr>
        <w:autoSpaceDE w:val="0"/>
        <w:autoSpaceDN w:val="0"/>
        <w:adjustRightInd w:val="0"/>
        <w:spacing w:after="0" w:line="400" w:lineRule="atLeast"/>
        <w:rPr>
          <w:rFonts w:ascii="Times New Roman" w:hAnsi="Times New Roman" w:cs="Times New Roman"/>
          <w:sz w:val="24"/>
          <w:szCs w:val="24"/>
        </w:rPr>
      </w:pPr>
    </w:p>
    <w:p w:rsidR="00BB4058" w:rsidRDefault="00BB4058" w:rsidP="00E179D2">
      <w:pPr>
        <w:autoSpaceDE w:val="0"/>
        <w:autoSpaceDN w:val="0"/>
        <w:adjustRightInd w:val="0"/>
        <w:spacing w:after="0" w:line="400" w:lineRule="atLeast"/>
        <w:rPr>
          <w:rFonts w:ascii="Times New Roman" w:hAnsi="Times New Roman" w:cs="Times New Roman"/>
          <w:sz w:val="24"/>
          <w:szCs w:val="24"/>
        </w:rPr>
      </w:pPr>
    </w:p>
    <w:p w:rsidR="00E179D2" w:rsidRPr="006B72AB" w:rsidRDefault="00E179D2" w:rsidP="00E179D2">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Summary table of fisher’s exact test</w:t>
      </w:r>
    </w:p>
    <w:tbl>
      <w:tblPr>
        <w:tblStyle w:val="a3"/>
        <w:tblW w:w="10170" w:type="dxa"/>
        <w:tblLook w:val="04A0" w:firstRow="1" w:lastRow="0" w:firstColumn="1" w:lastColumn="0" w:noHBand="0" w:noVBand="1"/>
      </w:tblPr>
      <w:tblGrid>
        <w:gridCol w:w="1695"/>
        <w:gridCol w:w="1695"/>
        <w:gridCol w:w="1695"/>
        <w:gridCol w:w="1695"/>
        <w:gridCol w:w="1695"/>
        <w:gridCol w:w="1695"/>
      </w:tblGrid>
      <w:tr w:rsidR="00E179D2" w:rsidTr="00FD3075">
        <w:trPr>
          <w:trHeight w:val="849"/>
        </w:trPr>
        <w:tc>
          <w:tcPr>
            <w:tcW w:w="1695" w:type="dxa"/>
          </w:tcPr>
          <w:p w:rsidR="00E179D2" w:rsidRDefault="00E179D2" w:rsidP="00FD3075"/>
        </w:tc>
        <w:tc>
          <w:tcPr>
            <w:tcW w:w="1695" w:type="dxa"/>
          </w:tcPr>
          <w:p w:rsidR="00E179D2" w:rsidRDefault="00E179D2" w:rsidP="00FD3075"/>
        </w:tc>
        <w:tc>
          <w:tcPr>
            <w:tcW w:w="5085" w:type="dxa"/>
            <w:gridSpan w:val="3"/>
          </w:tcPr>
          <w:p w:rsidR="00E179D2" w:rsidRDefault="00E179D2" w:rsidP="00FD3075">
            <w:r>
              <w:t>UTI colony forming units</w:t>
            </w:r>
          </w:p>
        </w:tc>
        <w:tc>
          <w:tcPr>
            <w:tcW w:w="1695" w:type="dxa"/>
          </w:tcPr>
          <w:p w:rsidR="00E179D2" w:rsidRDefault="00E179D2" w:rsidP="00FD3075">
            <w:r>
              <w:t>p-value</w:t>
            </w:r>
          </w:p>
        </w:tc>
      </w:tr>
      <w:tr w:rsidR="00E179D2" w:rsidTr="00FD3075">
        <w:trPr>
          <w:trHeight w:val="712"/>
        </w:trPr>
        <w:tc>
          <w:tcPr>
            <w:tcW w:w="1695" w:type="dxa"/>
          </w:tcPr>
          <w:p w:rsidR="00E179D2" w:rsidRDefault="00E179D2" w:rsidP="00FD3075"/>
        </w:tc>
        <w:tc>
          <w:tcPr>
            <w:tcW w:w="1695" w:type="dxa"/>
          </w:tcPr>
          <w:p w:rsidR="00E179D2" w:rsidRDefault="00E179D2" w:rsidP="00FD3075"/>
        </w:tc>
        <w:tc>
          <w:tcPr>
            <w:tcW w:w="1695" w:type="dxa"/>
          </w:tcPr>
          <w:p w:rsidR="00E179D2" w:rsidRDefault="00E179D2" w:rsidP="00FD3075">
            <w:r w:rsidRPr="006B72AB">
              <w:rPr>
                <w:rFonts w:ascii="Arial" w:hAnsi="Arial" w:cs="Arial"/>
                <w:color w:val="264A60"/>
                <w:sz w:val="18"/>
                <w:szCs w:val="18"/>
              </w:rPr>
              <w:t>No growth</w:t>
            </w:r>
          </w:p>
        </w:tc>
        <w:tc>
          <w:tcPr>
            <w:tcW w:w="1695" w:type="dxa"/>
          </w:tcPr>
          <w:p w:rsidR="00E179D2" w:rsidRDefault="00E179D2" w:rsidP="00FD3075">
            <w:r w:rsidRPr="006B72AB">
              <w:rPr>
                <w:rFonts w:ascii="Arial" w:hAnsi="Arial" w:cs="Arial"/>
                <w:color w:val="264A60"/>
                <w:sz w:val="18"/>
                <w:szCs w:val="18"/>
              </w:rPr>
              <w:t>No significant growth</w:t>
            </w:r>
          </w:p>
        </w:tc>
        <w:tc>
          <w:tcPr>
            <w:tcW w:w="1695" w:type="dxa"/>
          </w:tcPr>
          <w:p w:rsidR="00E179D2" w:rsidRDefault="00E179D2" w:rsidP="00FD3075">
            <w:r w:rsidRPr="006B72AB">
              <w:rPr>
                <w:rFonts w:ascii="Arial" w:hAnsi="Arial" w:cs="Arial"/>
                <w:color w:val="264A60"/>
                <w:sz w:val="18"/>
                <w:szCs w:val="18"/>
              </w:rPr>
              <w:t>Significant growth</w:t>
            </w:r>
          </w:p>
        </w:tc>
        <w:tc>
          <w:tcPr>
            <w:tcW w:w="1695" w:type="dxa"/>
            <w:vMerge w:val="restart"/>
          </w:tcPr>
          <w:p w:rsidR="00E179D2" w:rsidRDefault="00E179D2" w:rsidP="00FD3075">
            <w:r>
              <w:t>0.018</w:t>
            </w:r>
          </w:p>
        </w:tc>
      </w:tr>
      <w:tr w:rsidR="00E179D2" w:rsidTr="00FD3075">
        <w:trPr>
          <w:trHeight w:val="1310"/>
        </w:trPr>
        <w:tc>
          <w:tcPr>
            <w:tcW w:w="1695" w:type="dxa"/>
            <w:vMerge w:val="restart"/>
          </w:tcPr>
          <w:p w:rsidR="00E179D2" w:rsidRDefault="00E179D2" w:rsidP="00FD3075">
            <w:r>
              <w:t>Gender</w:t>
            </w:r>
          </w:p>
        </w:tc>
        <w:tc>
          <w:tcPr>
            <w:tcW w:w="1695" w:type="dxa"/>
          </w:tcPr>
          <w:p w:rsidR="00E179D2" w:rsidRDefault="00E179D2" w:rsidP="00FD3075">
            <w:r>
              <w:t>Male</w:t>
            </w:r>
          </w:p>
        </w:tc>
        <w:tc>
          <w:tcPr>
            <w:tcW w:w="1695" w:type="dxa"/>
          </w:tcPr>
          <w:p w:rsidR="00E179D2" w:rsidRDefault="00E179D2" w:rsidP="00FD3075">
            <w:r>
              <w:t>9</w:t>
            </w:r>
          </w:p>
        </w:tc>
        <w:tc>
          <w:tcPr>
            <w:tcW w:w="1695" w:type="dxa"/>
          </w:tcPr>
          <w:p w:rsidR="00E179D2" w:rsidRDefault="00BB4058" w:rsidP="00FD3075">
            <w:r>
              <w:t>3</w:t>
            </w:r>
          </w:p>
        </w:tc>
        <w:tc>
          <w:tcPr>
            <w:tcW w:w="1695" w:type="dxa"/>
          </w:tcPr>
          <w:p w:rsidR="00E179D2" w:rsidRDefault="00E179D2" w:rsidP="00FD3075">
            <w:r>
              <w:t>0</w:t>
            </w:r>
          </w:p>
        </w:tc>
        <w:tc>
          <w:tcPr>
            <w:tcW w:w="1695" w:type="dxa"/>
            <w:vMerge/>
          </w:tcPr>
          <w:p w:rsidR="00E179D2" w:rsidRDefault="00E179D2" w:rsidP="00FD3075"/>
        </w:tc>
      </w:tr>
      <w:tr w:rsidR="00E179D2" w:rsidTr="00FD3075">
        <w:trPr>
          <w:trHeight w:val="1156"/>
        </w:trPr>
        <w:tc>
          <w:tcPr>
            <w:tcW w:w="1695" w:type="dxa"/>
            <w:vMerge/>
          </w:tcPr>
          <w:p w:rsidR="00E179D2" w:rsidRDefault="00E179D2" w:rsidP="00FD3075"/>
        </w:tc>
        <w:tc>
          <w:tcPr>
            <w:tcW w:w="1695" w:type="dxa"/>
          </w:tcPr>
          <w:p w:rsidR="00E179D2" w:rsidRDefault="00E179D2" w:rsidP="00FD3075">
            <w:r>
              <w:t>female</w:t>
            </w:r>
          </w:p>
        </w:tc>
        <w:tc>
          <w:tcPr>
            <w:tcW w:w="1695" w:type="dxa"/>
          </w:tcPr>
          <w:p w:rsidR="00E179D2" w:rsidRDefault="00E179D2" w:rsidP="00FD3075">
            <w:r>
              <w:t>2</w:t>
            </w:r>
          </w:p>
        </w:tc>
        <w:tc>
          <w:tcPr>
            <w:tcW w:w="1695" w:type="dxa"/>
          </w:tcPr>
          <w:p w:rsidR="00E179D2" w:rsidRDefault="00E179D2" w:rsidP="00FD3075">
            <w:r>
              <w:t>8</w:t>
            </w:r>
          </w:p>
        </w:tc>
        <w:tc>
          <w:tcPr>
            <w:tcW w:w="1695" w:type="dxa"/>
          </w:tcPr>
          <w:p w:rsidR="00E179D2" w:rsidRDefault="00E179D2" w:rsidP="00FD3075">
            <w:r>
              <w:t>2</w:t>
            </w:r>
          </w:p>
        </w:tc>
        <w:tc>
          <w:tcPr>
            <w:tcW w:w="1695" w:type="dxa"/>
            <w:vMerge/>
          </w:tcPr>
          <w:p w:rsidR="00E179D2" w:rsidRDefault="00E179D2" w:rsidP="00FD3075"/>
        </w:tc>
      </w:tr>
    </w:tbl>
    <w:p w:rsidR="00E179D2" w:rsidRDefault="00E179D2" w:rsidP="00795051">
      <w:pPr>
        <w:spacing w:line="240" w:lineRule="auto"/>
        <w:rPr>
          <w:sz w:val="24"/>
          <w:szCs w:val="24"/>
        </w:rPr>
      </w:pPr>
    </w:p>
    <w:p w:rsidR="00795051" w:rsidRDefault="00795051" w:rsidP="00795051">
      <w:pPr>
        <w:spacing w:line="240" w:lineRule="auto"/>
        <w:rPr>
          <w:sz w:val="24"/>
          <w:szCs w:val="24"/>
        </w:rPr>
      </w:pPr>
      <w:r>
        <w:rPr>
          <w:sz w:val="24"/>
          <w:szCs w:val="24"/>
        </w:rPr>
        <w:t>The study sought to discover if bacteria</w:t>
      </w:r>
      <w:r w:rsidRPr="00795051">
        <w:rPr>
          <w:sz w:val="24"/>
          <w:szCs w:val="24"/>
        </w:rPr>
        <w:t xml:space="preserve"> were present in the urine samples of 24 LIMU understudies in their twenties. A total of twelve young girls and boys were in attendance. Asymptomatic bacteriuria was identified in 54.2 percent of LIMU students.</w:t>
      </w:r>
    </w:p>
    <w:p w:rsidR="00E179D2" w:rsidRPr="00795051" w:rsidRDefault="00795051" w:rsidP="00795051">
      <w:pPr>
        <w:spacing w:line="240" w:lineRule="auto"/>
        <w:rPr>
          <w:sz w:val="24"/>
          <w:szCs w:val="24"/>
        </w:rPr>
      </w:pPr>
      <w:r w:rsidRPr="00795051">
        <w:rPr>
          <w:sz w:val="24"/>
          <w:szCs w:val="24"/>
        </w:rPr>
        <w:t>There were 7 (29.2%) patients with urine test findings of less than 10,000 CFU/mL, 6 (25%) patients with 10,000 CFU/mL or more, and 11 (45.8%) patients who had no development. As a consequence, 18 percent of LIMU understudies had asymptomatic bacteriuria. (75%); moreover, as stated in table 1:</w:t>
      </w:r>
    </w:p>
    <w:p w:rsidR="003118F9" w:rsidRPr="00C91AC3" w:rsidRDefault="003118F9" w:rsidP="00DB4F7A">
      <w:pPr>
        <w:rPr>
          <w:b/>
          <w:bCs/>
          <w:i/>
          <w:iCs/>
          <w:sz w:val="36"/>
          <w:szCs w:val="36"/>
        </w:rPr>
      </w:pPr>
      <w:r w:rsidRPr="00C91AC3">
        <w:rPr>
          <w:b/>
          <w:bCs/>
          <w:i/>
          <w:iCs/>
          <w:sz w:val="36"/>
          <w:szCs w:val="36"/>
        </w:rPr>
        <w:t xml:space="preserve">Discussion : </w:t>
      </w:r>
    </w:p>
    <w:p w:rsidR="00C704C0" w:rsidRDefault="00D21159" w:rsidP="00D21159">
      <w:pPr>
        <w:rPr>
          <w:sz w:val="24"/>
          <w:szCs w:val="24"/>
        </w:rPr>
      </w:pPr>
      <w:r w:rsidRPr="00D21159">
        <w:rPr>
          <w:sz w:val="24"/>
          <w:szCs w:val="24"/>
        </w:rPr>
        <w:t xml:space="preserve">After reviewing the statistical part the P-value result was  = 0.018, which was more significant than 0.05 so it confirms that there is an association between the statistical part and the laboratory experiment which </w:t>
      </w:r>
      <w:r w:rsidRPr="00D21159">
        <w:rPr>
          <w:sz w:val="24"/>
          <w:szCs w:val="24"/>
        </w:rPr>
        <w:lastRenderedPageBreak/>
        <w:t xml:space="preserve">indicate that there is a highly significant growth of </w:t>
      </w:r>
      <w:r>
        <w:rPr>
          <w:sz w:val="24"/>
          <w:szCs w:val="24"/>
        </w:rPr>
        <w:t>a</w:t>
      </w:r>
      <w:r w:rsidRPr="00D21159">
        <w:rPr>
          <w:sz w:val="24"/>
          <w:szCs w:val="24"/>
        </w:rPr>
        <w:t>symptomatic bacteriuria in females rather than males</w:t>
      </w:r>
      <w:r>
        <w:rPr>
          <w:sz w:val="24"/>
          <w:szCs w:val="24"/>
        </w:rPr>
        <w:t xml:space="preserve">, the previous study was </w:t>
      </w:r>
      <w:r w:rsidR="00D73779">
        <w:rPr>
          <w:sz w:val="24"/>
          <w:szCs w:val="24"/>
        </w:rPr>
        <w:t xml:space="preserve">compared </w:t>
      </w:r>
      <w:r w:rsidR="005B5C9C">
        <w:rPr>
          <w:sz w:val="24"/>
          <w:szCs w:val="24"/>
        </w:rPr>
        <w:t xml:space="preserve">to another dependable study which focuses on the etiology and epidemiology </w:t>
      </w:r>
      <w:r w:rsidR="00933920">
        <w:rPr>
          <w:sz w:val="24"/>
          <w:szCs w:val="24"/>
        </w:rPr>
        <w:t>of</w:t>
      </w:r>
      <w:r>
        <w:rPr>
          <w:sz w:val="24"/>
          <w:szCs w:val="24"/>
        </w:rPr>
        <w:t xml:space="preserve"> this infection, </w:t>
      </w:r>
      <w:r w:rsidR="005B5C9C">
        <w:rPr>
          <w:sz w:val="24"/>
          <w:szCs w:val="24"/>
        </w:rPr>
        <w:t>confirmed</w:t>
      </w:r>
      <w:r w:rsidR="00933920">
        <w:rPr>
          <w:sz w:val="24"/>
          <w:szCs w:val="24"/>
        </w:rPr>
        <w:t xml:space="preserve"> that this infection considered more common in females rather than males, Mainly due to shortening of urethral length in females in comparison to males urethra</w:t>
      </w:r>
      <w:r w:rsidR="00B661C6">
        <w:rPr>
          <w:sz w:val="24"/>
          <w:szCs w:val="24"/>
        </w:rPr>
        <w:t xml:space="preserve">, This shortening allows bacteria to enter through the urethral </w:t>
      </w:r>
      <w:r w:rsidR="00C704C0">
        <w:rPr>
          <w:sz w:val="24"/>
          <w:szCs w:val="24"/>
        </w:rPr>
        <w:t>orifice</w:t>
      </w:r>
      <w:r w:rsidR="00B661C6">
        <w:rPr>
          <w:sz w:val="24"/>
          <w:szCs w:val="24"/>
        </w:rPr>
        <w:t xml:space="preserve"> ( Meatus ) easily. The study also confirmed that some women can gain the infection after sexual contact</w:t>
      </w:r>
      <w:r w:rsidR="00C704C0">
        <w:rPr>
          <w:sz w:val="24"/>
          <w:szCs w:val="24"/>
        </w:rPr>
        <w:t>,</w:t>
      </w:r>
      <w:r w:rsidR="005B5C9C">
        <w:rPr>
          <w:sz w:val="24"/>
          <w:szCs w:val="24"/>
        </w:rPr>
        <w:t xml:space="preserve"> </w:t>
      </w:r>
      <w:r w:rsidR="00C704C0">
        <w:rPr>
          <w:sz w:val="24"/>
          <w:szCs w:val="24"/>
        </w:rPr>
        <w:t>also assumed the relation of this infect</w:t>
      </w:r>
      <w:r w:rsidR="00C914E2">
        <w:rPr>
          <w:sz w:val="24"/>
          <w:szCs w:val="24"/>
        </w:rPr>
        <w:t>ion to females and specifically</w:t>
      </w:r>
      <w:r w:rsidR="00C704C0">
        <w:rPr>
          <w:sz w:val="24"/>
          <w:szCs w:val="24"/>
        </w:rPr>
        <w:t xml:space="preserve"> the pregnant women </w:t>
      </w:r>
      <w:r w:rsidR="001B5DAC">
        <w:rPr>
          <w:sz w:val="24"/>
          <w:szCs w:val="24"/>
        </w:rPr>
        <w:t>are</w:t>
      </w:r>
      <w:r w:rsidR="00C704C0">
        <w:rPr>
          <w:sz w:val="24"/>
          <w:szCs w:val="24"/>
        </w:rPr>
        <w:t xml:space="preserve"> probably due to low immunity present in their bodies, the study</w:t>
      </w:r>
      <w:r>
        <w:rPr>
          <w:sz w:val="24"/>
          <w:szCs w:val="24"/>
        </w:rPr>
        <w:t>’s</w:t>
      </w:r>
      <w:r w:rsidR="00C704C0">
        <w:rPr>
          <w:sz w:val="24"/>
          <w:szCs w:val="24"/>
        </w:rPr>
        <w:t xml:space="preserve"> cases </w:t>
      </w:r>
      <w:r w:rsidR="001B5DAC">
        <w:rPr>
          <w:sz w:val="24"/>
          <w:szCs w:val="24"/>
        </w:rPr>
        <w:t>were</w:t>
      </w:r>
      <w:r w:rsidR="00C704C0">
        <w:rPr>
          <w:sz w:val="24"/>
          <w:szCs w:val="24"/>
        </w:rPr>
        <w:t xml:space="preserve"> </w:t>
      </w:r>
      <w:r w:rsidR="00D73779">
        <w:rPr>
          <w:sz w:val="24"/>
          <w:szCs w:val="24"/>
        </w:rPr>
        <w:t>about 200 pregnant females between 18-50 years of age, the samples were collected and sent to the laboratory to indicate the presence of the infection, the conclusion and the statistical p</w:t>
      </w:r>
      <w:r>
        <w:rPr>
          <w:sz w:val="24"/>
          <w:szCs w:val="24"/>
        </w:rPr>
        <w:t xml:space="preserve">art related to the study that compared </w:t>
      </w:r>
      <w:r w:rsidR="00D73779">
        <w:rPr>
          <w:sz w:val="24"/>
          <w:szCs w:val="24"/>
        </w:rPr>
        <w:t xml:space="preserve">with found that asymptomatic bacteriuria is not an uncommon complication in females gender and </w:t>
      </w:r>
      <w:r w:rsidR="005B5C9C">
        <w:rPr>
          <w:sz w:val="24"/>
          <w:szCs w:val="24"/>
        </w:rPr>
        <w:t>the risk of getting this type of infection</w:t>
      </w:r>
      <w:r w:rsidR="00C91AC3">
        <w:rPr>
          <w:sz w:val="24"/>
          <w:szCs w:val="24"/>
        </w:rPr>
        <w:t xml:space="preserve"> </w:t>
      </w:r>
      <w:r w:rsidR="005B5C9C">
        <w:rPr>
          <w:sz w:val="24"/>
          <w:szCs w:val="24"/>
        </w:rPr>
        <w:t xml:space="preserve">increases </w:t>
      </w:r>
      <w:r w:rsidR="00D73779">
        <w:rPr>
          <w:sz w:val="24"/>
          <w:szCs w:val="24"/>
        </w:rPr>
        <w:t xml:space="preserve">specifically in the pregnant female, </w:t>
      </w:r>
      <w:r w:rsidR="001B5DAC">
        <w:rPr>
          <w:sz w:val="24"/>
          <w:szCs w:val="24"/>
        </w:rPr>
        <w:t>also included the wa</w:t>
      </w:r>
      <w:r>
        <w:rPr>
          <w:sz w:val="24"/>
          <w:szCs w:val="24"/>
        </w:rPr>
        <w:t xml:space="preserve">y of collecting the sample which was the </w:t>
      </w:r>
      <w:r w:rsidR="001B5DAC">
        <w:rPr>
          <w:sz w:val="24"/>
          <w:szCs w:val="24"/>
        </w:rPr>
        <w:t xml:space="preserve">clean-catch method to get a clear and reliable </w:t>
      </w:r>
      <w:r>
        <w:rPr>
          <w:sz w:val="24"/>
          <w:szCs w:val="24"/>
        </w:rPr>
        <w:t>result that</w:t>
      </w:r>
      <w:r w:rsidR="00C91AC3">
        <w:rPr>
          <w:sz w:val="24"/>
          <w:szCs w:val="24"/>
        </w:rPr>
        <w:t xml:space="preserve"> can rely on.</w:t>
      </w:r>
    </w:p>
    <w:p w:rsidR="00C91AC3" w:rsidRPr="00E5434D" w:rsidRDefault="00C91AC3" w:rsidP="00C91AC3">
      <w:pPr>
        <w:rPr>
          <w:b/>
          <w:bCs/>
          <w:i/>
          <w:iCs/>
          <w:sz w:val="26"/>
          <w:szCs w:val="26"/>
        </w:rPr>
      </w:pPr>
      <w:r w:rsidRPr="00E5434D">
        <w:rPr>
          <w:b/>
          <w:bCs/>
          <w:i/>
          <w:iCs/>
          <w:sz w:val="26"/>
          <w:szCs w:val="26"/>
        </w:rPr>
        <w:t>Treatment</w:t>
      </w:r>
    </w:p>
    <w:p w:rsidR="00C91AC3" w:rsidRDefault="00C91AC3" w:rsidP="00D334E0">
      <w:pPr>
        <w:rPr>
          <w:sz w:val="24"/>
          <w:szCs w:val="24"/>
        </w:rPr>
      </w:pPr>
      <w:r>
        <w:rPr>
          <w:sz w:val="24"/>
          <w:szCs w:val="24"/>
        </w:rPr>
        <w:t>the patients either males or females with asymptomatic bacteriuria mainly will not suffer from signs and symptoms. Specifically</w:t>
      </w:r>
      <w:r w:rsidR="00E179D2">
        <w:rPr>
          <w:sz w:val="24"/>
          <w:szCs w:val="24"/>
        </w:rPr>
        <w:t>,</w:t>
      </w:r>
      <w:r w:rsidR="008876DB">
        <w:rPr>
          <w:sz w:val="24"/>
          <w:szCs w:val="24"/>
        </w:rPr>
        <w:t xml:space="preserve"> </w:t>
      </w:r>
      <w:r>
        <w:rPr>
          <w:sz w:val="24"/>
          <w:szCs w:val="24"/>
        </w:rPr>
        <w:t>children, diabetic patients, patients on urine catheters, and patients with spinal cord injury, treating these types of case</w:t>
      </w:r>
      <w:r w:rsidR="00D21159">
        <w:rPr>
          <w:sz w:val="24"/>
          <w:szCs w:val="24"/>
        </w:rPr>
        <w:t>s will not be beneficial</w:t>
      </w:r>
      <w:r>
        <w:rPr>
          <w:sz w:val="24"/>
          <w:szCs w:val="24"/>
        </w:rPr>
        <w:t>, because treating using antibodies is used for symptoms that appear on patients only.</w:t>
      </w:r>
      <w:r w:rsidR="00BB4058">
        <w:rPr>
          <w:sz w:val="24"/>
          <w:szCs w:val="24"/>
        </w:rPr>
        <w:t xml:space="preserve"> </w:t>
      </w:r>
      <w:r w:rsidR="00E179D2">
        <w:rPr>
          <w:sz w:val="24"/>
          <w:szCs w:val="24"/>
        </w:rPr>
        <w:t>This</w:t>
      </w:r>
      <w:r w:rsidR="00BB4058">
        <w:rPr>
          <w:sz w:val="24"/>
          <w:szCs w:val="24"/>
        </w:rPr>
        <w:t xml:space="preserve"> </w:t>
      </w:r>
      <w:r>
        <w:rPr>
          <w:sz w:val="24"/>
          <w:szCs w:val="24"/>
        </w:rPr>
        <w:t>useless treatment may increase the adverse effect that developed from the antib</w:t>
      </w:r>
      <w:r w:rsidR="008876DB">
        <w:rPr>
          <w:sz w:val="24"/>
          <w:szCs w:val="24"/>
        </w:rPr>
        <w:t>iotic and may increase the risk of</w:t>
      </w:r>
      <w:r>
        <w:rPr>
          <w:sz w:val="24"/>
          <w:szCs w:val="24"/>
        </w:rPr>
        <w:t xml:space="preserve"> </w:t>
      </w:r>
      <w:r w:rsidR="008876DB">
        <w:rPr>
          <w:sz w:val="24"/>
          <w:szCs w:val="24"/>
        </w:rPr>
        <w:t xml:space="preserve">the </w:t>
      </w:r>
      <w:r>
        <w:rPr>
          <w:sz w:val="24"/>
          <w:szCs w:val="24"/>
        </w:rPr>
        <w:t>development of antibiotic</w:t>
      </w:r>
      <w:r w:rsidR="008876DB">
        <w:rPr>
          <w:sz w:val="24"/>
          <w:szCs w:val="24"/>
        </w:rPr>
        <w:t>-resistance bacteria.</w:t>
      </w:r>
    </w:p>
    <w:p w:rsidR="008876DB" w:rsidRDefault="008876DB" w:rsidP="008876DB">
      <w:pPr>
        <w:rPr>
          <w:sz w:val="24"/>
          <w:szCs w:val="24"/>
        </w:rPr>
      </w:pPr>
      <w:r>
        <w:rPr>
          <w:sz w:val="24"/>
          <w:szCs w:val="24"/>
        </w:rPr>
        <w:t>In contrast, treating pregnant women with antibiotics has shown to be helpful and provide a healthy effec</w:t>
      </w:r>
      <w:r w:rsidR="00346290">
        <w:rPr>
          <w:sz w:val="24"/>
          <w:szCs w:val="24"/>
        </w:rPr>
        <w:t xml:space="preserve">t on the pregnant patient as treatment </w:t>
      </w:r>
      <w:r>
        <w:rPr>
          <w:sz w:val="24"/>
          <w:szCs w:val="24"/>
        </w:rPr>
        <w:t xml:space="preserve">can decrease the kidney diseases such as pyelonephritis and lower the risk of preterm delivery. </w:t>
      </w:r>
      <w:r w:rsidR="00346290">
        <w:rPr>
          <w:sz w:val="24"/>
          <w:szCs w:val="24"/>
        </w:rPr>
        <w:t xml:space="preserve"> </w:t>
      </w:r>
    </w:p>
    <w:p w:rsidR="00221A87" w:rsidRPr="00E5434D" w:rsidRDefault="00221A87" w:rsidP="008876DB">
      <w:pPr>
        <w:rPr>
          <w:b/>
          <w:bCs/>
          <w:sz w:val="28"/>
          <w:szCs w:val="28"/>
        </w:rPr>
      </w:pPr>
      <w:r w:rsidRPr="00E5434D">
        <w:rPr>
          <w:b/>
          <w:bCs/>
          <w:sz w:val="28"/>
          <w:szCs w:val="28"/>
        </w:rPr>
        <w:t xml:space="preserve">Conclusion </w:t>
      </w:r>
    </w:p>
    <w:p w:rsidR="00E179D2" w:rsidRDefault="00221A87" w:rsidP="00276120">
      <w:pPr>
        <w:rPr>
          <w:sz w:val="24"/>
          <w:szCs w:val="24"/>
        </w:rPr>
      </w:pPr>
      <w:r>
        <w:rPr>
          <w:sz w:val="24"/>
          <w:szCs w:val="24"/>
        </w:rPr>
        <w:t xml:space="preserve">Collection of samples of this type of infection requires specific ways and methods to get the best culture and supportive results to reach the right diagnosis. E.coli and klebsiella are the most common causes </w:t>
      </w:r>
      <w:r w:rsidR="00D21159">
        <w:rPr>
          <w:sz w:val="24"/>
          <w:szCs w:val="24"/>
        </w:rPr>
        <w:t>of this type of infection, the previous</w:t>
      </w:r>
      <w:r>
        <w:rPr>
          <w:sz w:val="24"/>
          <w:szCs w:val="24"/>
        </w:rPr>
        <w:t xml:space="preserve"> two organisms are considered non-fastidious bacteria</w:t>
      </w:r>
      <w:r w:rsidR="00D21159">
        <w:rPr>
          <w:sz w:val="24"/>
          <w:szCs w:val="24"/>
        </w:rPr>
        <w:t xml:space="preserve"> which means does not</w:t>
      </w:r>
      <w:r>
        <w:rPr>
          <w:sz w:val="24"/>
          <w:szCs w:val="24"/>
        </w:rPr>
        <w:t xml:space="preserve"> require a specific media and agar</w:t>
      </w:r>
      <w:r w:rsidR="00276120">
        <w:rPr>
          <w:sz w:val="24"/>
          <w:szCs w:val="24"/>
        </w:rPr>
        <w:t xml:space="preserve"> plate</w:t>
      </w:r>
      <w:r>
        <w:rPr>
          <w:sz w:val="24"/>
          <w:szCs w:val="24"/>
        </w:rPr>
        <w:t xml:space="preserve"> </w:t>
      </w:r>
      <w:r w:rsidR="009C23B0">
        <w:rPr>
          <w:sz w:val="24"/>
          <w:szCs w:val="24"/>
        </w:rPr>
        <w:t xml:space="preserve">because some of their characteristic features are lactose fermenting and hemolysis, </w:t>
      </w:r>
      <w:r>
        <w:rPr>
          <w:sz w:val="24"/>
          <w:szCs w:val="24"/>
        </w:rPr>
        <w:t xml:space="preserve">MacCkonky </w:t>
      </w:r>
      <w:r w:rsidR="009C23B0">
        <w:rPr>
          <w:sz w:val="24"/>
          <w:szCs w:val="24"/>
        </w:rPr>
        <w:t>agar plate</w:t>
      </w:r>
      <w:r w:rsidR="00E179D2">
        <w:rPr>
          <w:sz w:val="24"/>
          <w:szCs w:val="24"/>
        </w:rPr>
        <w:t>,</w:t>
      </w:r>
      <w:r w:rsidR="009C23B0">
        <w:rPr>
          <w:sz w:val="24"/>
          <w:szCs w:val="24"/>
        </w:rPr>
        <w:t xml:space="preserve"> and </w:t>
      </w:r>
      <w:r w:rsidR="009C23B0" w:rsidRPr="009C23B0">
        <w:rPr>
          <w:rFonts w:eastAsiaTheme="minorEastAsia" w:hAnsi="Calibri"/>
          <w:color w:val="000000" w:themeColor="text1"/>
          <w:kern w:val="24"/>
          <w:sz w:val="24"/>
          <w:szCs w:val="24"/>
        </w:rPr>
        <w:t>5% sheep blood agar plate</w:t>
      </w:r>
      <w:r w:rsidR="009C23B0">
        <w:rPr>
          <w:sz w:val="24"/>
          <w:szCs w:val="24"/>
        </w:rPr>
        <w:t xml:space="preserve"> enough to detect the colonization of bacteria</w:t>
      </w:r>
      <w:r w:rsidR="00E179D2">
        <w:rPr>
          <w:sz w:val="24"/>
          <w:szCs w:val="24"/>
        </w:rPr>
        <w:t xml:space="preserve">, colonization is counted and compared to the main criteria of detecting the infection following a specific amount of colonization circles, </w:t>
      </w:r>
      <w:r w:rsidR="00BB4058">
        <w:rPr>
          <w:sz w:val="24"/>
          <w:szCs w:val="24"/>
        </w:rPr>
        <w:t xml:space="preserve">after comparing the studies </w:t>
      </w:r>
      <w:r w:rsidR="00D334E0">
        <w:rPr>
          <w:sz w:val="24"/>
          <w:szCs w:val="24"/>
        </w:rPr>
        <w:t xml:space="preserve">scientifically, Now </w:t>
      </w:r>
      <w:r w:rsidR="00E179D2">
        <w:rPr>
          <w:sz w:val="24"/>
          <w:szCs w:val="24"/>
        </w:rPr>
        <w:t xml:space="preserve">can surely confirm that this type of infection affects more females rather than males </w:t>
      </w:r>
      <w:r w:rsidR="00276120">
        <w:rPr>
          <w:sz w:val="24"/>
          <w:szCs w:val="24"/>
        </w:rPr>
        <w:t>followed by specific r</w:t>
      </w:r>
      <w:r w:rsidR="00BB4058">
        <w:rPr>
          <w:sz w:val="24"/>
          <w:szCs w:val="24"/>
        </w:rPr>
        <w:t>oles regarding the human bodies.</w:t>
      </w:r>
    </w:p>
    <w:p w:rsidR="00346290" w:rsidRPr="00E5434D" w:rsidRDefault="00346290" w:rsidP="00346290">
      <w:pPr>
        <w:rPr>
          <w:b/>
          <w:bCs/>
          <w:sz w:val="28"/>
          <w:szCs w:val="28"/>
        </w:rPr>
      </w:pPr>
      <w:r w:rsidRPr="00E5434D">
        <w:rPr>
          <w:b/>
          <w:bCs/>
          <w:sz w:val="28"/>
          <w:szCs w:val="28"/>
        </w:rPr>
        <w:t xml:space="preserve">References </w:t>
      </w:r>
    </w:p>
    <w:p w:rsidR="00346290" w:rsidRPr="00346290" w:rsidRDefault="00346290" w:rsidP="00346290">
      <w:pPr>
        <w:pStyle w:val="a6"/>
        <w:numPr>
          <w:ilvl w:val="0"/>
          <w:numId w:val="2"/>
        </w:numPr>
        <w:rPr>
          <w:sz w:val="24"/>
          <w:szCs w:val="24"/>
        </w:rPr>
      </w:pPr>
      <w:r w:rsidRPr="00346290">
        <w:rPr>
          <w:rFonts w:ascii="Arial" w:hAnsi="Arial" w:cs="Arial"/>
          <w:color w:val="000000"/>
          <w:sz w:val="20"/>
          <w:szCs w:val="20"/>
          <w:shd w:val="clear" w:color="auto" w:fill="FFFFFF"/>
        </w:rPr>
        <w:t>Givler, D. and Givler, A., 2022. </w:t>
      </w:r>
      <w:r w:rsidRPr="00346290">
        <w:rPr>
          <w:rFonts w:ascii="Arial" w:hAnsi="Arial" w:cs="Arial"/>
          <w:i/>
          <w:iCs/>
          <w:color w:val="000000"/>
          <w:sz w:val="20"/>
          <w:szCs w:val="20"/>
          <w:shd w:val="clear" w:color="auto" w:fill="FFFFFF"/>
        </w:rPr>
        <w:t>Asymptomatic Bacteriuria</w:t>
      </w:r>
      <w:r w:rsidRPr="00346290">
        <w:rPr>
          <w:rFonts w:ascii="Arial" w:hAnsi="Arial" w:cs="Arial"/>
          <w:color w:val="000000"/>
          <w:sz w:val="20"/>
          <w:szCs w:val="20"/>
          <w:shd w:val="clear" w:color="auto" w:fill="FFFFFF"/>
        </w:rPr>
        <w:t>. [online] Ncbi.nlm.nih.gov. Available at: &lt;https://www.ncbi.nlm.nih.gov/books/NBK441848/&gt; [Accessed 19 June 2022].</w:t>
      </w:r>
    </w:p>
    <w:p w:rsidR="00346290" w:rsidRPr="00346290" w:rsidRDefault="00346290" w:rsidP="00346290">
      <w:pPr>
        <w:pStyle w:val="a6"/>
        <w:ind w:left="777"/>
        <w:rPr>
          <w:sz w:val="24"/>
          <w:szCs w:val="24"/>
        </w:rPr>
      </w:pPr>
    </w:p>
    <w:sectPr w:rsidR="00346290" w:rsidRPr="00346290" w:rsidSect="0017326E">
      <w:pgSz w:w="11907" w:h="16839"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82B" w:rsidRDefault="00E0582B" w:rsidP="00E179D2">
      <w:pPr>
        <w:spacing w:after="0" w:line="240" w:lineRule="auto"/>
      </w:pPr>
      <w:r>
        <w:separator/>
      </w:r>
    </w:p>
  </w:endnote>
  <w:endnote w:type="continuationSeparator" w:id="0">
    <w:p w:rsidR="00E0582B" w:rsidRDefault="00E0582B" w:rsidP="00E179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82B" w:rsidRDefault="00E0582B" w:rsidP="00E179D2">
      <w:pPr>
        <w:spacing w:after="0" w:line="240" w:lineRule="auto"/>
      </w:pPr>
      <w:r>
        <w:separator/>
      </w:r>
    </w:p>
  </w:footnote>
  <w:footnote w:type="continuationSeparator" w:id="0">
    <w:p w:rsidR="00E0582B" w:rsidRDefault="00E0582B" w:rsidP="00E179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00A32"/>
    <w:multiLevelType w:val="hybridMultilevel"/>
    <w:tmpl w:val="8FB0F43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
    <w:nsid w:val="19E066A6"/>
    <w:multiLevelType w:val="hybridMultilevel"/>
    <w:tmpl w:val="54DC0798"/>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083"/>
    <w:rsid w:val="00081452"/>
    <w:rsid w:val="000D3176"/>
    <w:rsid w:val="00143B62"/>
    <w:rsid w:val="0017326E"/>
    <w:rsid w:val="001B5DAC"/>
    <w:rsid w:val="001E2980"/>
    <w:rsid w:val="00203F9D"/>
    <w:rsid w:val="00215908"/>
    <w:rsid w:val="00221A87"/>
    <w:rsid w:val="00276120"/>
    <w:rsid w:val="003118F9"/>
    <w:rsid w:val="00346290"/>
    <w:rsid w:val="003D1CD4"/>
    <w:rsid w:val="00437083"/>
    <w:rsid w:val="0044597C"/>
    <w:rsid w:val="004603F4"/>
    <w:rsid w:val="004D3229"/>
    <w:rsid w:val="00504380"/>
    <w:rsid w:val="00524290"/>
    <w:rsid w:val="005250C9"/>
    <w:rsid w:val="005A366B"/>
    <w:rsid w:val="005B5C9C"/>
    <w:rsid w:val="005C43F9"/>
    <w:rsid w:val="00690822"/>
    <w:rsid w:val="00696CF8"/>
    <w:rsid w:val="007702DC"/>
    <w:rsid w:val="00795051"/>
    <w:rsid w:val="007C397A"/>
    <w:rsid w:val="007D427B"/>
    <w:rsid w:val="00806A66"/>
    <w:rsid w:val="008876DB"/>
    <w:rsid w:val="008F55AD"/>
    <w:rsid w:val="00933920"/>
    <w:rsid w:val="009C23B0"/>
    <w:rsid w:val="009E3466"/>
    <w:rsid w:val="009F5DAC"/>
    <w:rsid w:val="00AB3465"/>
    <w:rsid w:val="00B16638"/>
    <w:rsid w:val="00B661C6"/>
    <w:rsid w:val="00B841C3"/>
    <w:rsid w:val="00BB4058"/>
    <w:rsid w:val="00C704C0"/>
    <w:rsid w:val="00C914E2"/>
    <w:rsid w:val="00C91AC3"/>
    <w:rsid w:val="00D04422"/>
    <w:rsid w:val="00D21159"/>
    <w:rsid w:val="00D334E0"/>
    <w:rsid w:val="00D61148"/>
    <w:rsid w:val="00D73779"/>
    <w:rsid w:val="00DA544A"/>
    <w:rsid w:val="00DB4F7A"/>
    <w:rsid w:val="00E0582B"/>
    <w:rsid w:val="00E179D2"/>
    <w:rsid w:val="00E5434D"/>
    <w:rsid w:val="00E64453"/>
    <w:rsid w:val="00EA60EA"/>
    <w:rsid w:val="00EE4AB5"/>
    <w:rsid w:val="00EE6343"/>
    <w:rsid w:val="00F444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179D2"/>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E179D2"/>
    <w:pPr>
      <w:tabs>
        <w:tab w:val="center" w:pos="4680"/>
        <w:tab w:val="right" w:pos="9360"/>
      </w:tabs>
      <w:spacing w:after="0" w:line="240" w:lineRule="auto"/>
    </w:pPr>
  </w:style>
  <w:style w:type="character" w:customStyle="1" w:styleId="Char">
    <w:name w:val="رأس الصفحة Char"/>
    <w:basedOn w:val="a0"/>
    <w:link w:val="a4"/>
    <w:uiPriority w:val="99"/>
    <w:rsid w:val="00E179D2"/>
  </w:style>
  <w:style w:type="paragraph" w:styleId="a5">
    <w:name w:val="footer"/>
    <w:basedOn w:val="a"/>
    <w:link w:val="Char0"/>
    <w:uiPriority w:val="99"/>
    <w:unhideWhenUsed/>
    <w:rsid w:val="00E179D2"/>
    <w:pPr>
      <w:tabs>
        <w:tab w:val="center" w:pos="4680"/>
        <w:tab w:val="right" w:pos="9360"/>
      </w:tabs>
      <w:spacing w:after="0" w:line="240" w:lineRule="auto"/>
    </w:pPr>
  </w:style>
  <w:style w:type="character" w:customStyle="1" w:styleId="Char0">
    <w:name w:val="تذييل الصفحة Char"/>
    <w:basedOn w:val="a0"/>
    <w:link w:val="a5"/>
    <w:uiPriority w:val="99"/>
    <w:rsid w:val="00E179D2"/>
  </w:style>
  <w:style w:type="paragraph" w:styleId="a6">
    <w:name w:val="List Paragraph"/>
    <w:basedOn w:val="a"/>
    <w:uiPriority w:val="34"/>
    <w:qFormat/>
    <w:rsid w:val="00346290"/>
    <w:pPr>
      <w:ind w:left="720"/>
      <w:contextualSpacing/>
    </w:pPr>
  </w:style>
  <w:style w:type="paragraph" w:styleId="a7">
    <w:name w:val="Balloon Text"/>
    <w:basedOn w:val="a"/>
    <w:link w:val="Char1"/>
    <w:uiPriority w:val="99"/>
    <w:semiHidden/>
    <w:unhideWhenUsed/>
    <w:rsid w:val="00E5434D"/>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E5434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179D2"/>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E179D2"/>
    <w:pPr>
      <w:tabs>
        <w:tab w:val="center" w:pos="4680"/>
        <w:tab w:val="right" w:pos="9360"/>
      </w:tabs>
      <w:spacing w:after="0" w:line="240" w:lineRule="auto"/>
    </w:pPr>
  </w:style>
  <w:style w:type="character" w:customStyle="1" w:styleId="Char">
    <w:name w:val="رأس الصفحة Char"/>
    <w:basedOn w:val="a0"/>
    <w:link w:val="a4"/>
    <w:uiPriority w:val="99"/>
    <w:rsid w:val="00E179D2"/>
  </w:style>
  <w:style w:type="paragraph" w:styleId="a5">
    <w:name w:val="footer"/>
    <w:basedOn w:val="a"/>
    <w:link w:val="Char0"/>
    <w:uiPriority w:val="99"/>
    <w:unhideWhenUsed/>
    <w:rsid w:val="00E179D2"/>
    <w:pPr>
      <w:tabs>
        <w:tab w:val="center" w:pos="4680"/>
        <w:tab w:val="right" w:pos="9360"/>
      </w:tabs>
      <w:spacing w:after="0" w:line="240" w:lineRule="auto"/>
    </w:pPr>
  </w:style>
  <w:style w:type="character" w:customStyle="1" w:styleId="Char0">
    <w:name w:val="تذييل الصفحة Char"/>
    <w:basedOn w:val="a0"/>
    <w:link w:val="a5"/>
    <w:uiPriority w:val="99"/>
    <w:rsid w:val="00E179D2"/>
  </w:style>
  <w:style w:type="paragraph" w:styleId="a6">
    <w:name w:val="List Paragraph"/>
    <w:basedOn w:val="a"/>
    <w:uiPriority w:val="34"/>
    <w:qFormat/>
    <w:rsid w:val="00346290"/>
    <w:pPr>
      <w:ind w:left="720"/>
      <w:contextualSpacing/>
    </w:pPr>
  </w:style>
  <w:style w:type="paragraph" w:styleId="a7">
    <w:name w:val="Balloon Text"/>
    <w:basedOn w:val="a"/>
    <w:link w:val="Char1"/>
    <w:uiPriority w:val="99"/>
    <w:semiHidden/>
    <w:unhideWhenUsed/>
    <w:rsid w:val="00E5434D"/>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E5434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1274</Words>
  <Characters>7264</Characters>
  <Application>Microsoft Office Word</Application>
  <DocSecurity>0</DocSecurity>
  <Lines>60</Lines>
  <Paragraphs>17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MTC</dc:creator>
  <cp:lastModifiedBy>MTC</cp:lastModifiedBy>
  <cp:revision>2</cp:revision>
  <dcterms:created xsi:type="dcterms:W3CDTF">2022-06-20T12:20:00Z</dcterms:created>
  <dcterms:modified xsi:type="dcterms:W3CDTF">2022-06-20T12:20:00Z</dcterms:modified>
</cp:coreProperties>
</file>