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374C56" w14:textId="75848C81" w:rsidR="00154254" w:rsidRDefault="00154254" w:rsidP="0080240D">
      <w:pPr>
        <w:pStyle w:val="a4"/>
        <w:ind w:left="1080"/>
        <w:jc w:val="right"/>
        <w:rPr>
          <w:rFonts w:cs="Arial"/>
          <w:sz w:val="28"/>
          <w:szCs w:val="28"/>
        </w:rPr>
      </w:pPr>
      <w:bookmarkStart w:id="0" w:name="_Hlk106652816"/>
      <w:bookmarkEnd w:id="0"/>
      <w:r>
        <w:rPr>
          <w:noProof/>
        </w:rPr>
        <w:drawing>
          <wp:anchor distT="0" distB="0" distL="114300" distR="114300" simplePos="0" relativeHeight="251658240" behindDoc="0" locked="0" layoutInCell="1" allowOverlap="1" wp14:anchorId="20A7C06C" wp14:editId="790F17E3">
            <wp:simplePos x="0" y="0"/>
            <wp:positionH relativeFrom="margin">
              <wp:align>right</wp:align>
            </wp:positionH>
            <wp:positionV relativeFrom="margin">
              <wp:align>top</wp:align>
            </wp:positionV>
            <wp:extent cx="1247775" cy="885825"/>
            <wp:effectExtent l="0" t="0" r="9525"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rotWithShape="1">
                    <a:blip r:embed="rId7">
                      <a:extLst>
                        <a:ext uri="{28A0092B-C50C-407E-A947-70E740481C1C}">
                          <a14:useLocalDpi xmlns:a14="http://schemas.microsoft.com/office/drawing/2010/main" val="0"/>
                        </a:ext>
                      </a:extLst>
                    </a:blip>
                    <a:srcRect l="23595" r="53371"/>
                    <a:stretch/>
                  </pic:blipFill>
                  <pic:spPr bwMode="auto">
                    <a:xfrm>
                      <a:off x="0" y="0"/>
                      <a:ext cx="1247775" cy="885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0F9198E8" wp14:editId="0B32BF6B">
            <wp:simplePos x="0" y="0"/>
            <wp:positionH relativeFrom="margin">
              <wp:align>left</wp:align>
            </wp:positionH>
            <wp:positionV relativeFrom="margin">
              <wp:posOffset>5080</wp:posOffset>
            </wp:positionV>
            <wp:extent cx="1057275" cy="733425"/>
            <wp:effectExtent l="0" t="0" r="9525"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057275" cy="733425"/>
                    </a:xfrm>
                    <a:prstGeom prst="rect">
                      <a:avLst/>
                    </a:prstGeom>
                  </pic:spPr>
                </pic:pic>
              </a:graphicData>
            </a:graphic>
            <wp14:sizeRelH relativeFrom="margin">
              <wp14:pctWidth>0</wp14:pctWidth>
            </wp14:sizeRelH>
            <wp14:sizeRelV relativeFrom="margin">
              <wp14:pctHeight>0</wp14:pctHeight>
            </wp14:sizeRelV>
          </wp:anchor>
        </w:drawing>
      </w:r>
    </w:p>
    <w:p w14:paraId="54169509" w14:textId="7854DC0B" w:rsidR="00154254" w:rsidRPr="00154254" w:rsidRDefault="00154254" w:rsidP="00154254">
      <w:pPr>
        <w:bidi/>
        <w:jc w:val="center"/>
        <w:rPr>
          <w:rFonts w:asciiTheme="majorBidi" w:hAnsiTheme="majorBidi" w:cstheme="majorBidi"/>
          <w:sz w:val="24"/>
          <w:szCs w:val="24"/>
          <w:rtl/>
          <w:lang w:val="en-US"/>
        </w:rPr>
      </w:pPr>
      <w:r>
        <w:rPr>
          <w:rFonts w:asciiTheme="majorBidi" w:hAnsiTheme="majorBidi" w:cstheme="majorBidi"/>
          <w:b/>
          <w:bCs/>
          <w:sz w:val="28"/>
          <w:szCs w:val="28"/>
        </w:rPr>
        <w:t>The Libyan International Medical University</w:t>
      </w:r>
    </w:p>
    <w:p w14:paraId="01604DE5" w14:textId="01E9FC53" w:rsidR="00154254" w:rsidRDefault="00154254" w:rsidP="00154254">
      <w:pPr>
        <w:tabs>
          <w:tab w:val="left" w:pos="3326"/>
        </w:tabs>
        <w:bidi/>
        <w:jc w:val="center"/>
        <w:rPr>
          <w:rFonts w:asciiTheme="majorBidi" w:hAnsiTheme="majorBidi" w:cstheme="majorBidi"/>
          <w:b/>
          <w:bCs/>
          <w:sz w:val="28"/>
          <w:szCs w:val="28"/>
        </w:rPr>
      </w:pPr>
      <w:r>
        <w:rPr>
          <w:rFonts w:asciiTheme="majorBidi" w:hAnsiTheme="majorBidi" w:cstheme="majorBidi"/>
          <w:b/>
          <w:bCs/>
          <w:sz w:val="28"/>
          <w:szCs w:val="28"/>
        </w:rPr>
        <w:t>Faculty of Basic Medical Science</w:t>
      </w:r>
    </w:p>
    <w:p w14:paraId="0881BBD8" w14:textId="74101014" w:rsidR="005F740F" w:rsidRDefault="005F740F" w:rsidP="005F740F">
      <w:pPr>
        <w:tabs>
          <w:tab w:val="left" w:pos="3326"/>
        </w:tabs>
        <w:bidi/>
        <w:jc w:val="center"/>
        <w:rPr>
          <w:rFonts w:asciiTheme="majorBidi" w:hAnsiTheme="majorBidi" w:cstheme="majorBidi"/>
          <w:b/>
          <w:bCs/>
          <w:sz w:val="28"/>
          <w:szCs w:val="28"/>
        </w:rPr>
      </w:pPr>
    </w:p>
    <w:p w14:paraId="2745D275" w14:textId="447BA82B" w:rsidR="005F740F" w:rsidRPr="005F740F" w:rsidRDefault="005F740F" w:rsidP="005F740F">
      <w:pPr>
        <w:tabs>
          <w:tab w:val="left" w:pos="3326"/>
        </w:tabs>
        <w:bidi/>
        <w:jc w:val="center"/>
        <w:rPr>
          <w:rFonts w:asciiTheme="majorBidi" w:hAnsiTheme="majorBidi" w:cstheme="majorBidi" w:hint="cs"/>
          <w:b/>
          <w:bCs/>
          <w:sz w:val="28"/>
          <w:szCs w:val="28"/>
          <w:rtl/>
          <w:lang w:val="en-US"/>
        </w:rPr>
      </w:pPr>
      <w:r>
        <w:rPr>
          <w:rFonts w:asciiTheme="majorBidi" w:hAnsiTheme="majorBidi" w:cstheme="majorBidi" w:hint="cs"/>
          <w:b/>
          <w:bCs/>
          <w:sz w:val="28"/>
          <w:szCs w:val="28"/>
          <w:rtl/>
          <w:lang w:val="en-US"/>
        </w:rPr>
        <w:t>د. انتصار الناجي</w:t>
      </w:r>
      <w:r w:rsidRPr="005F740F">
        <w:rPr>
          <w:rFonts w:asciiTheme="majorBidi" w:hAnsiTheme="majorBidi" w:cstheme="majorBidi"/>
          <w:b/>
          <w:bCs/>
          <w:sz w:val="28"/>
          <w:szCs w:val="28"/>
        </w:rPr>
        <w:t xml:space="preserve"> </w:t>
      </w:r>
      <w:r>
        <w:rPr>
          <w:rFonts w:asciiTheme="majorBidi" w:hAnsiTheme="majorBidi" w:cstheme="majorBidi"/>
          <w:b/>
          <w:bCs/>
          <w:sz w:val="28"/>
          <w:szCs w:val="28"/>
        </w:rPr>
        <w:t xml:space="preserve">Supervisor:    </w:t>
      </w:r>
      <w:r>
        <w:rPr>
          <w:rFonts w:asciiTheme="majorBidi" w:hAnsiTheme="majorBidi" w:cstheme="majorBidi" w:hint="cs"/>
          <w:b/>
          <w:bCs/>
          <w:sz w:val="28"/>
          <w:szCs w:val="28"/>
          <w:rtl/>
          <w:lang w:val="en-US"/>
        </w:rPr>
        <w:t xml:space="preserve"> </w:t>
      </w:r>
    </w:p>
    <w:p w14:paraId="0A7D57D9" w14:textId="56EF527C" w:rsidR="005F740F" w:rsidRPr="005F740F" w:rsidRDefault="005F740F" w:rsidP="005F740F">
      <w:pPr>
        <w:tabs>
          <w:tab w:val="left" w:pos="3326"/>
        </w:tabs>
        <w:bidi/>
        <w:jc w:val="center"/>
        <w:rPr>
          <w:rFonts w:asciiTheme="majorBidi" w:hAnsiTheme="majorBidi" w:cstheme="majorBidi"/>
          <w:b/>
          <w:bCs/>
          <w:sz w:val="28"/>
          <w:szCs w:val="28"/>
          <w:rtl/>
        </w:rPr>
      </w:pPr>
      <w:r>
        <w:rPr>
          <w:rFonts w:asciiTheme="majorBidi" w:hAnsiTheme="majorBidi" w:cstheme="majorBidi" w:hint="cs"/>
          <w:b/>
          <w:bCs/>
          <w:sz w:val="28"/>
          <w:szCs w:val="28"/>
          <w:rtl/>
        </w:rPr>
        <w:t xml:space="preserve">ا. أسماء </w:t>
      </w:r>
      <w:proofErr w:type="spellStart"/>
      <w:r>
        <w:rPr>
          <w:rFonts w:asciiTheme="majorBidi" w:hAnsiTheme="majorBidi" w:cstheme="majorBidi" w:hint="cs"/>
          <w:b/>
          <w:bCs/>
          <w:sz w:val="28"/>
          <w:szCs w:val="28"/>
          <w:rtl/>
        </w:rPr>
        <w:t>الكوافي</w:t>
      </w:r>
      <w:proofErr w:type="spellEnd"/>
      <w:r>
        <w:rPr>
          <w:rFonts w:asciiTheme="majorBidi" w:hAnsiTheme="majorBidi" w:cstheme="majorBidi" w:hint="cs"/>
          <w:b/>
          <w:bCs/>
          <w:sz w:val="28"/>
          <w:szCs w:val="28"/>
          <w:rtl/>
        </w:rPr>
        <w:t xml:space="preserve"> </w:t>
      </w:r>
      <w:r>
        <w:rPr>
          <w:rFonts w:asciiTheme="majorBidi" w:hAnsiTheme="majorBidi" w:cstheme="majorBidi"/>
          <w:b/>
          <w:bCs/>
          <w:sz w:val="28"/>
          <w:szCs w:val="28"/>
        </w:rPr>
        <w:t>Assisted:</w:t>
      </w:r>
    </w:p>
    <w:p w14:paraId="22263142" w14:textId="77777777" w:rsidR="00154254" w:rsidRDefault="00154254" w:rsidP="00154254">
      <w:pPr>
        <w:pStyle w:val="a4"/>
        <w:ind w:left="1080"/>
        <w:jc w:val="right"/>
        <w:rPr>
          <w:rFonts w:cs="Arial"/>
          <w:sz w:val="28"/>
          <w:szCs w:val="28"/>
        </w:rPr>
      </w:pPr>
    </w:p>
    <w:p w14:paraId="60564BBF" w14:textId="275F8B19" w:rsidR="00154254" w:rsidRDefault="00154254" w:rsidP="00154254">
      <w:pPr>
        <w:pStyle w:val="a4"/>
        <w:ind w:left="1080"/>
        <w:jc w:val="right"/>
        <w:rPr>
          <w:rFonts w:cs="Arial"/>
          <w:sz w:val="28"/>
          <w:szCs w:val="28"/>
        </w:rPr>
      </w:pPr>
    </w:p>
    <w:p w14:paraId="7E64987F" w14:textId="77777777" w:rsidR="00154254" w:rsidRDefault="00154254" w:rsidP="00154254">
      <w:pPr>
        <w:pStyle w:val="a4"/>
        <w:ind w:left="1080"/>
        <w:jc w:val="right"/>
        <w:rPr>
          <w:rFonts w:cs="Arial"/>
          <w:sz w:val="28"/>
          <w:szCs w:val="28"/>
        </w:rPr>
      </w:pPr>
    </w:p>
    <w:p w14:paraId="1CFB3F91" w14:textId="77777777" w:rsidR="00154254" w:rsidRDefault="00154254" w:rsidP="00154254">
      <w:pPr>
        <w:pStyle w:val="a4"/>
        <w:ind w:left="1080"/>
        <w:jc w:val="right"/>
        <w:rPr>
          <w:rFonts w:cs="Arial"/>
          <w:sz w:val="28"/>
          <w:szCs w:val="28"/>
        </w:rPr>
      </w:pPr>
    </w:p>
    <w:p w14:paraId="59B32AFE" w14:textId="2B34523C" w:rsidR="00903DBC" w:rsidRPr="000D0926" w:rsidRDefault="00154254" w:rsidP="00903DBC">
      <w:pPr>
        <w:pStyle w:val="a4"/>
        <w:ind w:left="1080"/>
        <w:rPr>
          <w:rFonts w:cs="Arial"/>
          <w:b/>
          <w:bCs/>
          <w:color w:val="1D1B11" w:themeColor="background2" w:themeShade="1A"/>
          <w:sz w:val="36"/>
          <w:szCs w:val="36"/>
          <w:rtl/>
        </w:rPr>
      </w:pPr>
      <w:r w:rsidRPr="000D0926">
        <w:rPr>
          <w:rFonts w:cs="Arial"/>
          <w:b/>
          <w:bCs/>
          <w:color w:val="1D1B11" w:themeColor="background2" w:themeShade="1A"/>
          <w:sz w:val="36"/>
          <w:szCs w:val="36"/>
        </w:rPr>
        <w:t xml:space="preserve">Bacteriuria </w:t>
      </w:r>
      <w:r w:rsidR="00903DBC">
        <w:rPr>
          <w:rFonts w:cs="Arial"/>
          <w:b/>
          <w:bCs/>
          <w:color w:val="1D1B11" w:themeColor="background2" w:themeShade="1A"/>
          <w:sz w:val="36"/>
          <w:szCs w:val="36"/>
        </w:rPr>
        <w:t>(</w:t>
      </w:r>
      <w:proofErr w:type="gramStart"/>
      <w:r w:rsidRPr="000D0926">
        <w:rPr>
          <w:rFonts w:cs="Arial"/>
          <w:b/>
          <w:bCs/>
          <w:color w:val="1D1B11" w:themeColor="background2" w:themeShade="1A"/>
          <w:sz w:val="36"/>
          <w:szCs w:val="36"/>
        </w:rPr>
        <w:t>UTIs</w:t>
      </w:r>
      <w:r w:rsidR="00903DBC">
        <w:rPr>
          <w:rFonts w:cs="Arial"/>
          <w:b/>
          <w:bCs/>
          <w:color w:val="1D1B11" w:themeColor="background2" w:themeShade="1A"/>
          <w:sz w:val="36"/>
          <w:szCs w:val="36"/>
        </w:rPr>
        <w:t xml:space="preserve">)   </w:t>
      </w:r>
      <w:proofErr w:type="gramEnd"/>
      <w:r w:rsidR="00903DBC">
        <w:rPr>
          <w:rFonts w:cs="Arial"/>
          <w:b/>
          <w:bCs/>
          <w:color w:val="1D1B11" w:themeColor="background2" w:themeShade="1A"/>
          <w:sz w:val="36"/>
          <w:szCs w:val="36"/>
        </w:rPr>
        <w:t xml:space="preserve">                          </w:t>
      </w:r>
      <w:r w:rsidR="00903DBC">
        <w:rPr>
          <w:rFonts w:cs="Arial" w:hint="cs"/>
          <w:b/>
          <w:bCs/>
          <w:color w:val="1D1B11" w:themeColor="background2" w:themeShade="1A"/>
          <w:sz w:val="36"/>
          <w:szCs w:val="36"/>
          <w:rtl/>
        </w:rPr>
        <w:t xml:space="preserve"> </w:t>
      </w:r>
      <w:r w:rsidR="00903DBC">
        <w:rPr>
          <w:rFonts w:cs="Arial"/>
          <w:b/>
          <w:bCs/>
          <w:color w:val="1D1B11" w:themeColor="background2" w:themeShade="1A"/>
          <w:sz w:val="36"/>
          <w:szCs w:val="36"/>
        </w:rPr>
        <w:t>Asymptomatic</w:t>
      </w:r>
    </w:p>
    <w:p w14:paraId="5FBBAFFF" w14:textId="498544FD" w:rsidR="00154254" w:rsidRPr="000D0926" w:rsidRDefault="00154254" w:rsidP="00903DBC">
      <w:pPr>
        <w:pStyle w:val="a4"/>
        <w:ind w:left="1080"/>
        <w:jc w:val="right"/>
        <w:rPr>
          <w:rFonts w:cs="Arial"/>
          <w:b/>
          <w:bCs/>
          <w:color w:val="1D1B11" w:themeColor="background2" w:themeShade="1A"/>
          <w:sz w:val="36"/>
          <w:szCs w:val="36"/>
        </w:rPr>
      </w:pPr>
    </w:p>
    <w:p w14:paraId="5E9DD9D7" w14:textId="77777777" w:rsidR="00154254" w:rsidRDefault="00154254" w:rsidP="00154254">
      <w:pPr>
        <w:pStyle w:val="a4"/>
        <w:ind w:left="1080"/>
        <w:jc w:val="right"/>
        <w:rPr>
          <w:rFonts w:cs="Arial"/>
          <w:sz w:val="28"/>
          <w:szCs w:val="28"/>
        </w:rPr>
      </w:pPr>
    </w:p>
    <w:p w14:paraId="03C99AE2" w14:textId="2C1E2A45" w:rsidR="00154254" w:rsidRDefault="00154254" w:rsidP="00154254">
      <w:pPr>
        <w:pStyle w:val="a4"/>
        <w:ind w:left="1080"/>
        <w:jc w:val="right"/>
        <w:rPr>
          <w:rFonts w:cs="Arial"/>
          <w:sz w:val="28"/>
          <w:szCs w:val="28"/>
          <w:rtl/>
        </w:rPr>
      </w:pPr>
    </w:p>
    <w:p w14:paraId="2CE1450F" w14:textId="77777777" w:rsidR="000D0926" w:rsidRDefault="000D0926" w:rsidP="000D0926">
      <w:pPr>
        <w:bidi/>
        <w:spacing w:line="480" w:lineRule="auto"/>
        <w:rPr>
          <w:rFonts w:asciiTheme="majorBidi" w:hAnsiTheme="majorBidi" w:cstheme="majorBidi"/>
          <w:sz w:val="28"/>
          <w:szCs w:val="28"/>
        </w:rPr>
      </w:pPr>
    </w:p>
    <w:p w14:paraId="1C486E0A" w14:textId="582FD926" w:rsidR="000D0926" w:rsidRDefault="000D0926" w:rsidP="000D0926">
      <w:pPr>
        <w:pStyle w:val="a4"/>
        <w:ind w:left="1080"/>
        <w:jc w:val="right"/>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t xml:space="preserve">Student name: Abdul Raouf Bashir </w:t>
      </w:r>
      <w:proofErr w:type="spellStart"/>
      <w:r>
        <w:rPr>
          <w:rFonts w:asciiTheme="majorBidi" w:hAnsiTheme="majorBidi" w:cstheme="majorBidi"/>
          <w:b/>
          <w:bCs/>
          <w:color w:val="000000" w:themeColor="text1"/>
          <w:sz w:val="32"/>
          <w:szCs w:val="32"/>
        </w:rPr>
        <w:t>Alshrief</w:t>
      </w:r>
      <w:proofErr w:type="spellEnd"/>
      <w:r>
        <w:rPr>
          <w:rFonts w:asciiTheme="majorBidi" w:hAnsiTheme="majorBidi" w:cstheme="majorBidi"/>
          <w:b/>
          <w:bCs/>
          <w:color w:val="000000" w:themeColor="text1"/>
          <w:sz w:val="32"/>
          <w:szCs w:val="32"/>
        </w:rPr>
        <w:t xml:space="preserve"> </w:t>
      </w:r>
    </w:p>
    <w:p w14:paraId="3EAA7B05" w14:textId="0796D020" w:rsidR="00903DBC" w:rsidRDefault="00903DBC" w:rsidP="000D0926">
      <w:pPr>
        <w:pStyle w:val="a4"/>
        <w:ind w:left="1080"/>
        <w:jc w:val="right"/>
        <w:rPr>
          <w:rFonts w:cs="Arial"/>
          <w:sz w:val="28"/>
          <w:szCs w:val="28"/>
          <w:rtl/>
        </w:rPr>
      </w:pPr>
      <w:r>
        <w:rPr>
          <w:rFonts w:asciiTheme="majorBidi" w:hAnsiTheme="majorBidi" w:cstheme="majorBidi"/>
          <w:b/>
          <w:bCs/>
          <w:color w:val="000000" w:themeColor="text1"/>
          <w:sz w:val="32"/>
          <w:szCs w:val="32"/>
        </w:rPr>
        <w:t>Student number: 2940</w:t>
      </w:r>
    </w:p>
    <w:p w14:paraId="4AC32A23" w14:textId="77777777" w:rsidR="000D0926" w:rsidRDefault="000D0926" w:rsidP="00154254">
      <w:pPr>
        <w:pStyle w:val="a4"/>
        <w:ind w:left="1080"/>
        <w:jc w:val="right"/>
        <w:rPr>
          <w:rFonts w:cs="Arial"/>
          <w:sz w:val="28"/>
          <w:szCs w:val="28"/>
        </w:rPr>
      </w:pPr>
    </w:p>
    <w:p w14:paraId="1F16B23C" w14:textId="171B2A93" w:rsidR="0080240D" w:rsidRPr="00903DBC" w:rsidRDefault="0080240D" w:rsidP="000B05DD">
      <w:pPr>
        <w:pStyle w:val="a4"/>
        <w:ind w:left="1080"/>
        <w:jc w:val="right"/>
        <w:rPr>
          <w:sz w:val="24"/>
          <w:szCs w:val="24"/>
          <w:rtl/>
        </w:rPr>
      </w:pPr>
      <w:r w:rsidRPr="00935DC1">
        <w:rPr>
          <w:rFonts w:cs="Arial"/>
          <w:b/>
          <w:bCs/>
          <w:sz w:val="32"/>
          <w:szCs w:val="32"/>
        </w:rPr>
        <w:t>Abstract</w:t>
      </w:r>
      <w:r w:rsidRPr="00903DBC">
        <w:rPr>
          <w:rFonts w:cs="Arial"/>
          <w:sz w:val="32"/>
          <w:szCs w:val="32"/>
        </w:rPr>
        <w:t xml:space="preserve"> </w:t>
      </w:r>
    </w:p>
    <w:p w14:paraId="44C0713A" w14:textId="77777777" w:rsidR="0080240D" w:rsidRDefault="0080240D" w:rsidP="0080240D">
      <w:pPr>
        <w:rPr>
          <w:rFonts w:cs="Arial"/>
        </w:rPr>
      </w:pPr>
    </w:p>
    <w:p w14:paraId="44B6C622" w14:textId="76855731" w:rsidR="003E13FA" w:rsidRPr="00252563" w:rsidRDefault="003E13FA" w:rsidP="003E13FA">
      <w:pPr>
        <w:rPr>
          <w:rFonts w:asciiTheme="majorBidi" w:hAnsiTheme="majorBidi" w:cstheme="majorBidi"/>
          <w:sz w:val="32"/>
          <w:szCs w:val="32"/>
        </w:rPr>
      </w:pPr>
      <w:r w:rsidRPr="00252563">
        <w:rPr>
          <w:rFonts w:asciiTheme="majorBidi" w:hAnsiTheme="majorBidi" w:cstheme="majorBidi"/>
          <w:sz w:val="28"/>
          <w:szCs w:val="28"/>
        </w:rPr>
        <w:t xml:space="preserve">Asymptomatic bacteriuria is a common finding in both healthy women and men and women with urinary tract abnormalities. It is also known as bacteriuria or asymptomatic urinary tract infection. Asymptomatic bacteriuria is defined as having an isolated urinary tract pathogen with at least 105 CFU/mL and no signs or symptoms of urinary tract infection. ABU affects up to 6% of the healthy population and 20% of the elderly. ABU strains rarely cause symptoms, and the majority of ABU patients do not require treatment. Place the loop on an agar plate </w:t>
      </w:r>
      <w:r w:rsidRPr="00252563">
        <w:rPr>
          <w:rFonts w:asciiTheme="majorBidi" w:hAnsiTheme="majorBidi" w:cstheme="majorBidi"/>
          <w:sz w:val="28"/>
          <w:szCs w:val="28"/>
        </w:rPr>
        <w:lastRenderedPageBreak/>
        <w:t>to allow the urine to spread. Take an exciting wire loop and vertically mix it with urine. Place it on a different plate. Incubate for 24 hours at 37 degrees Fahrenheit. To determine the number per ml</w:t>
      </w:r>
    </w:p>
    <w:p w14:paraId="32DBD973" w14:textId="77777777" w:rsidR="003E13FA" w:rsidRPr="00252563" w:rsidRDefault="003E13FA" w:rsidP="003E13FA">
      <w:pPr>
        <w:rPr>
          <w:rFonts w:asciiTheme="majorBidi" w:hAnsiTheme="majorBidi" w:cstheme="majorBidi"/>
          <w:lang w:val="en-US"/>
        </w:rPr>
      </w:pPr>
      <w:r w:rsidRPr="00252563">
        <w:rPr>
          <w:rFonts w:asciiTheme="majorBidi" w:hAnsiTheme="majorBidi" w:cstheme="majorBidi"/>
          <w:sz w:val="28"/>
          <w:szCs w:val="28"/>
          <w:lang w:val="en-US"/>
        </w:rPr>
        <w:t>Are Women Particularly Vulnerable? The most likely cause is anatomy. Because of their shorter urethra, women are more likely than men to develop UTI. Bacteria need not travel far to infect a woman's bladder. Furthermore, the opening of the urethra is close to the rectum, which contains the bacteria that cause these infections. The most common type is E. coli.</w:t>
      </w:r>
    </w:p>
    <w:p w14:paraId="39140C50" w14:textId="415F111F" w:rsidR="0080240D" w:rsidRPr="00252563" w:rsidRDefault="003E13FA" w:rsidP="00ED12FC">
      <w:pPr>
        <w:rPr>
          <w:rFonts w:asciiTheme="majorBidi" w:hAnsiTheme="majorBidi" w:cstheme="majorBidi"/>
          <w:sz w:val="28"/>
          <w:szCs w:val="28"/>
        </w:rPr>
      </w:pPr>
      <w:r w:rsidRPr="00252563">
        <w:rPr>
          <w:rFonts w:asciiTheme="majorBidi" w:hAnsiTheme="majorBidi" w:cstheme="majorBidi"/>
          <w:sz w:val="28"/>
          <w:szCs w:val="28"/>
        </w:rPr>
        <w:t>The goal of this study was to look for bacteria in urine samples from 24 LIMU students in their late twenties. We conclude that the relationship between gender and bacterial growth is stronger in females based on the attendance of twelve young women and twelve young men.</w:t>
      </w:r>
    </w:p>
    <w:p w14:paraId="30FAC2FA" w14:textId="262277B0" w:rsidR="0080240D" w:rsidRDefault="0080240D" w:rsidP="00ED12FC">
      <w:pPr>
        <w:rPr>
          <w:sz w:val="28"/>
          <w:szCs w:val="28"/>
        </w:rPr>
      </w:pPr>
    </w:p>
    <w:p w14:paraId="016A7C9F" w14:textId="50656704" w:rsidR="00BC4B7B" w:rsidRPr="000B05DD" w:rsidRDefault="00BC4B7B" w:rsidP="00B42AAD">
      <w:pPr>
        <w:rPr>
          <w:sz w:val="24"/>
          <w:szCs w:val="24"/>
          <w:lang w:val="en-US"/>
        </w:rPr>
      </w:pPr>
      <w:r w:rsidRPr="00935DC1">
        <w:rPr>
          <w:b/>
          <w:bCs/>
          <w:color w:val="1D1B11" w:themeColor="background2" w:themeShade="1A"/>
          <w:sz w:val="36"/>
          <w:szCs w:val="36"/>
        </w:rPr>
        <w:t>Intro</w:t>
      </w:r>
      <w:r w:rsidR="00D701C5" w:rsidRPr="00935DC1">
        <w:rPr>
          <w:b/>
          <w:bCs/>
          <w:color w:val="1D1B11" w:themeColor="background2" w:themeShade="1A"/>
          <w:sz w:val="36"/>
          <w:szCs w:val="36"/>
        </w:rPr>
        <w:t>duction</w:t>
      </w:r>
      <w:r w:rsidRPr="00935DC1">
        <w:rPr>
          <w:b/>
          <w:bCs/>
          <w:color w:val="1D1B11" w:themeColor="background2" w:themeShade="1A"/>
          <w:sz w:val="36"/>
          <w:szCs w:val="36"/>
        </w:rPr>
        <w:t>:</w:t>
      </w:r>
      <w:r w:rsidRPr="00935DC1">
        <w:rPr>
          <w:color w:val="1D1B11" w:themeColor="background2" w:themeShade="1A"/>
          <w:sz w:val="36"/>
          <w:szCs w:val="36"/>
        </w:rPr>
        <w:t xml:space="preserve"> </w:t>
      </w:r>
    </w:p>
    <w:p w14:paraId="6D3B9FD3" w14:textId="77777777" w:rsidR="00BC4B7B" w:rsidRDefault="00BC4B7B" w:rsidP="00BC4B7B"/>
    <w:p w14:paraId="2676F0F7" w14:textId="77777777" w:rsidR="00FC0378" w:rsidRPr="00FC0378" w:rsidRDefault="00FC0378" w:rsidP="00FC0378">
      <w:pPr>
        <w:rPr>
          <w:rFonts w:asciiTheme="majorBidi" w:hAnsiTheme="majorBidi" w:cstheme="majorBidi"/>
          <w:sz w:val="28"/>
          <w:szCs w:val="28"/>
        </w:rPr>
      </w:pPr>
      <w:r w:rsidRPr="00FC0378">
        <w:rPr>
          <w:rFonts w:asciiTheme="majorBidi" w:hAnsiTheme="majorBidi" w:cstheme="majorBidi"/>
          <w:sz w:val="28"/>
          <w:szCs w:val="28"/>
        </w:rPr>
        <w:t xml:space="preserve">Asymptomatic bacteriuria is common in healthy women as well as men and women with urogenital abnormalities. Asymptomatic bacteriuria is defined as having at least 105 CFU/ml of a </w:t>
      </w:r>
      <w:proofErr w:type="spellStart"/>
      <w:r w:rsidRPr="00FC0378">
        <w:rPr>
          <w:rFonts w:asciiTheme="majorBidi" w:hAnsiTheme="majorBidi" w:cstheme="majorBidi"/>
          <w:sz w:val="28"/>
          <w:szCs w:val="28"/>
        </w:rPr>
        <w:t>uropathogen</w:t>
      </w:r>
      <w:proofErr w:type="spellEnd"/>
      <w:r w:rsidRPr="00FC0378">
        <w:rPr>
          <w:rFonts w:asciiTheme="majorBidi" w:hAnsiTheme="majorBidi" w:cstheme="majorBidi"/>
          <w:sz w:val="28"/>
          <w:szCs w:val="28"/>
        </w:rPr>
        <w:t xml:space="preserve"> isolated in the absence of signs and symptoms of urinary infectious disease. For women, two consecutive positive voided specimens are generally recommended, but for men, a single specimen is sufficient. An in and out catheter specimen must have a minimum of 102 CFU/ml, including specimens from patients using clean intermittent catheterization. In patients with chronic indwelling catheters, the presence of biofilm along the catheter complicates the identification of bacteriuria. Escherichia coli, which causes both ABU and symptomatic UTI, is responsible for more than 80% of all UTIs ABU affects as many as 6% of healthy people and 20% of the elderly. ABU strains rarely cause symptoms, and the majority of ABU patients do not require treatment.</w:t>
      </w:r>
    </w:p>
    <w:p w14:paraId="667511F0" w14:textId="3C06F0B9" w:rsidR="00BC4B7B" w:rsidRPr="00663176" w:rsidRDefault="00FC0378" w:rsidP="00FC0378">
      <w:pPr>
        <w:rPr>
          <w:rFonts w:cstheme="minorHAnsi"/>
          <w:color w:val="1D1B11" w:themeColor="background2" w:themeShade="1A"/>
          <w:sz w:val="28"/>
          <w:szCs w:val="28"/>
        </w:rPr>
      </w:pPr>
      <w:r w:rsidRPr="00FC0378">
        <w:rPr>
          <w:rFonts w:asciiTheme="majorBidi" w:hAnsiTheme="majorBidi" w:cstheme="majorBidi"/>
          <w:sz w:val="28"/>
          <w:szCs w:val="28"/>
        </w:rPr>
        <w:t xml:space="preserve">The expression of several virulence factors, including adhesins (e.g., type 1 and P fimbriae) and toxins (e.g., </w:t>
      </w:r>
      <w:proofErr w:type="spellStart"/>
      <w:r w:rsidRPr="00FC0378">
        <w:rPr>
          <w:rFonts w:asciiTheme="majorBidi" w:hAnsiTheme="majorBidi" w:cstheme="majorBidi"/>
          <w:sz w:val="28"/>
          <w:szCs w:val="28"/>
        </w:rPr>
        <w:t>hemolysin</w:t>
      </w:r>
      <w:proofErr w:type="spellEnd"/>
      <w:r w:rsidRPr="00FC0378">
        <w:rPr>
          <w:rFonts w:asciiTheme="majorBidi" w:hAnsiTheme="majorBidi" w:cstheme="majorBidi"/>
          <w:sz w:val="28"/>
          <w:szCs w:val="28"/>
        </w:rPr>
        <w:t>), is associated with symptomatic UTI (20) Bacterial adhesion is widely recognized as an important step in the colonization of host tissue surfaces subjected to hydrodynamic flow forces</w:t>
      </w:r>
      <w:r w:rsidR="00BC4B7B">
        <w:rPr>
          <w:rFonts w:cstheme="minorHAnsi"/>
          <w:color w:val="1D1B11" w:themeColor="background2" w:themeShade="1A"/>
          <w:sz w:val="28"/>
          <w:szCs w:val="28"/>
        </w:rPr>
        <w:t xml:space="preserve"> </w:t>
      </w:r>
    </w:p>
    <w:p w14:paraId="343E17CE" w14:textId="77777777" w:rsidR="00BC4B7B" w:rsidRDefault="00BC4B7B" w:rsidP="00BC4B7B">
      <w:pPr>
        <w:rPr>
          <w:color w:val="1D1B11" w:themeColor="background2" w:themeShade="1A"/>
          <w:sz w:val="40"/>
          <w:szCs w:val="40"/>
        </w:rPr>
      </w:pPr>
    </w:p>
    <w:p w14:paraId="13566100" w14:textId="77777777" w:rsidR="00BC4B7B" w:rsidRDefault="00BC4B7B" w:rsidP="00ED12FC">
      <w:pPr>
        <w:rPr>
          <w:sz w:val="28"/>
          <w:szCs w:val="28"/>
        </w:rPr>
      </w:pPr>
    </w:p>
    <w:p w14:paraId="7D8EE47C" w14:textId="1DF98650" w:rsidR="00ED12FC" w:rsidRDefault="00ED12FC" w:rsidP="00ED12FC"/>
    <w:p w14:paraId="6DE05265" w14:textId="77777777" w:rsidR="00ED12FC" w:rsidRDefault="00ED12FC" w:rsidP="00ED12FC"/>
    <w:p w14:paraId="51C5D584" w14:textId="430921E0" w:rsidR="00ED12FC" w:rsidRPr="004A20D6" w:rsidRDefault="00ED12FC" w:rsidP="00ED12FC">
      <w:pPr>
        <w:rPr>
          <w:sz w:val="32"/>
          <w:szCs w:val="32"/>
        </w:rPr>
      </w:pPr>
      <w:r w:rsidRPr="00935DC1">
        <w:rPr>
          <w:b/>
          <w:bCs/>
          <w:sz w:val="36"/>
          <w:szCs w:val="36"/>
        </w:rPr>
        <w:t xml:space="preserve">Methods </w:t>
      </w:r>
      <w:r w:rsidR="007815CE" w:rsidRPr="00935DC1">
        <w:rPr>
          <w:b/>
          <w:bCs/>
          <w:sz w:val="36"/>
          <w:szCs w:val="36"/>
        </w:rPr>
        <w:t>and material</w:t>
      </w:r>
      <w:r w:rsidRPr="00935DC1">
        <w:rPr>
          <w:b/>
          <w:bCs/>
          <w:sz w:val="36"/>
          <w:szCs w:val="36"/>
        </w:rPr>
        <w:t>:</w:t>
      </w:r>
      <w:r w:rsidRPr="00935DC1">
        <w:rPr>
          <w:sz w:val="36"/>
          <w:szCs w:val="36"/>
        </w:rPr>
        <w:t xml:space="preserve">  </w:t>
      </w:r>
    </w:p>
    <w:p w14:paraId="2D9D074A" w14:textId="77777777" w:rsidR="00ED12FC" w:rsidRDefault="00ED12FC" w:rsidP="00ED12FC"/>
    <w:p w14:paraId="2A01787D" w14:textId="0C3BC668" w:rsidR="00C7147D" w:rsidRPr="00252563" w:rsidRDefault="00C7147D" w:rsidP="00ED12FC">
      <w:pPr>
        <w:rPr>
          <w:rFonts w:asciiTheme="majorBidi" w:hAnsiTheme="majorBidi" w:cstheme="majorBidi"/>
          <w:sz w:val="32"/>
          <w:szCs w:val="32"/>
        </w:rPr>
      </w:pPr>
      <w:r w:rsidRPr="00252563">
        <w:rPr>
          <w:rFonts w:asciiTheme="majorBidi" w:eastAsia="Times New Roman" w:hAnsiTheme="majorBidi" w:cstheme="majorBidi"/>
          <w:sz w:val="28"/>
          <w:szCs w:val="28"/>
        </w:rPr>
        <w:t xml:space="preserve">Materials: gloves – urine sample – urine centrifuge strip- slide cover - microscope - handle - Bunsen burner - culture </w:t>
      </w:r>
      <w:r w:rsidR="00935DC1" w:rsidRPr="00252563">
        <w:rPr>
          <w:rFonts w:asciiTheme="majorBidi" w:eastAsia="Times New Roman" w:hAnsiTheme="majorBidi" w:cstheme="majorBidi"/>
          <w:sz w:val="28"/>
          <w:szCs w:val="28"/>
        </w:rPr>
        <w:t>–</w:t>
      </w:r>
      <w:r w:rsidRPr="00252563">
        <w:rPr>
          <w:rFonts w:asciiTheme="majorBidi" w:eastAsia="Times New Roman" w:hAnsiTheme="majorBidi" w:cstheme="majorBidi"/>
          <w:sz w:val="28"/>
          <w:szCs w:val="28"/>
        </w:rPr>
        <w:t xml:space="preserve"> </w:t>
      </w:r>
      <w:r w:rsidR="00935DC1" w:rsidRPr="00252563">
        <w:rPr>
          <w:rFonts w:asciiTheme="majorBidi" w:eastAsia="Times New Roman" w:hAnsiTheme="majorBidi" w:cstheme="majorBidi"/>
          <w:sz w:val="28"/>
          <w:szCs w:val="28"/>
        </w:rPr>
        <w:t xml:space="preserve">the </w:t>
      </w:r>
      <w:r w:rsidRPr="00252563">
        <w:rPr>
          <w:rFonts w:asciiTheme="majorBidi" w:eastAsia="Times New Roman" w:hAnsiTheme="majorBidi" w:cstheme="majorBidi"/>
          <w:sz w:val="28"/>
          <w:szCs w:val="28"/>
        </w:rPr>
        <w:t>incubator - antibiotic probes</w:t>
      </w:r>
    </w:p>
    <w:p w14:paraId="7C2D6FA8" w14:textId="403AC76D" w:rsidR="00ED12FC" w:rsidRPr="00252563" w:rsidRDefault="00ED12FC" w:rsidP="00ED12FC">
      <w:pPr>
        <w:rPr>
          <w:rFonts w:asciiTheme="majorBidi" w:hAnsiTheme="majorBidi" w:cstheme="majorBidi"/>
          <w:sz w:val="28"/>
          <w:szCs w:val="28"/>
        </w:rPr>
      </w:pPr>
      <w:r w:rsidRPr="00252563">
        <w:rPr>
          <w:rFonts w:asciiTheme="majorBidi" w:hAnsiTheme="majorBidi" w:cstheme="majorBidi"/>
          <w:sz w:val="28"/>
          <w:szCs w:val="28"/>
        </w:rPr>
        <w:t>A calibrated wire loop is flammable, slide it vertically (the loop) to allow urine to attach to the loop's head. Remove the loop and place it on the agar plate to allow urine to spread. Take an irritating wire loop and vertically mix it with urine. Place it on a separate plate. Incubate for 24 hours at 37 degrees Fahrenheit. To determine the number per ml, multiply the CFU by 1000 if the loop used was 0.001ml, or by 100 if the loop used was 0.01ml</w:t>
      </w:r>
    </w:p>
    <w:p w14:paraId="76216EB3" w14:textId="3BC9CDC8" w:rsidR="00ED12FC" w:rsidRPr="00252563" w:rsidRDefault="00ED12FC" w:rsidP="00ED12FC">
      <w:pPr>
        <w:rPr>
          <w:rFonts w:asciiTheme="majorBidi" w:hAnsiTheme="majorBidi" w:cstheme="majorBidi"/>
          <w:sz w:val="28"/>
          <w:szCs w:val="28"/>
          <w:rtl/>
        </w:rPr>
      </w:pPr>
      <w:r w:rsidRPr="00252563">
        <w:rPr>
          <w:rFonts w:asciiTheme="majorBidi" w:hAnsiTheme="majorBidi" w:cstheme="majorBidi"/>
          <w:sz w:val="36"/>
          <w:szCs w:val="36"/>
        </w:rPr>
        <w:t xml:space="preserve">The choice of media used in urine </w:t>
      </w:r>
      <w:proofErr w:type="gramStart"/>
      <w:r w:rsidRPr="00252563">
        <w:rPr>
          <w:rFonts w:asciiTheme="majorBidi" w:hAnsiTheme="majorBidi" w:cstheme="majorBidi"/>
          <w:sz w:val="36"/>
          <w:szCs w:val="36"/>
        </w:rPr>
        <w:t xml:space="preserve">culture </w:t>
      </w:r>
      <w:r w:rsidRPr="00252563">
        <w:rPr>
          <w:rFonts w:asciiTheme="majorBidi" w:hAnsiTheme="majorBidi" w:cstheme="majorBidi"/>
          <w:sz w:val="28"/>
          <w:szCs w:val="28"/>
        </w:rPr>
        <w:t>:</w:t>
      </w:r>
      <w:proofErr w:type="gramEnd"/>
    </w:p>
    <w:p w14:paraId="7BA0ADCD" w14:textId="77777777" w:rsidR="00ED12FC" w:rsidRPr="00252563" w:rsidRDefault="00ED12FC" w:rsidP="00935DC1">
      <w:pPr>
        <w:pStyle w:val="a4"/>
        <w:ind w:left="1080"/>
        <w:jc w:val="right"/>
        <w:rPr>
          <w:rFonts w:asciiTheme="majorBidi" w:hAnsiTheme="majorBidi" w:cstheme="majorBidi"/>
          <w:sz w:val="28"/>
          <w:szCs w:val="28"/>
          <w:rtl/>
        </w:rPr>
      </w:pPr>
      <w:r w:rsidRPr="00252563">
        <w:rPr>
          <w:rFonts w:asciiTheme="majorBidi" w:hAnsiTheme="majorBidi" w:cstheme="majorBidi"/>
          <w:color w:val="1D1B11" w:themeColor="background2" w:themeShade="1A"/>
          <w:sz w:val="28"/>
          <w:szCs w:val="28"/>
        </w:rPr>
        <w:t>1</w:t>
      </w:r>
      <w:r w:rsidRPr="00252563">
        <w:rPr>
          <w:rFonts w:asciiTheme="majorBidi" w:hAnsiTheme="majorBidi" w:cstheme="majorBidi"/>
          <w:color w:val="1D1B11" w:themeColor="background2" w:themeShade="1A"/>
          <w:sz w:val="32"/>
          <w:szCs w:val="32"/>
        </w:rPr>
        <w:t>- 5% sheep blood agar plate</w:t>
      </w:r>
      <w:r w:rsidRPr="00252563">
        <w:rPr>
          <w:rFonts w:asciiTheme="majorBidi" w:hAnsiTheme="majorBidi" w:cstheme="majorBidi"/>
          <w:sz w:val="32"/>
          <w:szCs w:val="32"/>
        </w:rPr>
        <w:t>: Blood agar is an enriched medium that is commonly used to grow fastidious organisms and to distinguish bacteria based on their hemolytic characteristics</w:t>
      </w:r>
      <w:r w:rsidRPr="00252563">
        <w:rPr>
          <w:rFonts w:asciiTheme="majorBidi" w:hAnsiTheme="majorBidi" w:cstheme="majorBidi"/>
          <w:sz w:val="28"/>
          <w:szCs w:val="28"/>
          <w:rtl/>
        </w:rPr>
        <w:t>.</w:t>
      </w:r>
    </w:p>
    <w:p w14:paraId="5E389D83" w14:textId="77777777" w:rsidR="00ED12FC" w:rsidRPr="00252563" w:rsidRDefault="00ED12FC" w:rsidP="00ED12FC">
      <w:pPr>
        <w:pStyle w:val="a4"/>
        <w:ind w:left="1080"/>
        <w:rPr>
          <w:rFonts w:asciiTheme="majorBidi" w:hAnsiTheme="majorBidi" w:cstheme="majorBidi"/>
          <w:sz w:val="28"/>
          <w:szCs w:val="28"/>
        </w:rPr>
      </w:pPr>
    </w:p>
    <w:p w14:paraId="1DF26C62" w14:textId="77777777" w:rsidR="009D4B1C" w:rsidRPr="00252563" w:rsidRDefault="00ED12FC" w:rsidP="00935DC1">
      <w:pPr>
        <w:pStyle w:val="a4"/>
        <w:ind w:left="1080"/>
        <w:jc w:val="right"/>
        <w:rPr>
          <w:rFonts w:asciiTheme="majorBidi" w:hAnsiTheme="majorBidi" w:cstheme="majorBidi"/>
          <w:sz w:val="28"/>
          <w:szCs w:val="28"/>
          <w:rtl/>
        </w:rPr>
      </w:pPr>
      <w:r w:rsidRPr="00252563">
        <w:rPr>
          <w:rFonts w:asciiTheme="majorBidi" w:hAnsiTheme="majorBidi" w:cstheme="majorBidi"/>
          <w:sz w:val="28"/>
          <w:szCs w:val="28"/>
        </w:rPr>
        <w:t xml:space="preserve">2- </w:t>
      </w:r>
      <w:r w:rsidRPr="00252563">
        <w:rPr>
          <w:rFonts w:asciiTheme="majorBidi" w:hAnsiTheme="majorBidi" w:cstheme="majorBidi"/>
          <w:sz w:val="32"/>
          <w:szCs w:val="32"/>
        </w:rPr>
        <w:t>MacConkey agar plate</w:t>
      </w:r>
      <w:r w:rsidRPr="00252563">
        <w:rPr>
          <w:rFonts w:asciiTheme="majorBidi" w:hAnsiTheme="majorBidi" w:cstheme="majorBidi"/>
          <w:sz w:val="28"/>
          <w:szCs w:val="28"/>
        </w:rPr>
        <w:t>: crystal violet color, bile salts, lactose, and neutral red are just a few examples (pH indicator). Gram-positive bacteria are inhibited by crystal violet dye and bile salts. On MAC agar, only gram-negative bacteria can form colonies</w:t>
      </w:r>
    </w:p>
    <w:p w14:paraId="492C190C" w14:textId="77777777" w:rsidR="00935DC1" w:rsidRDefault="00935DC1" w:rsidP="007815CE">
      <w:pPr>
        <w:rPr>
          <w:b/>
          <w:bCs/>
          <w:sz w:val="36"/>
          <w:szCs w:val="36"/>
        </w:rPr>
      </w:pPr>
    </w:p>
    <w:p w14:paraId="75891A41" w14:textId="67D86B96" w:rsidR="007815CE" w:rsidRPr="004A20D6" w:rsidRDefault="007815CE" w:rsidP="007815CE">
      <w:pPr>
        <w:rPr>
          <w:sz w:val="28"/>
          <w:szCs w:val="28"/>
          <w:rtl/>
        </w:rPr>
      </w:pPr>
      <w:proofErr w:type="gramStart"/>
      <w:r w:rsidRPr="00935DC1">
        <w:rPr>
          <w:b/>
          <w:bCs/>
          <w:sz w:val="36"/>
          <w:szCs w:val="36"/>
        </w:rPr>
        <w:t>Procedure  :</w:t>
      </w:r>
      <w:proofErr w:type="gramEnd"/>
      <w:r w:rsidRPr="004A20D6">
        <w:rPr>
          <w:sz w:val="28"/>
          <w:szCs w:val="28"/>
        </w:rPr>
        <w:t xml:space="preserve"> </w:t>
      </w:r>
    </w:p>
    <w:p w14:paraId="27C131EA" w14:textId="11DCA900" w:rsidR="007815CE" w:rsidRPr="00252563" w:rsidRDefault="007815CE" w:rsidP="007815CE">
      <w:pPr>
        <w:rPr>
          <w:rFonts w:asciiTheme="majorBidi" w:hAnsiTheme="majorBidi" w:cstheme="majorBidi"/>
          <w:sz w:val="28"/>
          <w:szCs w:val="28"/>
          <w:rtl/>
        </w:rPr>
      </w:pPr>
      <w:r w:rsidRPr="00252563">
        <w:rPr>
          <w:rFonts w:asciiTheme="majorBidi" w:hAnsiTheme="majorBidi" w:cstheme="majorBidi"/>
          <w:sz w:val="28"/>
          <w:szCs w:val="28"/>
        </w:rPr>
        <w:t xml:space="preserve">A flamed calibrated wire loop, a urine sample from the patient obtained by urethral catheterization or suprapubic aspiration, and blood agar culture, which is an </w:t>
      </w:r>
      <w:r w:rsidRPr="00252563">
        <w:rPr>
          <w:rFonts w:asciiTheme="majorBidi" w:hAnsiTheme="majorBidi" w:cstheme="majorBidi"/>
          <w:sz w:val="28"/>
          <w:szCs w:val="28"/>
        </w:rPr>
        <w:lastRenderedPageBreak/>
        <w:t xml:space="preserve">enriched media to which mammalian blood has been added [6], as well as MacConkey agar, named after bacteriologist Alfred T. MacConkey, were used. Only gram-negative bacteria thrive in this environment. Count colonies by colony-forming units (CFUs) per </w:t>
      </w:r>
      <w:r w:rsidR="00C51A43" w:rsidRPr="00252563">
        <w:rPr>
          <w:rFonts w:asciiTheme="majorBidi" w:hAnsiTheme="majorBidi" w:cstheme="majorBidi"/>
          <w:sz w:val="28"/>
          <w:szCs w:val="28"/>
        </w:rPr>
        <w:t>millilitre</w:t>
      </w:r>
      <w:r w:rsidRPr="00252563">
        <w:rPr>
          <w:rFonts w:asciiTheme="majorBidi" w:hAnsiTheme="majorBidi" w:cstheme="majorBidi"/>
          <w:sz w:val="28"/>
          <w:szCs w:val="28"/>
        </w:rPr>
        <w:t xml:space="preserve"> after a day of incubation. If there is little or no growth on the agar after 24-48 hours, consider the urine sample to be negative</w:t>
      </w:r>
    </w:p>
    <w:p w14:paraId="213EE060" w14:textId="72139EEF" w:rsidR="006B72AB" w:rsidRPr="00935DC1" w:rsidRDefault="006B72AB" w:rsidP="00CC411F">
      <w:pPr>
        <w:bidi/>
        <w:rPr>
          <w:sz w:val="24"/>
          <w:szCs w:val="24"/>
        </w:rPr>
      </w:pPr>
    </w:p>
    <w:tbl>
      <w:tblPr>
        <w:tblW w:w="80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59"/>
        <w:gridCol w:w="1030"/>
        <w:gridCol w:w="1030"/>
        <w:gridCol w:w="1030"/>
        <w:gridCol w:w="1030"/>
        <w:gridCol w:w="1030"/>
        <w:gridCol w:w="1030"/>
      </w:tblGrid>
      <w:tr w:rsidR="006B72AB" w:rsidRPr="006B72AB" w14:paraId="23E9B335" w14:textId="77777777">
        <w:trPr>
          <w:cantSplit/>
        </w:trPr>
        <w:tc>
          <w:tcPr>
            <w:tcW w:w="8033" w:type="dxa"/>
            <w:gridSpan w:val="7"/>
            <w:tcBorders>
              <w:top w:val="nil"/>
              <w:left w:val="nil"/>
              <w:bottom w:val="nil"/>
              <w:right w:val="nil"/>
            </w:tcBorders>
            <w:shd w:val="clear" w:color="auto" w:fill="FFFFFF"/>
            <w:vAlign w:val="center"/>
          </w:tcPr>
          <w:p w14:paraId="74239ECE"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56BBD029"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35EBE6E8"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26A669A0"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75C7DECD"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224E630B"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413E694E"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395BA169"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01D72FD5" w14:textId="0BCC59F2" w:rsidR="00ED12FC" w:rsidRDefault="00ED12FC" w:rsidP="00ED12FC">
            <w:pPr>
              <w:autoSpaceDE w:val="0"/>
              <w:autoSpaceDN w:val="0"/>
              <w:adjustRightInd w:val="0"/>
              <w:spacing w:after="0" w:line="320" w:lineRule="atLeast"/>
              <w:ind w:right="60"/>
              <w:rPr>
                <w:rFonts w:ascii="Arial" w:hAnsi="Arial" w:cs="Arial"/>
                <w:b/>
                <w:bCs/>
                <w:color w:val="010205"/>
              </w:rPr>
            </w:pPr>
            <w:r w:rsidRPr="006B72AB">
              <w:rPr>
                <w:rFonts w:ascii="Arial" w:hAnsi="Arial" w:cs="Arial"/>
                <w:b/>
                <w:bCs/>
                <w:color w:val="010205"/>
              </w:rPr>
              <w:t>Chi-Square Tests</w:t>
            </w:r>
          </w:p>
          <w:p w14:paraId="7BABC2A6"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3EFE2A8A" w14:textId="77777777" w:rsidR="00ED12FC" w:rsidRDefault="00ED12FC" w:rsidP="00ED12FC">
            <w:pPr>
              <w:autoSpaceDE w:val="0"/>
              <w:autoSpaceDN w:val="0"/>
              <w:adjustRightInd w:val="0"/>
              <w:spacing w:after="0" w:line="320" w:lineRule="atLeast"/>
              <w:ind w:right="60"/>
              <w:rPr>
                <w:rFonts w:ascii="Arial" w:hAnsi="Arial" w:cs="Arial"/>
                <w:b/>
                <w:bCs/>
                <w:color w:val="010205"/>
              </w:rPr>
            </w:pPr>
          </w:p>
          <w:p w14:paraId="04329779" w14:textId="07576659" w:rsidR="006B72AB" w:rsidRPr="006B72AB" w:rsidRDefault="006B72AB" w:rsidP="00ED12FC">
            <w:pPr>
              <w:autoSpaceDE w:val="0"/>
              <w:autoSpaceDN w:val="0"/>
              <w:adjustRightInd w:val="0"/>
              <w:spacing w:after="0" w:line="320" w:lineRule="atLeast"/>
              <w:ind w:right="60"/>
              <w:rPr>
                <w:rFonts w:ascii="Arial" w:hAnsi="Arial" w:cs="Arial"/>
                <w:color w:val="010205"/>
              </w:rPr>
            </w:pPr>
            <w:r w:rsidRPr="006B72AB">
              <w:rPr>
                <w:rFonts w:ascii="Arial" w:hAnsi="Arial" w:cs="Arial"/>
                <w:b/>
                <w:bCs/>
                <w:color w:val="010205"/>
              </w:rPr>
              <w:t>Case Processing Summary</w:t>
            </w:r>
          </w:p>
        </w:tc>
      </w:tr>
      <w:tr w:rsidR="006B72AB" w:rsidRPr="006B72AB" w14:paraId="3518FD45" w14:textId="77777777">
        <w:trPr>
          <w:cantSplit/>
        </w:trPr>
        <w:tc>
          <w:tcPr>
            <w:tcW w:w="1859" w:type="dxa"/>
            <w:vMerge w:val="restart"/>
            <w:tcBorders>
              <w:top w:val="nil"/>
              <w:left w:val="nil"/>
              <w:bottom w:val="nil"/>
              <w:right w:val="nil"/>
            </w:tcBorders>
            <w:shd w:val="clear" w:color="auto" w:fill="FFFFFF"/>
            <w:vAlign w:val="bottom"/>
          </w:tcPr>
          <w:p w14:paraId="578CBF36"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6174" w:type="dxa"/>
            <w:gridSpan w:val="6"/>
            <w:tcBorders>
              <w:top w:val="nil"/>
              <w:left w:val="nil"/>
              <w:bottom w:val="nil"/>
              <w:right w:val="nil"/>
            </w:tcBorders>
            <w:shd w:val="clear" w:color="auto" w:fill="FFFFFF"/>
            <w:vAlign w:val="bottom"/>
          </w:tcPr>
          <w:p w14:paraId="4D9054FB"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Cases</w:t>
            </w:r>
          </w:p>
        </w:tc>
      </w:tr>
      <w:tr w:rsidR="006B72AB" w:rsidRPr="006B72AB" w14:paraId="7DE498D3" w14:textId="77777777">
        <w:trPr>
          <w:cantSplit/>
        </w:trPr>
        <w:tc>
          <w:tcPr>
            <w:tcW w:w="1859" w:type="dxa"/>
            <w:vMerge/>
            <w:tcBorders>
              <w:top w:val="nil"/>
              <w:left w:val="nil"/>
              <w:bottom w:val="nil"/>
              <w:right w:val="nil"/>
            </w:tcBorders>
            <w:shd w:val="clear" w:color="auto" w:fill="FFFFFF"/>
            <w:vAlign w:val="bottom"/>
          </w:tcPr>
          <w:p w14:paraId="1AB922F9"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2058" w:type="dxa"/>
            <w:gridSpan w:val="2"/>
            <w:tcBorders>
              <w:top w:val="nil"/>
              <w:left w:val="nil"/>
              <w:bottom w:val="nil"/>
              <w:right w:val="nil"/>
            </w:tcBorders>
            <w:shd w:val="clear" w:color="auto" w:fill="FFFFFF"/>
            <w:vAlign w:val="bottom"/>
          </w:tcPr>
          <w:p w14:paraId="4B7F7B4E"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Valid</w:t>
            </w:r>
          </w:p>
        </w:tc>
        <w:tc>
          <w:tcPr>
            <w:tcW w:w="2058" w:type="dxa"/>
            <w:gridSpan w:val="2"/>
            <w:tcBorders>
              <w:top w:val="nil"/>
              <w:left w:val="single" w:sz="8" w:space="0" w:color="E0E0E0"/>
              <w:bottom w:val="nil"/>
              <w:right w:val="nil"/>
            </w:tcBorders>
            <w:shd w:val="clear" w:color="auto" w:fill="FFFFFF"/>
            <w:vAlign w:val="bottom"/>
          </w:tcPr>
          <w:p w14:paraId="74AA38CC"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Missing</w:t>
            </w:r>
          </w:p>
        </w:tc>
        <w:tc>
          <w:tcPr>
            <w:tcW w:w="2058" w:type="dxa"/>
            <w:gridSpan w:val="2"/>
            <w:tcBorders>
              <w:top w:val="nil"/>
              <w:left w:val="single" w:sz="8" w:space="0" w:color="E0E0E0"/>
              <w:bottom w:val="nil"/>
              <w:right w:val="nil"/>
            </w:tcBorders>
            <w:shd w:val="clear" w:color="auto" w:fill="FFFFFF"/>
            <w:vAlign w:val="bottom"/>
          </w:tcPr>
          <w:p w14:paraId="4151E5AB"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6B72AB" w:rsidRPr="006B72AB" w14:paraId="3CCE9E10" w14:textId="77777777">
        <w:trPr>
          <w:cantSplit/>
        </w:trPr>
        <w:tc>
          <w:tcPr>
            <w:tcW w:w="1859" w:type="dxa"/>
            <w:vMerge/>
            <w:tcBorders>
              <w:top w:val="nil"/>
              <w:left w:val="nil"/>
              <w:bottom w:val="nil"/>
              <w:right w:val="nil"/>
            </w:tcBorders>
            <w:shd w:val="clear" w:color="auto" w:fill="FFFFFF"/>
            <w:vAlign w:val="bottom"/>
          </w:tcPr>
          <w:p w14:paraId="45C7D056"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14:paraId="1D904C7C"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14:paraId="43D2F156"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E81443D"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14:paraId="1023A364"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23FF4E4"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w:t>
            </w:r>
          </w:p>
        </w:tc>
        <w:tc>
          <w:tcPr>
            <w:tcW w:w="1029" w:type="dxa"/>
            <w:tcBorders>
              <w:top w:val="nil"/>
              <w:left w:val="single" w:sz="8" w:space="0" w:color="E0E0E0"/>
              <w:bottom w:val="single" w:sz="8" w:space="0" w:color="152935"/>
              <w:right w:val="nil"/>
            </w:tcBorders>
            <w:shd w:val="clear" w:color="auto" w:fill="FFFFFF"/>
            <w:vAlign w:val="bottom"/>
          </w:tcPr>
          <w:p w14:paraId="2AA2A632"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Percent</w:t>
            </w:r>
          </w:p>
        </w:tc>
      </w:tr>
      <w:tr w:rsidR="006B72AB" w:rsidRPr="006B72AB" w14:paraId="4A402CB0" w14:textId="77777777">
        <w:trPr>
          <w:cantSplit/>
        </w:trPr>
        <w:tc>
          <w:tcPr>
            <w:tcW w:w="1859" w:type="dxa"/>
            <w:tcBorders>
              <w:top w:val="single" w:sz="8" w:space="0" w:color="152935"/>
              <w:left w:val="nil"/>
              <w:bottom w:val="single" w:sz="8" w:space="0" w:color="152935"/>
              <w:right w:val="nil"/>
            </w:tcBorders>
            <w:shd w:val="clear" w:color="auto" w:fill="E0E0E0"/>
          </w:tcPr>
          <w:p w14:paraId="5D9293BE"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 * UTICATS</w:t>
            </w:r>
          </w:p>
        </w:tc>
        <w:tc>
          <w:tcPr>
            <w:tcW w:w="1029" w:type="dxa"/>
            <w:tcBorders>
              <w:top w:val="single" w:sz="8" w:space="0" w:color="152935"/>
              <w:left w:val="nil"/>
              <w:bottom w:val="single" w:sz="8" w:space="0" w:color="152935"/>
              <w:right w:val="single" w:sz="8" w:space="0" w:color="E0E0E0"/>
            </w:tcBorders>
            <w:shd w:val="clear" w:color="auto" w:fill="FFFFFF"/>
          </w:tcPr>
          <w:p w14:paraId="5B3AC83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14:paraId="79210C2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14:paraId="03DB0F6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152935"/>
              <w:right w:val="nil"/>
            </w:tcBorders>
            <w:shd w:val="clear" w:color="auto" w:fill="FFFFFF"/>
          </w:tcPr>
          <w:p w14:paraId="05EAABED"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152935"/>
              <w:left w:val="single" w:sz="8" w:space="0" w:color="E0E0E0"/>
              <w:bottom w:val="single" w:sz="8" w:space="0" w:color="152935"/>
              <w:right w:val="single" w:sz="8" w:space="0" w:color="E0E0E0"/>
            </w:tcBorders>
            <w:shd w:val="clear" w:color="auto" w:fill="FFFFFF"/>
          </w:tcPr>
          <w:p w14:paraId="16D25DD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029" w:type="dxa"/>
            <w:tcBorders>
              <w:top w:val="single" w:sz="8" w:space="0" w:color="152935"/>
              <w:left w:val="single" w:sz="8" w:space="0" w:color="E0E0E0"/>
              <w:bottom w:val="single" w:sz="8" w:space="0" w:color="152935"/>
              <w:right w:val="nil"/>
            </w:tcBorders>
            <w:shd w:val="clear" w:color="auto" w:fill="FFFFFF"/>
          </w:tcPr>
          <w:p w14:paraId="1F66EA8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14:paraId="1AFF2824" w14:textId="77777777" w:rsidR="006B72AB" w:rsidRPr="006B72AB" w:rsidRDefault="006B72AB" w:rsidP="006B72AB">
      <w:pPr>
        <w:autoSpaceDE w:val="0"/>
        <w:autoSpaceDN w:val="0"/>
        <w:adjustRightInd w:val="0"/>
        <w:spacing w:after="0" w:line="400" w:lineRule="atLeast"/>
        <w:rPr>
          <w:rFonts w:ascii="Times New Roman" w:hAnsi="Times New Roman" w:cs="Times New Roman"/>
          <w:sz w:val="24"/>
          <w:szCs w:val="24"/>
        </w:rPr>
      </w:pPr>
    </w:p>
    <w:p w14:paraId="49B3BC80"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6B72AB" w:rsidRPr="006B72AB" w14:paraId="0DF0BB96" w14:textId="77777777">
        <w:trPr>
          <w:cantSplit/>
        </w:trPr>
        <w:tc>
          <w:tcPr>
            <w:tcW w:w="8803" w:type="dxa"/>
            <w:gridSpan w:val="7"/>
            <w:tcBorders>
              <w:top w:val="nil"/>
              <w:left w:val="nil"/>
              <w:bottom w:val="nil"/>
              <w:right w:val="nil"/>
            </w:tcBorders>
            <w:shd w:val="clear" w:color="auto" w:fill="FFFFFF"/>
            <w:vAlign w:val="center"/>
          </w:tcPr>
          <w:p w14:paraId="0F536906"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010205"/>
              </w:rPr>
            </w:pPr>
            <w:r w:rsidRPr="006B72AB">
              <w:rPr>
                <w:rFonts w:ascii="Arial" w:hAnsi="Arial" w:cs="Arial"/>
                <w:b/>
                <w:bCs/>
                <w:color w:val="010205"/>
              </w:rPr>
              <w:t>Gender * UTICATS Crosstabulation</w:t>
            </w:r>
          </w:p>
        </w:tc>
      </w:tr>
      <w:tr w:rsidR="006B72AB" w:rsidRPr="006B72AB" w14:paraId="37D30FBA" w14:textId="77777777">
        <w:trPr>
          <w:cantSplit/>
        </w:trPr>
        <w:tc>
          <w:tcPr>
            <w:tcW w:w="3672" w:type="dxa"/>
            <w:gridSpan w:val="3"/>
            <w:vMerge w:val="restart"/>
            <w:tcBorders>
              <w:top w:val="nil"/>
              <w:left w:val="nil"/>
              <w:bottom w:val="nil"/>
              <w:right w:val="nil"/>
            </w:tcBorders>
            <w:shd w:val="clear" w:color="auto" w:fill="FFFFFF"/>
            <w:vAlign w:val="bottom"/>
          </w:tcPr>
          <w:p w14:paraId="67592A01"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4102" w:type="dxa"/>
            <w:gridSpan w:val="3"/>
            <w:tcBorders>
              <w:top w:val="nil"/>
              <w:left w:val="nil"/>
              <w:bottom w:val="nil"/>
              <w:right w:val="single" w:sz="8" w:space="0" w:color="E0E0E0"/>
            </w:tcBorders>
            <w:shd w:val="clear" w:color="auto" w:fill="FFFFFF"/>
            <w:vAlign w:val="bottom"/>
          </w:tcPr>
          <w:p w14:paraId="62AD5143" w14:textId="2DC572A6" w:rsidR="006B72AB" w:rsidRPr="006B72AB" w:rsidRDefault="00AB5E3A" w:rsidP="006B72AB">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UTICA</w:t>
            </w:r>
          </w:p>
        </w:tc>
        <w:tc>
          <w:tcPr>
            <w:tcW w:w="1029" w:type="dxa"/>
            <w:vMerge w:val="restart"/>
            <w:tcBorders>
              <w:top w:val="nil"/>
              <w:left w:val="single" w:sz="8" w:space="0" w:color="E0E0E0"/>
              <w:bottom w:val="nil"/>
              <w:right w:val="nil"/>
            </w:tcBorders>
            <w:shd w:val="clear" w:color="auto" w:fill="FFFFFF"/>
            <w:vAlign w:val="bottom"/>
          </w:tcPr>
          <w:p w14:paraId="2E135C92"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6B72AB" w:rsidRPr="006B72AB" w14:paraId="1DE1C254" w14:textId="77777777">
        <w:trPr>
          <w:cantSplit/>
        </w:trPr>
        <w:tc>
          <w:tcPr>
            <w:tcW w:w="3672" w:type="dxa"/>
            <w:gridSpan w:val="3"/>
            <w:vMerge/>
            <w:tcBorders>
              <w:top w:val="nil"/>
              <w:left w:val="nil"/>
              <w:bottom w:val="nil"/>
              <w:right w:val="nil"/>
            </w:tcBorders>
            <w:shd w:val="clear" w:color="auto" w:fill="FFFFFF"/>
            <w:vAlign w:val="bottom"/>
          </w:tcPr>
          <w:p w14:paraId="370F1F5F"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152" w:type="dxa"/>
            <w:tcBorders>
              <w:top w:val="nil"/>
              <w:left w:val="nil"/>
              <w:bottom w:val="single" w:sz="8" w:space="0" w:color="152935"/>
              <w:right w:val="single" w:sz="8" w:space="0" w:color="E0E0E0"/>
            </w:tcBorders>
            <w:shd w:val="clear" w:color="auto" w:fill="FFFFFF"/>
            <w:vAlign w:val="bottom"/>
          </w:tcPr>
          <w:p w14:paraId="5A336051"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0002F758"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5" w:type="dxa"/>
            <w:tcBorders>
              <w:top w:val="nil"/>
              <w:left w:val="single" w:sz="8" w:space="0" w:color="E0E0E0"/>
              <w:bottom w:val="single" w:sz="8" w:space="0" w:color="152935"/>
              <w:right w:val="single" w:sz="8" w:space="0" w:color="E0E0E0"/>
            </w:tcBorders>
            <w:shd w:val="clear" w:color="auto" w:fill="FFFFFF"/>
            <w:vAlign w:val="bottom"/>
          </w:tcPr>
          <w:p w14:paraId="0CD79E5F"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29" w:type="dxa"/>
            <w:vMerge/>
            <w:tcBorders>
              <w:top w:val="nil"/>
              <w:left w:val="single" w:sz="8" w:space="0" w:color="E0E0E0"/>
              <w:bottom w:val="nil"/>
              <w:right w:val="nil"/>
            </w:tcBorders>
            <w:shd w:val="clear" w:color="auto" w:fill="FFFFFF"/>
            <w:vAlign w:val="bottom"/>
          </w:tcPr>
          <w:p w14:paraId="46E36D37"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r>
      <w:tr w:rsidR="006B72AB" w:rsidRPr="006B72AB" w14:paraId="6F936965" w14:textId="77777777">
        <w:trPr>
          <w:cantSplit/>
        </w:trPr>
        <w:tc>
          <w:tcPr>
            <w:tcW w:w="922" w:type="dxa"/>
            <w:vMerge w:val="restart"/>
            <w:tcBorders>
              <w:top w:val="single" w:sz="8" w:space="0" w:color="152935"/>
              <w:left w:val="nil"/>
              <w:bottom w:val="nil"/>
              <w:right w:val="nil"/>
            </w:tcBorders>
            <w:shd w:val="clear" w:color="auto" w:fill="E0E0E0"/>
          </w:tcPr>
          <w:p w14:paraId="78E8C7BC"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14:paraId="1543727B"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3" w:type="dxa"/>
            <w:tcBorders>
              <w:top w:val="single" w:sz="8" w:space="0" w:color="152935"/>
              <w:left w:val="nil"/>
              <w:bottom w:val="single" w:sz="8" w:space="0" w:color="AEAEAE"/>
              <w:right w:val="nil"/>
            </w:tcBorders>
            <w:shd w:val="clear" w:color="auto" w:fill="E0E0E0"/>
          </w:tcPr>
          <w:p w14:paraId="578BA3D6"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152935"/>
              <w:left w:val="nil"/>
              <w:bottom w:val="single" w:sz="8" w:space="0" w:color="AEAEAE"/>
              <w:right w:val="single" w:sz="8" w:space="0" w:color="E0E0E0"/>
            </w:tcBorders>
            <w:shd w:val="clear" w:color="auto" w:fill="FFFFFF"/>
          </w:tcPr>
          <w:p w14:paraId="231929B4"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17619385"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5" w:type="dxa"/>
            <w:tcBorders>
              <w:top w:val="single" w:sz="8" w:space="0" w:color="152935"/>
              <w:left w:val="single" w:sz="8" w:space="0" w:color="E0E0E0"/>
              <w:bottom w:val="single" w:sz="8" w:space="0" w:color="AEAEAE"/>
              <w:right w:val="single" w:sz="8" w:space="0" w:color="E0E0E0"/>
            </w:tcBorders>
            <w:shd w:val="clear" w:color="auto" w:fill="FFFFFF"/>
          </w:tcPr>
          <w:p w14:paraId="1565007A"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29" w:type="dxa"/>
            <w:tcBorders>
              <w:top w:val="single" w:sz="8" w:space="0" w:color="152935"/>
              <w:left w:val="single" w:sz="8" w:space="0" w:color="E0E0E0"/>
              <w:bottom w:val="single" w:sz="8" w:space="0" w:color="AEAEAE"/>
              <w:right w:val="nil"/>
            </w:tcBorders>
            <w:shd w:val="clear" w:color="auto" w:fill="FFFFFF"/>
          </w:tcPr>
          <w:p w14:paraId="5ED013C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6B72AB" w:rsidRPr="006B72AB" w14:paraId="5F120FC6" w14:textId="77777777">
        <w:trPr>
          <w:cantSplit/>
        </w:trPr>
        <w:tc>
          <w:tcPr>
            <w:tcW w:w="922" w:type="dxa"/>
            <w:vMerge/>
            <w:tcBorders>
              <w:top w:val="single" w:sz="8" w:space="0" w:color="152935"/>
              <w:left w:val="nil"/>
              <w:bottom w:val="nil"/>
              <w:right w:val="nil"/>
            </w:tcBorders>
            <w:shd w:val="clear" w:color="auto" w:fill="E0E0E0"/>
          </w:tcPr>
          <w:p w14:paraId="053F3910"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657CC78B"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7F000A31"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3F93ECD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8F0E0E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BEFA7C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74042BD2"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6B72AB" w:rsidRPr="006B72AB" w14:paraId="224F1CBB" w14:textId="77777777">
        <w:trPr>
          <w:cantSplit/>
        </w:trPr>
        <w:tc>
          <w:tcPr>
            <w:tcW w:w="922" w:type="dxa"/>
            <w:vMerge/>
            <w:tcBorders>
              <w:top w:val="single" w:sz="8" w:space="0" w:color="152935"/>
              <w:left w:val="nil"/>
              <w:bottom w:val="nil"/>
              <w:right w:val="nil"/>
            </w:tcBorders>
            <w:shd w:val="clear" w:color="auto" w:fill="E0E0E0"/>
          </w:tcPr>
          <w:p w14:paraId="52F3FBC4"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750E6A10"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4507DC2D"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599687A2"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EDE312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D10CD89"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nil"/>
            </w:tcBorders>
            <w:shd w:val="clear" w:color="auto" w:fill="FFFFFF"/>
          </w:tcPr>
          <w:p w14:paraId="78A9B9F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6B72AB" w:rsidRPr="006B72AB" w14:paraId="0C55CD6B" w14:textId="77777777">
        <w:trPr>
          <w:cantSplit/>
        </w:trPr>
        <w:tc>
          <w:tcPr>
            <w:tcW w:w="922" w:type="dxa"/>
            <w:vMerge/>
            <w:tcBorders>
              <w:top w:val="single" w:sz="8" w:space="0" w:color="152935"/>
              <w:left w:val="nil"/>
              <w:bottom w:val="nil"/>
              <w:right w:val="nil"/>
            </w:tcBorders>
            <w:shd w:val="clear" w:color="auto" w:fill="E0E0E0"/>
          </w:tcPr>
          <w:p w14:paraId="500E052E"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44E987FB"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4E1292F5"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2" w:type="dxa"/>
            <w:tcBorders>
              <w:top w:val="single" w:sz="8" w:space="0" w:color="AEAEAE"/>
              <w:left w:val="nil"/>
              <w:bottom w:val="nil"/>
              <w:right w:val="single" w:sz="8" w:space="0" w:color="E0E0E0"/>
            </w:tcBorders>
            <w:shd w:val="clear" w:color="auto" w:fill="FFFFFF"/>
          </w:tcPr>
          <w:p w14:paraId="399C94A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5" w:type="dxa"/>
            <w:tcBorders>
              <w:top w:val="single" w:sz="8" w:space="0" w:color="AEAEAE"/>
              <w:left w:val="single" w:sz="8" w:space="0" w:color="E0E0E0"/>
              <w:bottom w:val="nil"/>
              <w:right w:val="single" w:sz="8" w:space="0" w:color="E0E0E0"/>
            </w:tcBorders>
            <w:shd w:val="clear" w:color="auto" w:fill="FFFFFF"/>
          </w:tcPr>
          <w:p w14:paraId="46FE8CE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5" w:type="dxa"/>
            <w:tcBorders>
              <w:top w:val="single" w:sz="8" w:space="0" w:color="AEAEAE"/>
              <w:left w:val="single" w:sz="8" w:space="0" w:color="E0E0E0"/>
              <w:bottom w:val="nil"/>
              <w:right w:val="single" w:sz="8" w:space="0" w:color="E0E0E0"/>
            </w:tcBorders>
            <w:shd w:val="clear" w:color="auto" w:fill="FFFFFF"/>
          </w:tcPr>
          <w:p w14:paraId="2E6F438B"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29" w:type="dxa"/>
            <w:tcBorders>
              <w:top w:val="single" w:sz="8" w:space="0" w:color="AEAEAE"/>
              <w:left w:val="single" w:sz="8" w:space="0" w:color="E0E0E0"/>
              <w:bottom w:val="nil"/>
              <w:right w:val="nil"/>
            </w:tcBorders>
            <w:shd w:val="clear" w:color="auto" w:fill="FFFFFF"/>
          </w:tcPr>
          <w:p w14:paraId="7D7F00F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6B72AB" w:rsidRPr="006B72AB" w14:paraId="21B4AC19" w14:textId="77777777">
        <w:trPr>
          <w:cantSplit/>
        </w:trPr>
        <w:tc>
          <w:tcPr>
            <w:tcW w:w="922" w:type="dxa"/>
            <w:vMerge/>
            <w:tcBorders>
              <w:top w:val="single" w:sz="8" w:space="0" w:color="152935"/>
              <w:left w:val="nil"/>
              <w:bottom w:val="nil"/>
              <w:right w:val="nil"/>
            </w:tcBorders>
            <w:shd w:val="clear" w:color="auto" w:fill="E0E0E0"/>
          </w:tcPr>
          <w:p w14:paraId="52B63DBD"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14:paraId="346B5A85"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3" w:type="dxa"/>
            <w:tcBorders>
              <w:top w:val="single" w:sz="8" w:space="0" w:color="AEAEAE"/>
              <w:left w:val="nil"/>
              <w:bottom w:val="single" w:sz="8" w:space="0" w:color="AEAEAE"/>
              <w:right w:val="nil"/>
            </w:tcBorders>
            <w:shd w:val="clear" w:color="auto" w:fill="E0E0E0"/>
          </w:tcPr>
          <w:p w14:paraId="157C7883"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6327E50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C8AE4B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773F9E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47479F3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6B72AB" w:rsidRPr="006B72AB" w14:paraId="2F51B3E8" w14:textId="77777777">
        <w:trPr>
          <w:cantSplit/>
        </w:trPr>
        <w:tc>
          <w:tcPr>
            <w:tcW w:w="922" w:type="dxa"/>
            <w:vMerge/>
            <w:tcBorders>
              <w:top w:val="single" w:sz="8" w:space="0" w:color="152935"/>
              <w:left w:val="nil"/>
              <w:bottom w:val="nil"/>
              <w:right w:val="nil"/>
            </w:tcBorders>
            <w:shd w:val="clear" w:color="auto" w:fill="E0E0E0"/>
          </w:tcPr>
          <w:p w14:paraId="2B3AF2C1"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0F7FAE62"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30519808"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454227B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15FBB71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74AC762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14:paraId="173D8CDD"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6B72AB" w:rsidRPr="006B72AB" w14:paraId="3D9112CC" w14:textId="77777777">
        <w:trPr>
          <w:cantSplit/>
        </w:trPr>
        <w:tc>
          <w:tcPr>
            <w:tcW w:w="922" w:type="dxa"/>
            <w:vMerge/>
            <w:tcBorders>
              <w:top w:val="single" w:sz="8" w:space="0" w:color="152935"/>
              <w:left w:val="nil"/>
              <w:bottom w:val="nil"/>
              <w:right w:val="nil"/>
            </w:tcBorders>
            <w:shd w:val="clear" w:color="auto" w:fill="E0E0E0"/>
          </w:tcPr>
          <w:p w14:paraId="6C6F98E8"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1049DD04"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7CB0A91B"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20547C07"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426DEE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42420CE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29" w:type="dxa"/>
            <w:tcBorders>
              <w:top w:val="single" w:sz="8" w:space="0" w:color="AEAEAE"/>
              <w:left w:val="single" w:sz="8" w:space="0" w:color="E0E0E0"/>
              <w:bottom w:val="single" w:sz="8" w:space="0" w:color="AEAEAE"/>
              <w:right w:val="nil"/>
            </w:tcBorders>
            <w:shd w:val="clear" w:color="auto" w:fill="FFFFFF"/>
          </w:tcPr>
          <w:p w14:paraId="7AF5AA3E"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6B72AB" w:rsidRPr="006B72AB" w14:paraId="2730227C" w14:textId="77777777">
        <w:trPr>
          <w:cantSplit/>
        </w:trPr>
        <w:tc>
          <w:tcPr>
            <w:tcW w:w="922" w:type="dxa"/>
            <w:vMerge/>
            <w:tcBorders>
              <w:top w:val="single" w:sz="8" w:space="0" w:color="152935"/>
              <w:left w:val="nil"/>
              <w:bottom w:val="nil"/>
              <w:right w:val="nil"/>
            </w:tcBorders>
            <w:shd w:val="clear" w:color="auto" w:fill="E0E0E0"/>
          </w:tcPr>
          <w:p w14:paraId="018AE2C5"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482A5E0E"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nil"/>
              <w:right w:val="nil"/>
            </w:tcBorders>
            <w:shd w:val="clear" w:color="auto" w:fill="E0E0E0"/>
          </w:tcPr>
          <w:p w14:paraId="1C672BA9"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2" w:type="dxa"/>
            <w:tcBorders>
              <w:top w:val="single" w:sz="8" w:space="0" w:color="AEAEAE"/>
              <w:left w:val="nil"/>
              <w:bottom w:val="nil"/>
              <w:right w:val="single" w:sz="8" w:space="0" w:color="E0E0E0"/>
            </w:tcBorders>
            <w:shd w:val="clear" w:color="auto" w:fill="FFFFFF"/>
          </w:tcPr>
          <w:p w14:paraId="3D02B8E7"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5" w:type="dxa"/>
            <w:tcBorders>
              <w:top w:val="single" w:sz="8" w:space="0" w:color="AEAEAE"/>
              <w:left w:val="single" w:sz="8" w:space="0" w:color="E0E0E0"/>
              <w:bottom w:val="nil"/>
              <w:right w:val="single" w:sz="8" w:space="0" w:color="E0E0E0"/>
            </w:tcBorders>
            <w:shd w:val="clear" w:color="auto" w:fill="FFFFFF"/>
          </w:tcPr>
          <w:p w14:paraId="2C7C4CD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5" w:type="dxa"/>
            <w:tcBorders>
              <w:top w:val="single" w:sz="8" w:space="0" w:color="AEAEAE"/>
              <w:left w:val="single" w:sz="8" w:space="0" w:color="E0E0E0"/>
              <w:bottom w:val="nil"/>
              <w:right w:val="single" w:sz="8" w:space="0" w:color="E0E0E0"/>
            </w:tcBorders>
            <w:shd w:val="clear" w:color="auto" w:fill="FFFFFF"/>
          </w:tcPr>
          <w:p w14:paraId="379C7C3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nil"/>
              <w:right w:val="nil"/>
            </w:tcBorders>
            <w:shd w:val="clear" w:color="auto" w:fill="FFFFFF"/>
          </w:tcPr>
          <w:p w14:paraId="0955447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6B72AB" w:rsidRPr="006B72AB" w14:paraId="32536F8A" w14:textId="77777777">
        <w:trPr>
          <w:cantSplit/>
        </w:trPr>
        <w:tc>
          <w:tcPr>
            <w:tcW w:w="1859" w:type="dxa"/>
            <w:gridSpan w:val="2"/>
            <w:vMerge w:val="restart"/>
            <w:tcBorders>
              <w:top w:val="single" w:sz="8" w:space="0" w:color="AEAEAE"/>
              <w:left w:val="nil"/>
              <w:bottom w:val="single" w:sz="8" w:space="0" w:color="152935"/>
              <w:right w:val="nil"/>
            </w:tcBorders>
            <w:shd w:val="clear" w:color="auto" w:fill="E0E0E0"/>
          </w:tcPr>
          <w:p w14:paraId="7CA7AAB0"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3" w:type="dxa"/>
            <w:tcBorders>
              <w:top w:val="single" w:sz="8" w:space="0" w:color="AEAEAE"/>
              <w:left w:val="nil"/>
              <w:bottom w:val="single" w:sz="8" w:space="0" w:color="AEAEAE"/>
              <w:right w:val="nil"/>
            </w:tcBorders>
            <w:shd w:val="clear" w:color="auto" w:fill="E0E0E0"/>
          </w:tcPr>
          <w:p w14:paraId="474C1241"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2" w:type="dxa"/>
            <w:tcBorders>
              <w:top w:val="single" w:sz="8" w:space="0" w:color="AEAEAE"/>
              <w:left w:val="nil"/>
              <w:bottom w:val="single" w:sz="8" w:space="0" w:color="AEAEAE"/>
              <w:right w:val="single" w:sz="8" w:space="0" w:color="E0E0E0"/>
            </w:tcBorders>
            <w:shd w:val="clear" w:color="auto" w:fill="FFFFFF"/>
          </w:tcPr>
          <w:p w14:paraId="4C652C3E"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05F1E3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3C160535"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14:paraId="33D2A01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6B72AB" w:rsidRPr="006B72AB" w14:paraId="70C6C2CD" w14:textId="77777777">
        <w:trPr>
          <w:cantSplit/>
        </w:trPr>
        <w:tc>
          <w:tcPr>
            <w:tcW w:w="1859" w:type="dxa"/>
            <w:gridSpan w:val="2"/>
            <w:vMerge/>
            <w:tcBorders>
              <w:top w:val="single" w:sz="8" w:space="0" w:color="AEAEAE"/>
              <w:left w:val="nil"/>
              <w:bottom w:val="single" w:sz="8" w:space="0" w:color="152935"/>
              <w:right w:val="nil"/>
            </w:tcBorders>
            <w:shd w:val="clear" w:color="auto" w:fill="E0E0E0"/>
          </w:tcPr>
          <w:p w14:paraId="45EABFEC"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59D1A2D0"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2" w:type="dxa"/>
            <w:tcBorders>
              <w:top w:val="single" w:sz="8" w:space="0" w:color="AEAEAE"/>
              <w:left w:val="nil"/>
              <w:bottom w:val="single" w:sz="8" w:space="0" w:color="AEAEAE"/>
              <w:right w:val="single" w:sz="8" w:space="0" w:color="E0E0E0"/>
            </w:tcBorders>
            <w:shd w:val="clear" w:color="auto" w:fill="FFFFFF"/>
          </w:tcPr>
          <w:p w14:paraId="5A5FFCD9"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F73F144"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0DFB8EC7"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14:paraId="06A1304E"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6B72AB" w:rsidRPr="006B72AB" w14:paraId="6DB54B3C" w14:textId="77777777">
        <w:trPr>
          <w:cantSplit/>
        </w:trPr>
        <w:tc>
          <w:tcPr>
            <w:tcW w:w="1859" w:type="dxa"/>
            <w:gridSpan w:val="2"/>
            <w:vMerge/>
            <w:tcBorders>
              <w:top w:val="single" w:sz="8" w:space="0" w:color="AEAEAE"/>
              <w:left w:val="nil"/>
              <w:bottom w:val="single" w:sz="8" w:space="0" w:color="152935"/>
              <w:right w:val="nil"/>
            </w:tcBorders>
            <w:shd w:val="clear" w:color="auto" w:fill="E0E0E0"/>
          </w:tcPr>
          <w:p w14:paraId="142C2198"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AEAEAE"/>
              <w:right w:val="nil"/>
            </w:tcBorders>
            <w:shd w:val="clear" w:color="auto" w:fill="E0E0E0"/>
          </w:tcPr>
          <w:p w14:paraId="7C118614"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Gender</w:t>
            </w:r>
          </w:p>
        </w:tc>
        <w:tc>
          <w:tcPr>
            <w:tcW w:w="1152" w:type="dxa"/>
            <w:tcBorders>
              <w:top w:val="single" w:sz="8" w:space="0" w:color="AEAEAE"/>
              <w:left w:val="nil"/>
              <w:bottom w:val="single" w:sz="8" w:space="0" w:color="AEAEAE"/>
              <w:right w:val="single" w:sz="8" w:space="0" w:color="E0E0E0"/>
            </w:tcBorders>
            <w:shd w:val="clear" w:color="auto" w:fill="FFFFFF"/>
          </w:tcPr>
          <w:p w14:paraId="4751A08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21875CCA"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5" w:type="dxa"/>
            <w:tcBorders>
              <w:top w:val="single" w:sz="8" w:space="0" w:color="AEAEAE"/>
              <w:left w:val="single" w:sz="8" w:space="0" w:color="E0E0E0"/>
              <w:bottom w:val="single" w:sz="8" w:space="0" w:color="AEAEAE"/>
              <w:right w:val="single" w:sz="8" w:space="0" w:color="E0E0E0"/>
            </w:tcBorders>
            <w:shd w:val="clear" w:color="auto" w:fill="FFFFFF"/>
          </w:tcPr>
          <w:p w14:paraId="60FF88B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29" w:type="dxa"/>
            <w:tcBorders>
              <w:top w:val="single" w:sz="8" w:space="0" w:color="AEAEAE"/>
              <w:left w:val="single" w:sz="8" w:space="0" w:color="E0E0E0"/>
              <w:bottom w:val="single" w:sz="8" w:space="0" w:color="AEAEAE"/>
              <w:right w:val="nil"/>
            </w:tcBorders>
            <w:shd w:val="clear" w:color="auto" w:fill="FFFFFF"/>
          </w:tcPr>
          <w:p w14:paraId="462DFFA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6B72AB" w:rsidRPr="006B72AB" w14:paraId="05D30EBB" w14:textId="77777777">
        <w:trPr>
          <w:cantSplit/>
        </w:trPr>
        <w:tc>
          <w:tcPr>
            <w:tcW w:w="1859" w:type="dxa"/>
            <w:gridSpan w:val="2"/>
            <w:vMerge/>
            <w:tcBorders>
              <w:top w:val="single" w:sz="8" w:space="0" w:color="AEAEAE"/>
              <w:left w:val="nil"/>
              <w:bottom w:val="single" w:sz="8" w:space="0" w:color="152935"/>
              <w:right w:val="nil"/>
            </w:tcBorders>
            <w:shd w:val="clear" w:color="auto" w:fill="E0E0E0"/>
          </w:tcPr>
          <w:p w14:paraId="5F142505" w14:textId="77777777" w:rsidR="006B72AB" w:rsidRPr="006B72AB" w:rsidRDefault="006B72AB" w:rsidP="006B72AB">
            <w:pPr>
              <w:autoSpaceDE w:val="0"/>
              <w:autoSpaceDN w:val="0"/>
              <w:adjustRightInd w:val="0"/>
              <w:spacing w:after="0" w:line="240" w:lineRule="auto"/>
              <w:rPr>
                <w:rFonts w:ascii="Arial" w:hAnsi="Arial" w:cs="Arial"/>
                <w:color w:val="010205"/>
                <w:sz w:val="18"/>
                <w:szCs w:val="18"/>
              </w:rPr>
            </w:pPr>
          </w:p>
        </w:tc>
        <w:tc>
          <w:tcPr>
            <w:tcW w:w="1813" w:type="dxa"/>
            <w:tcBorders>
              <w:top w:val="single" w:sz="8" w:space="0" w:color="AEAEAE"/>
              <w:left w:val="nil"/>
              <w:bottom w:val="single" w:sz="8" w:space="0" w:color="152935"/>
              <w:right w:val="nil"/>
            </w:tcBorders>
            <w:shd w:val="clear" w:color="auto" w:fill="E0E0E0"/>
          </w:tcPr>
          <w:p w14:paraId="22DD2422"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 xml:space="preserve">% </w:t>
            </w:r>
            <w:proofErr w:type="gramStart"/>
            <w:r w:rsidRPr="006B72AB">
              <w:rPr>
                <w:rFonts w:ascii="Arial" w:hAnsi="Arial" w:cs="Arial"/>
                <w:color w:val="264A60"/>
                <w:sz w:val="18"/>
                <w:szCs w:val="18"/>
              </w:rPr>
              <w:t>within</w:t>
            </w:r>
            <w:proofErr w:type="gramEnd"/>
            <w:r w:rsidRPr="006B72AB">
              <w:rPr>
                <w:rFonts w:ascii="Arial" w:hAnsi="Arial" w:cs="Arial"/>
                <w:color w:val="264A60"/>
                <w:sz w:val="18"/>
                <w:szCs w:val="18"/>
              </w:rPr>
              <w:t xml:space="preserve"> UTICATS</w:t>
            </w:r>
          </w:p>
        </w:tc>
        <w:tc>
          <w:tcPr>
            <w:tcW w:w="1152" w:type="dxa"/>
            <w:tcBorders>
              <w:top w:val="single" w:sz="8" w:space="0" w:color="AEAEAE"/>
              <w:left w:val="nil"/>
              <w:bottom w:val="single" w:sz="8" w:space="0" w:color="152935"/>
              <w:right w:val="single" w:sz="8" w:space="0" w:color="E0E0E0"/>
            </w:tcBorders>
            <w:shd w:val="clear" w:color="auto" w:fill="FFFFFF"/>
          </w:tcPr>
          <w:p w14:paraId="18BFF4B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171C959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5" w:type="dxa"/>
            <w:tcBorders>
              <w:top w:val="single" w:sz="8" w:space="0" w:color="AEAEAE"/>
              <w:left w:val="single" w:sz="8" w:space="0" w:color="E0E0E0"/>
              <w:bottom w:val="single" w:sz="8" w:space="0" w:color="152935"/>
              <w:right w:val="single" w:sz="8" w:space="0" w:color="E0E0E0"/>
            </w:tcBorders>
            <w:shd w:val="clear" w:color="auto" w:fill="FFFFFF"/>
          </w:tcPr>
          <w:p w14:paraId="3EA435D3"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14:paraId="3CB1A35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14:paraId="0CE8C72C" w14:textId="77777777" w:rsidR="006B72AB" w:rsidRPr="006B72AB" w:rsidRDefault="006B72AB" w:rsidP="006B72AB">
      <w:pPr>
        <w:autoSpaceDE w:val="0"/>
        <w:autoSpaceDN w:val="0"/>
        <w:adjustRightInd w:val="0"/>
        <w:spacing w:after="0" w:line="400" w:lineRule="atLeast"/>
        <w:rPr>
          <w:rFonts w:ascii="Times New Roman" w:hAnsi="Times New Roman" w:cs="Times New Roman"/>
          <w:sz w:val="24"/>
          <w:szCs w:val="24"/>
        </w:rPr>
      </w:pPr>
    </w:p>
    <w:p w14:paraId="592D8F0A"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bl>
      <w:tblPr>
        <w:tblpPr w:leftFromText="180" w:rightFromText="180" w:tblpY="420"/>
        <w:tblW w:w="157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66"/>
        <w:gridCol w:w="2411"/>
        <w:gridCol w:w="992"/>
        <w:gridCol w:w="1134"/>
        <w:gridCol w:w="1559"/>
        <w:gridCol w:w="1276"/>
        <w:gridCol w:w="1417"/>
        <w:gridCol w:w="1418"/>
        <w:gridCol w:w="1873"/>
        <w:gridCol w:w="1560"/>
        <w:gridCol w:w="1560"/>
      </w:tblGrid>
      <w:tr w:rsidR="006B72AB" w:rsidRPr="006B72AB" w14:paraId="6D83DA58" w14:textId="77777777" w:rsidTr="006B72AB">
        <w:trPr>
          <w:cantSplit/>
        </w:trPr>
        <w:tc>
          <w:tcPr>
            <w:tcW w:w="15766" w:type="dxa"/>
            <w:gridSpan w:val="11"/>
            <w:tcBorders>
              <w:top w:val="nil"/>
              <w:left w:val="nil"/>
              <w:bottom w:val="nil"/>
              <w:right w:val="nil"/>
            </w:tcBorders>
            <w:shd w:val="clear" w:color="auto" w:fill="FFFFFF"/>
            <w:vAlign w:val="center"/>
          </w:tcPr>
          <w:p w14:paraId="43D56B58" w14:textId="1FE0BD56" w:rsidR="006B72AB" w:rsidRPr="006B72AB" w:rsidRDefault="006B72AB" w:rsidP="006B72AB">
            <w:pPr>
              <w:autoSpaceDE w:val="0"/>
              <w:autoSpaceDN w:val="0"/>
              <w:adjustRightInd w:val="0"/>
              <w:spacing w:after="0" w:line="320" w:lineRule="atLeast"/>
              <w:ind w:left="60" w:right="60"/>
              <w:jc w:val="center"/>
              <w:rPr>
                <w:rFonts w:ascii="Arial" w:hAnsi="Arial" w:cs="Arial"/>
                <w:color w:val="010205"/>
              </w:rPr>
            </w:pPr>
          </w:p>
        </w:tc>
      </w:tr>
      <w:tr w:rsidR="006B72AB" w:rsidRPr="006B72AB" w14:paraId="5152C35F" w14:textId="77777777" w:rsidTr="006B72AB">
        <w:trPr>
          <w:cantSplit/>
        </w:trPr>
        <w:tc>
          <w:tcPr>
            <w:tcW w:w="2977" w:type="dxa"/>
            <w:gridSpan w:val="2"/>
            <w:vMerge w:val="restart"/>
            <w:tcBorders>
              <w:top w:val="nil"/>
              <w:left w:val="nil"/>
              <w:bottom w:val="nil"/>
              <w:right w:val="nil"/>
            </w:tcBorders>
            <w:shd w:val="clear" w:color="auto" w:fill="FFFFFF"/>
            <w:vAlign w:val="bottom"/>
          </w:tcPr>
          <w:p w14:paraId="765C57D4"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992" w:type="dxa"/>
            <w:vMerge w:val="restart"/>
            <w:tcBorders>
              <w:top w:val="nil"/>
              <w:left w:val="nil"/>
              <w:bottom w:val="nil"/>
              <w:right w:val="single" w:sz="8" w:space="0" w:color="E0E0E0"/>
            </w:tcBorders>
            <w:shd w:val="clear" w:color="auto" w:fill="FFFFFF"/>
            <w:vAlign w:val="bottom"/>
          </w:tcPr>
          <w:p w14:paraId="4FA25594"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Value</w:t>
            </w:r>
          </w:p>
        </w:tc>
        <w:tc>
          <w:tcPr>
            <w:tcW w:w="1134" w:type="dxa"/>
            <w:vMerge w:val="restart"/>
            <w:tcBorders>
              <w:top w:val="nil"/>
              <w:left w:val="single" w:sz="8" w:space="0" w:color="E0E0E0"/>
              <w:bottom w:val="nil"/>
              <w:right w:val="single" w:sz="8" w:space="0" w:color="E0E0E0"/>
            </w:tcBorders>
            <w:shd w:val="clear" w:color="auto" w:fill="FFFFFF"/>
            <w:vAlign w:val="bottom"/>
          </w:tcPr>
          <w:p w14:paraId="21B9E875"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proofErr w:type="spellStart"/>
            <w:r w:rsidRPr="006B72AB">
              <w:rPr>
                <w:rFonts w:ascii="Arial" w:hAnsi="Arial" w:cs="Arial"/>
                <w:color w:val="264A60"/>
                <w:sz w:val="18"/>
                <w:szCs w:val="18"/>
              </w:rPr>
              <w:t>df</w:t>
            </w:r>
            <w:proofErr w:type="spellEnd"/>
          </w:p>
        </w:tc>
        <w:tc>
          <w:tcPr>
            <w:tcW w:w="1559" w:type="dxa"/>
            <w:vMerge w:val="restart"/>
            <w:tcBorders>
              <w:top w:val="nil"/>
              <w:left w:val="single" w:sz="8" w:space="0" w:color="E0E0E0"/>
              <w:bottom w:val="nil"/>
              <w:right w:val="single" w:sz="8" w:space="0" w:color="E0E0E0"/>
            </w:tcBorders>
            <w:shd w:val="clear" w:color="auto" w:fill="FFFFFF"/>
            <w:vAlign w:val="bottom"/>
          </w:tcPr>
          <w:p w14:paraId="7417943C"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Asymptotic Significance (2-sided)</w:t>
            </w:r>
          </w:p>
        </w:tc>
        <w:tc>
          <w:tcPr>
            <w:tcW w:w="4111" w:type="dxa"/>
            <w:gridSpan w:val="3"/>
            <w:tcBorders>
              <w:top w:val="nil"/>
              <w:left w:val="single" w:sz="8" w:space="0" w:color="E0E0E0"/>
              <w:bottom w:val="nil"/>
              <w:right w:val="single" w:sz="8" w:space="0" w:color="E0E0E0"/>
            </w:tcBorders>
            <w:shd w:val="clear" w:color="auto" w:fill="FFFFFF"/>
            <w:vAlign w:val="bottom"/>
          </w:tcPr>
          <w:p w14:paraId="479EC9CB"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(2-sided)</w:t>
            </w:r>
          </w:p>
        </w:tc>
        <w:tc>
          <w:tcPr>
            <w:tcW w:w="4993" w:type="dxa"/>
            <w:gridSpan w:val="3"/>
            <w:tcBorders>
              <w:top w:val="nil"/>
              <w:left w:val="single" w:sz="8" w:space="0" w:color="E0E0E0"/>
              <w:bottom w:val="nil"/>
              <w:right w:val="nil"/>
            </w:tcBorders>
            <w:shd w:val="clear" w:color="auto" w:fill="FFFFFF"/>
            <w:vAlign w:val="bottom"/>
          </w:tcPr>
          <w:p w14:paraId="31B03E4C"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Monte Carlo Sig. (1-sided)</w:t>
            </w:r>
          </w:p>
        </w:tc>
      </w:tr>
      <w:tr w:rsidR="006B72AB" w:rsidRPr="006B72AB" w14:paraId="434F8256" w14:textId="77777777" w:rsidTr="006B72AB">
        <w:trPr>
          <w:cantSplit/>
        </w:trPr>
        <w:tc>
          <w:tcPr>
            <w:tcW w:w="2977" w:type="dxa"/>
            <w:gridSpan w:val="2"/>
            <w:vMerge/>
            <w:tcBorders>
              <w:top w:val="nil"/>
              <w:left w:val="nil"/>
              <w:bottom w:val="nil"/>
              <w:right w:val="nil"/>
            </w:tcBorders>
            <w:shd w:val="clear" w:color="auto" w:fill="FFFFFF"/>
            <w:vAlign w:val="bottom"/>
          </w:tcPr>
          <w:p w14:paraId="6F1E0493"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6DA27F46"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0DF994A6"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3AC84D4B"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276" w:type="dxa"/>
            <w:vMerge w:val="restart"/>
            <w:tcBorders>
              <w:top w:val="nil"/>
              <w:left w:val="single" w:sz="8" w:space="0" w:color="E0E0E0"/>
              <w:bottom w:val="nil"/>
              <w:right w:val="single" w:sz="8" w:space="0" w:color="E0E0E0"/>
            </w:tcBorders>
            <w:shd w:val="clear" w:color="auto" w:fill="FFFFFF"/>
            <w:vAlign w:val="bottom"/>
          </w:tcPr>
          <w:p w14:paraId="3149F76F"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2835" w:type="dxa"/>
            <w:gridSpan w:val="2"/>
            <w:tcBorders>
              <w:top w:val="nil"/>
              <w:left w:val="single" w:sz="8" w:space="0" w:color="E0E0E0"/>
              <w:bottom w:val="nil"/>
              <w:right w:val="single" w:sz="8" w:space="0" w:color="E0E0E0"/>
            </w:tcBorders>
            <w:shd w:val="clear" w:color="auto" w:fill="FFFFFF"/>
            <w:vAlign w:val="bottom"/>
          </w:tcPr>
          <w:p w14:paraId="7DA63835"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c>
          <w:tcPr>
            <w:tcW w:w="1873" w:type="dxa"/>
            <w:vMerge w:val="restart"/>
            <w:tcBorders>
              <w:top w:val="nil"/>
              <w:left w:val="single" w:sz="8" w:space="0" w:color="E0E0E0"/>
              <w:bottom w:val="nil"/>
              <w:right w:val="single" w:sz="8" w:space="0" w:color="E0E0E0"/>
            </w:tcBorders>
            <w:shd w:val="clear" w:color="auto" w:fill="FFFFFF"/>
            <w:vAlign w:val="bottom"/>
          </w:tcPr>
          <w:p w14:paraId="6CC7561E"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Significance</w:t>
            </w:r>
          </w:p>
        </w:tc>
        <w:tc>
          <w:tcPr>
            <w:tcW w:w="3120" w:type="dxa"/>
            <w:gridSpan w:val="2"/>
            <w:tcBorders>
              <w:top w:val="nil"/>
              <w:left w:val="single" w:sz="8" w:space="0" w:color="E0E0E0"/>
              <w:bottom w:val="nil"/>
              <w:right w:val="nil"/>
            </w:tcBorders>
            <w:shd w:val="clear" w:color="auto" w:fill="FFFFFF"/>
            <w:vAlign w:val="bottom"/>
          </w:tcPr>
          <w:p w14:paraId="363FA952"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99% Confidence Interval</w:t>
            </w:r>
          </w:p>
        </w:tc>
      </w:tr>
      <w:tr w:rsidR="006B72AB" w:rsidRPr="006B72AB" w14:paraId="55D1C6F8" w14:textId="77777777" w:rsidTr="006B72AB">
        <w:trPr>
          <w:cantSplit/>
        </w:trPr>
        <w:tc>
          <w:tcPr>
            <w:tcW w:w="2977" w:type="dxa"/>
            <w:gridSpan w:val="2"/>
            <w:vMerge/>
            <w:tcBorders>
              <w:top w:val="nil"/>
              <w:left w:val="nil"/>
              <w:bottom w:val="nil"/>
              <w:right w:val="nil"/>
            </w:tcBorders>
            <w:shd w:val="clear" w:color="auto" w:fill="FFFFFF"/>
            <w:vAlign w:val="bottom"/>
          </w:tcPr>
          <w:p w14:paraId="5C47E506"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992" w:type="dxa"/>
            <w:vMerge/>
            <w:tcBorders>
              <w:top w:val="nil"/>
              <w:left w:val="nil"/>
              <w:bottom w:val="nil"/>
              <w:right w:val="single" w:sz="8" w:space="0" w:color="E0E0E0"/>
            </w:tcBorders>
            <w:shd w:val="clear" w:color="auto" w:fill="FFFFFF"/>
            <w:vAlign w:val="bottom"/>
          </w:tcPr>
          <w:p w14:paraId="4D29F178"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134" w:type="dxa"/>
            <w:vMerge/>
            <w:tcBorders>
              <w:top w:val="nil"/>
              <w:left w:val="single" w:sz="8" w:space="0" w:color="E0E0E0"/>
              <w:bottom w:val="nil"/>
              <w:right w:val="single" w:sz="8" w:space="0" w:color="E0E0E0"/>
            </w:tcBorders>
            <w:shd w:val="clear" w:color="auto" w:fill="FFFFFF"/>
            <w:vAlign w:val="bottom"/>
          </w:tcPr>
          <w:p w14:paraId="5D215DB6"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559" w:type="dxa"/>
            <w:vMerge/>
            <w:tcBorders>
              <w:top w:val="nil"/>
              <w:left w:val="single" w:sz="8" w:space="0" w:color="E0E0E0"/>
              <w:bottom w:val="nil"/>
              <w:right w:val="single" w:sz="8" w:space="0" w:color="E0E0E0"/>
            </w:tcBorders>
            <w:shd w:val="clear" w:color="auto" w:fill="FFFFFF"/>
            <w:vAlign w:val="bottom"/>
          </w:tcPr>
          <w:p w14:paraId="6414F624"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276" w:type="dxa"/>
            <w:vMerge/>
            <w:tcBorders>
              <w:top w:val="nil"/>
              <w:left w:val="single" w:sz="8" w:space="0" w:color="E0E0E0"/>
              <w:bottom w:val="nil"/>
              <w:right w:val="single" w:sz="8" w:space="0" w:color="E0E0E0"/>
            </w:tcBorders>
            <w:shd w:val="clear" w:color="auto" w:fill="FFFFFF"/>
            <w:vAlign w:val="bottom"/>
          </w:tcPr>
          <w:p w14:paraId="1333B9EB"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417" w:type="dxa"/>
            <w:tcBorders>
              <w:top w:val="nil"/>
              <w:left w:val="single" w:sz="8" w:space="0" w:color="E0E0E0"/>
              <w:bottom w:val="single" w:sz="8" w:space="0" w:color="152935"/>
              <w:right w:val="single" w:sz="8" w:space="0" w:color="E0E0E0"/>
            </w:tcBorders>
            <w:shd w:val="clear" w:color="auto" w:fill="FFFFFF"/>
            <w:vAlign w:val="bottom"/>
          </w:tcPr>
          <w:p w14:paraId="427022FE"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62FB5412"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c>
          <w:tcPr>
            <w:tcW w:w="1873" w:type="dxa"/>
            <w:vMerge/>
            <w:tcBorders>
              <w:top w:val="nil"/>
              <w:left w:val="single" w:sz="8" w:space="0" w:color="E0E0E0"/>
              <w:bottom w:val="nil"/>
              <w:right w:val="single" w:sz="8" w:space="0" w:color="E0E0E0"/>
            </w:tcBorders>
            <w:shd w:val="clear" w:color="auto" w:fill="FFFFFF"/>
            <w:vAlign w:val="bottom"/>
          </w:tcPr>
          <w:p w14:paraId="5ED522A9" w14:textId="77777777" w:rsidR="006B72AB" w:rsidRPr="006B72AB" w:rsidRDefault="006B72AB" w:rsidP="006B72AB">
            <w:pPr>
              <w:autoSpaceDE w:val="0"/>
              <w:autoSpaceDN w:val="0"/>
              <w:adjustRightInd w:val="0"/>
              <w:spacing w:after="0" w:line="240" w:lineRule="auto"/>
              <w:rPr>
                <w:rFonts w:ascii="Arial" w:hAnsi="Arial" w:cs="Arial"/>
                <w:color w:val="264A60"/>
                <w:sz w:val="18"/>
                <w:szCs w:val="18"/>
              </w:rPr>
            </w:pP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319F8B5B"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Lower Bound</w:t>
            </w:r>
          </w:p>
        </w:tc>
        <w:tc>
          <w:tcPr>
            <w:tcW w:w="1560" w:type="dxa"/>
            <w:tcBorders>
              <w:top w:val="nil"/>
              <w:left w:val="single" w:sz="8" w:space="0" w:color="E0E0E0"/>
              <w:bottom w:val="single" w:sz="8" w:space="0" w:color="152935"/>
              <w:right w:val="nil"/>
            </w:tcBorders>
            <w:shd w:val="clear" w:color="auto" w:fill="FFFFFF"/>
            <w:vAlign w:val="bottom"/>
          </w:tcPr>
          <w:p w14:paraId="50B1F35B" w14:textId="77777777" w:rsidR="006B72AB" w:rsidRPr="006B72AB" w:rsidRDefault="006B72AB" w:rsidP="006B72AB">
            <w:pPr>
              <w:autoSpaceDE w:val="0"/>
              <w:autoSpaceDN w:val="0"/>
              <w:adjustRightInd w:val="0"/>
              <w:spacing w:after="0" w:line="320" w:lineRule="atLeast"/>
              <w:ind w:left="60" w:right="60"/>
              <w:jc w:val="center"/>
              <w:rPr>
                <w:rFonts w:ascii="Arial" w:hAnsi="Arial" w:cs="Arial"/>
                <w:color w:val="264A60"/>
                <w:sz w:val="18"/>
                <w:szCs w:val="18"/>
              </w:rPr>
            </w:pPr>
            <w:r w:rsidRPr="006B72AB">
              <w:rPr>
                <w:rFonts w:ascii="Arial" w:hAnsi="Arial" w:cs="Arial"/>
                <w:color w:val="264A60"/>
                <w:sz w:val="18"/>
                <w:szCs w:val="18"/>
              </w:rPr>
              <w:t>Upper Bound</w:t>
            </w:r>
          </w:p>
        </w:tc>
      </w:tr>
      <w:tr w:rsidR="006B72AB" w:rsidRPr="006B72AB" w14:paraId="22C6BAFB" w14:textId="77777777" w:rsidTr="006B72AB">
        <w:trPr>
          <w:gridBefore w:val="1"/>
          <w:wBefore w:w="566" w:type="dxa"/>
          <w:cantSplit/>
        </w:trPr>
        <w:tc>
          <w:tcPr>
            <w:tcW w:w="2411" w:type="dxa"/>
            <w:tcBorders>
              <w:top w:val="single" w:sz="8" w:space="0" w:color="152935"/>
              <w:left w:val="nil"/>
              <w:bottom w:val="single" w:sz="8" w:space="0" w:color="AEAEAE"/>
              <w:right w:val="nil"/>
            </w:tcBorders>
            <w:shd w:val="clear" w:color="auto" w:fill="E0E0E0"/>
          </w:tcPr>
          <w:p w14:paraId="6BCAFAEC"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Pearson Chi-Square</w:t>
            </w:r>
          </w:p>
        </w:tc>
        <w:tc>
          <w:tcPr>
            <w:tcW w:w="992" w:type="dxa"/>
            <w:tcBorders>
              <w:top w:val="single" w:sz="8" w:space="0" w:color="152935"/>
              <w:left w:val="nil"/>
              <w:bottom w:val="single" w:sz="8" w:space="0" w:color="AEAEAE"/>
              <w:right w:val="single" w:sz="8" w:space="0" w:color="E0E0E0"/>
            </w:tcBorders>
            <w:shd w:val="clear" w:color="auto" w:fill="FFFFFF"/>
          </w:tcPr>
          <w:p w14:paraId="65091FFA"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8.727</w:t>
            </w:r>
            <w:r w:rsidRPr="006B72AB">
              <w:rPr>
                <w:rFonts w:ascii="Arial" w:hAnsi="Arial" w:cs="Arial"/>
                <w:color w:val="010205"/>
                <w:sz w:val="18"/>
                <w:szCs w:val="18"/>
                <w:vertAlign w:val="superscript"/>
              </w:rPr>
              <w:t>a</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2A1C978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559" w:type="dxa"/>
            <w:tcBorders>
              <w:top w:val="single" w:sz="8" w:space="0" w:color="152935"/>
              <w:left w:val="single" w:sz="8" w:space="0" w:color="E0E0E0"/>
              <w:bottom w:val="single" w:sz="8" w:space="0" w:color="AEAEAE"/>
              <w:right w:val="single" w:sz="8" w:space="0" w:color="E0E0E0"/>
            </w:tcBorders>
            <w:shd w:val="clear" w:color="auto" w:fill="FFFFFF"/>
          </w:tcPr>
          <w:p w14:paraId="25EF055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.013</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5DACC3E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14:paraId="47E37072"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7B5D99DB"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873"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0E45B99"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39ACBEE"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152935"/>
              <w:left w:val="single" w:sz="8" w:space="0" w:color="E0E0E0"/>
              <w:bottom w:val="single" w:sz="8" w:space="0" w:color="AEAEAE"/>
              <w:right w:val="nil"/>
            </w:tcBorders>
            <w:shd w:val="clear" w:color="auto" w:fill="FFFFFF"/>
            <w:vAlign w:val="center"/>
          </w:tcPr>
          <w:p w14:paraId="448E5103"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r>
      <w:tr w:rsidR="006B72AB" w:rsidRPr="006B72AB" w14:paraId="09FB6F32" w14:textId="77777777" w:rsidTr="006B72AB">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14:paraId="3CFFEF53"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Likelihood Ratio</w:t>
            </w:r>
          </w:p>
        </w:tc>
        <w:tc>
          <w:tcPr>
            <w:tcW w:w="992" w:type="dxa"/>
            <w:tcBorders>
              <w:top w:val="single" w:sz="8" w:space="0" w:color="AEAEAE"/>
              <w:left w:val="nil"/>
              <w:bottom w:val="single" w:sz="8" w:space="0" w:color="AEAEAE"/>
              <w:right w:val="single" w:sz="8" w:space="0" w:color="E0E0E0"/>
            </w:tcBorders>
            <w:shd w:val="clear" w:color="auto" w:fill="FFFFFF"/>
          </w:tcPr>
          <w:p w14:paraId="418D093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9.949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5AA73016"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5AECA32B"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33C870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.012</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041512A7"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.009</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377954DB"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.015</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44B91446"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B4B9C8C"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6EC1558A"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r>
      <w:tr w:rsidR="006B72AB" w:rsidRPr="006B72AB" w14:paraId="006D998F" w14:textId="77777777" w:rsidTr="006B72AB">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14:paraId="0DE57F8C"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Fisher's Exact Test</w:t>
            </w:r>
          </w:p>
        </w:tc>
        <w:tc>
          <w:tcPr>
            <w:tcW w:w="992" w:type="dxa"/>
            <w:tcBorders>
              <w:top w:val="single" w:sz="8" w:space="0" w:color="AEAEAE"/>
              <w:left w:val="nil"/>
              <w:bottom w:val="single" w:sz="8" w:space="0" w:color="AEAEAE"/>
              <w:right w:val="single" w:sz="8" w:space="0" w:color="E0E0E0"/>
            </w:tcBorders>
            <w:shd w:val="clear" w:color="auto" w:fill="FFFFFF"/>
          </w:tcPr>
          <w:p w14:paraId="385AE20B"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8.180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19EA514"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59"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2FA505"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4DA5F7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.018</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588E6B32"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.014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6AB331C1"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.021</w:t>
            </w:r>
          </w:p>
        </w:tc>
        <w:tc>
          <w:tcPr>
            <w:tcW w:w="187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788BC16"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53A48550"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AEAEAE"/>
              <w:right w:val="nil"/>
            </w:tcBorders>
            <w:shd w:val="clear" w:color="auto" w:fill="FFFFFF"/>
            <w:vAlign w:val="center"/>
          </w:tcPr>
          <w:p w14:paraId="699B2880"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r>
      <w:tr w:rsidR="006B72AB" w:rsidRPr="006B72AB" w14:paraId="493FD44D" w14:textId="77777777" w:rsidTr="006B72AB">
        <w:trPr>
          <w:gridBefore w:val="1"/>
          <w:wBefore w:w="566" w:type="dxa"/>
          <w:cantSplit/>
        </w:trPr>
        <w:tc>
          <w:tcPr>
            <w:tcW w:w="2411" w:type="dxa"/>
            <w:tcBorders>
              <w:top w:val="single" w:sz="8" w:space="0" w:color="AEAEAE"/>
              <w:left w:val="nil"/>
              <w:bottom w:val="single" w:sz="8" w:space="0" w:color="AEAEAE"/>
              <w:right w:val="nil"/>
            </w:tcBorders>
            <w:shd w:val="clear" w:color="auto" w:fill="E0E0E0"/>
          </w:tcPr>
          <w:p w14:paraId="07A8BB60"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Linear-by-Linear Association</w:t>
            </w:r>
          </w:p>
        </w:tc>
        <w:tc>
          <w:tcPr>
            <w:tcW w:w="992" w:type="dxa"/>
            <w:tcBorders>
              <w:top w:val="single" w:sz="8" w:space="0" w:color="AEAEAE"/>
              <w:left w:val="nil"/>
              <w:bottom w:val="single" w:sz="8" w:space="0" w:color="AEAEAE"/>
              <w:right w:val="single" w:sz="8" w:space="0" w:color="E0E0E0"/>
            </w:tcBorders>
            <w:shd w:val="clear" w:color="auto" w:fill="FFFFFF"/>
          </w:tcPr>
          <w:p w14:paraId="6F28FCBC"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8.065</w:t>
            </w:r>
            <w:r w:rsidRPr="006B72AB">
              <w:rPr>
                <w:rFonts w:ascii="Arial" w:hAnsi="Arial" w:cs="Arial"/>
                <w:color w:val="010205"/>
                <w:sz w:val="18"/>
                <w:szCs w:val="18"/>
                <w:vertAlign w:val="superscript"/>
              </w:rPr>
              <w:t>c</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27499BF"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1</w:t>
            </w:r>
          </w:p>
        </w:tc>
        <w:tc>
          <w:tcPr>
            <w:tcW w:w="1559" w:type="dxa"/>
            <w:tcBorders>
              <w:top w:val="single" w:sz="8" w:space="0" w:color="AEAEAE"/>
              <w:left w:val="single" w:sz="8" w:space="0" w:color="E0E0E0"/>
              <w:bottom w:val="single" w:sz="8" w:space="0" w:color="AEAEAE"/>
              <w:right w:val="single" w:sz="8" w:space="0" w:color="E0E0E0"/>
            </w:tcBorders>
            <w:shd w:val="clear" w:color="auto" w:fill="FFFFFF"/>
          </w:tcPr>
          <w:p w14:paraId="1E3ADD6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34B6D10"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.006</w:t>
            </w:r>
            <w:r w:rsidRPr="006B72AB">
              <w:rPr>
                <w:rFonts w:ascii="Arial" w:hAnsi="Arial" w:cs="Arial"/>
                <w:color w:val="010205"/>
                <w:sz w:val="18"/>
                <w:szCs w:val="18"/>
                <w:vertAlign w:val="superscript"/>
              </w:rPr>
              <w:t>b</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0FA3D9B4"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1BE38E8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.008</w:t>
            </w:r>
          </w:p>
        </w:tc>
        <w:tc>
          <w:tcPr>
            <w:tcW w:w="1873" w:type="dxa"/>
            <w:tcBorders>
              <w:top w:val="single" w:sz="8" w:space="0" w:color="AEAEAE"/>
              <w:left w:val="single" w:sz="8" w:space="0" w:color="E0E0E0"/>
              <w:bottom w:val="single" w:sz="8" w:space="0" w:color="AEAEAE"/>
              <w:right w:val="single" w:sz="8" w:space="0" w:color="E0E0E0"/>
            </w:tcBorders>
            <w:shd w:val="clear" w:color="auto" w:fill="FFFFFF"/>
          </w:tcPr>
          <w:p w14:paraId="03DFBD78"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.002</w:t>
            </w:r>
            <w:r w:rsidRPr="006B72AB">
              <w:rPr>
                <w:rFonts w:ascii="Arial" w:hAnsi="Arial" w:cs="Arial"/>
                <w:color w:val="010205"/>
                <w:sz w:val="18"/>
                <w:szCs w:val="18"/>
                <w:vertAlign w:val="superscript"/>
              </w:rPr>
              <w:t>b</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397451B4"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.001</w:t>
            </w:r>
          </w:p>
        </w:tc>
        <w:tc>
          <w:tcPr>
            <w:tcW w:w="1560" w:type="dxa"/>
            <w:tcBorders>
              <w:top w:val="single" w:sz="8" w:space="0" w:color="AEAEAE"/>
              <w:left w:val="single" w:sz="8" w:space="0" w:color="E0E0E0"/>
              <w:bottom w:val="single" w:sz="8" w:space="0" w:color="AEAEAE"/>
              <w:right w:val="nil"/>
            </w:tcBorders>
            <w:shd w:val="clear" w:color="auto" w:fill="FFFFFF"/>
          </w:tcPr>
          <w:p w14:paraId="3E6F2734"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.003</w:t>
            </w:r>
          </w:p>
        </w:tc>
      </w:tr>
      <w:tr w:rsidR="006B72AB" w:rsidRPr="006B72AB" w14:paraId="7882B52C" w14:textId="77777777" w:rsidTr="006B72AB">
        <w:trPr>
          <w:gridBefore w:val="1"/>
          <w:wBefore w:w="566" w:type="dxa"/>
          <w:cantSplit/>
        </w:trPr>
        <w:tc>
          <w:tcPr>
            <w:tcW w:w="2411" w:type="dxa"/>
            <w:tcBorders>
              <w:top w:val="single" w:sz="8" w:space="0" w:color="AEAEAE"/>
              <w:left w:val="nil"/>
              <w:bottom w:val="single" w:sz="8" w:space="0" w:color="152935"/>
              <w:right w:val="nil"/>
            </w:tcBorders>
            <w:shd w:val="clear" w:color="auto" w:fill="E0E0E0"/>
          </w:tcPr>
          <w:p w14:paraId="30C062B8" w14:textId="77777777" w:rsidR="006B72AB" w:rsidRPr="006B72AB" w:rsidRDefault="006B72AB" w:rsidP="006B72AB">
            <w:pPr>
              <w:autoSpaceDE w:val="0"/>
              <w:autoSpaceDN w:val="0"/>
              <w:adjustRightInd w:val="0"/>
              <w:spacing w:after="0" w:line="320" w:lineRule="atLeast"/>
              <w:ind w:left="60" w:right="60"/>
              <w:rPr>
                <w:rFonts w:ascii="Arial" w:hAnsi="Arial" w:cs="Arial"/>
                <w:color w:val="264A60"/>
                <w:sz w:val="18"/>
                <w:szCs w:val="18"/>
              </w:rPr>
            </w:pPr>
            <w:r w:rsidRPr="006B72AB">
              <w:rPr>
                <w:rFonts w:ascii="Arial" w:hAnsi="Arial" w:cs="Arial"/>
                <w:color w:val="264A60"/>
                <w:sz w:val="18"/>
                <w:szCs w:val="18"/>
              </w:rPr>
              <w:t>N of Valid Cases</w:t>
            </w:r>
          </w:p>
        </w:tc>
        <w:tc>
          <w:tcPr>
            <w:tcW w:w="992" w:type="dxa"/>
            <w:tcBorders>
              <w:top w:val="single" w:sz="8" w:space="0" w:color="AEAEAE"/>
              <w:left w:val="nil"/>
              <w:bottom w:val="single" w:sz="8" w:space="0" w:color="152935"/>
              <w:right w:val="single" w:sz="8" w:space="0" w:color="E0E0E0"/>
            </w:tcBorders>
            <w:shd w:val="clear" w:color="auto" w:fill="FFFFFF"/>
          </w:tcPr>
          <w:p w14:paraId="5F97F107" w14:textId="77777777" w:rsidR="006B72AB" w:rsidRPr="006B72AB" w:rsidRDefault="006B72AB" w:rsidP="006B72AB">
            <w:pPr>
              <w:autoSpaceDE w:val="0"/>
              <w:autoSpaceDN w:val="0"/>
              <w:adjustRightInd w:val="0"/>
              <w:spacing w:after="0"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3067E9F"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59"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B3474E1"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276"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6748A6A"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41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FEF0AED"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418"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0832135"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87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019DB285"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19D637A4"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c>
          <w:tcPr>
            <w:tcW w:w="1560" w:type="dxa"/>
            <w:tcBorders>
              <w:top w:val="single" w:sz="8" w:space="0" w:color="AEAEAE"/>
              <w:left w:val="single" w:sz="8" w:space="0" w:color="E0E0E0"/>
              <w:bottom w:val="single" w:sz="8" w:space="0" w:color="152935"/>
              <w:right w:val="nil"/>
            </w:tcBorders>
            <w:shd w:val="clear" w:color="auto" w:fill="FFFFFF"/>
            <w:vAlign w:val="center"/>
          </w:tcPr>
          <w:p w14:paraId="4A213F35" w14:textId="77777777" w:rsidR="006B72AB" w:rsidRPr="006B72AB" w:rsidRDefault="006B72AB" w:rsidP="006B72AB">
            <w:pPr>
              <w:autoSpaceDE w:val="0"/>
              <w:autoSpaceDN w:val="0"/>
              <w:adjustRightInd w:val="0"/>
              <w:spacing w:after="0" w:line="240" w:lineRule="auto"/>
              <w:rPr>
                <w:rFonts w:ascii="Times New Roman" w:hAnsi="Times New Roman" w:cs="Times New Roman"/>
                <w:sz w:val="24"/>
                <w:szCs w:val="24"/>
              </w:rPr>
            </w:pPr>
          </w:p>
        </w:tc>
      </w:tr>
      <w:tr w:rsidR="006B72AB" w:rsidRPr="006B72AB" w14:paraId="7FDB9C99" w14:textId="77777777" w:rsidTr="006B72AB">
        <w:trPr>
          <w:gridBefore w:val="1"/>
          <w:wBefore w:w="566" w:type="dxa"/>
          <w:cantSplit/>
        </w:trPr>
        <w:tc>
          <w:tcPr>
            <w:tcW w:w="15200" w:type="dxa"/>
            <w:gridSpan w:val="10"/>
            <w:tcBorders>
              <w:top w:val="nil"/>
              <w:left w:val="nil"/>
              <w:bottom w:val="nil"/>
              <w:right w:val="nil"/>
            </w:tcBorders>
            <w:shd w:val="clear" w:color="auto" w:fill="FFFFFF"/>
          </w:tcPr>
          <w:p w14:paraId="496D4422" w14:textId="5ACBD804" w:rsidR="006B72AB" w:rsidRPr="006B72AB" w:rsidRDefault="006B72AB" w:rsidP="006B72AB">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 xml:space="preserve">a. 2 cells (33.3%) have </w:t>
            </w:r>
            <w:r w:rsidR="00AB5E3A">
              <w:rPr>
                <w:rFonts w:ascii="Arial" w:hAnsi="Arial" w:cs="Arial"/>
                <w:color w:val="010205"/>
                <w:sz w:val="18"/>
                <w:szCs w:val="18"/>
              </w:rPr>
              <w:t xml:space="preserve">an </w:t>
            </w:r>
            <w:r w:rsidRPr="006B72AB">
              <w:rPr>
                <w:rFonts w:ascii="Arial" w:hAnsi="Arial" w:cs="Arial"/>
                <w:color w:val="010205"/>
                <w:sz w:val="18"/>
                <w:szCs w:val="18"/>
              </w:rPr>
              <w:t xml:space="preserve">expected count </w:t>
            </w:r>
            <w:r w:rsidR="00AB5E3A">
              <w:rPr>
                <w:rFonts w:ascii="Arial" w:hAnsi="Arial" w:cs="Arial"/>
                <w:color w:val="010205"/>
                <w:sz w:val="18"/>
                <w:szCs w:val="18"/>
              </w:rPr>
              <w:t xml:space="preserve">of </w:t>
            </w:r>
            <w:r w:rsidRPr="006B72AB">
              <w:rPr>
                <w:rFonts w:ascii="Arial" w:hAnsi="Arial" w:cs="Arial"/>
                <w:color w:val="010205"/>
                <w:sz w:val="18"/>
                <w:szCs w:val="18"/>
              </w:rPr>
              <w:t>less than 5. The minimum expected count is 1.00.</w:t>
            </w:r>
          </w:p>
        </w:tc>
      </w:tr>
      <w:tr w:rsidR="006B72AB" w:rsidRPr="006B72AB" w14:paraId="3356447E" w14:textId="77777777" w:rsidTr="006B72AB">
        <w:trPr>
          <w:gridBefore w:val="1"/>
          <w:wBefore w:w="566" w:type="dxa"/>
          <w:cantSplit/>
        </w:trPr>
        <w:tc>
          <w:tcPr>
            <w:tcW w:w="15200" w:type="dxa"/>
            <w:gridSpan w:val="10"/>
            <w:tcBorders>
              <w:top w:val="nil"/>
              <w:left w:val="nil"/>
              <w:bottom w:val="nil"/>
              <w:right w:val="nil"/>
            </w:tcBorders>
            <w:shd w:val="clear" w:color="auto" w:fill="FFFFFF"/>
          </w:tcPr>
          <w:p w14:paraId="27138807" w14:textId="77777777" w:rsidR="006B72AB" w:rsidRPr="006B72AB" w:rsidRDefault="006B72AB" w:rsidP="006B72AB">
            <w:pPr>
              <w:autoSpaceDE w:val="0"/>
              <w:autoSpaceDN w:val="0"/>
              <w:adjustRightInd w:val="0"/>
              <w:spacing w:after="0" w:line="320" w:lineRule="atLeast"/>
              <w:ind w:left="60" w:right="60"/>
              <w:rPr>
                <w:rFonts w:ascii="Arial" w:hAnsi="Arial" w:cs="Arial"/>
                <w:color w:val="010205"/>
                <w:sz w:val="18"/>
                <w:szCs w:val="18"/>
              </w:rPr>
            </w:pPr>
            <w:r w:rsidRPr="006B72AB">
              <w:rPr>
                <w:rFonts w:ascii="Arial" w:hAnsi="Arial" w:cs="Arial"/>
                <w:color w:val="010205"/>
                <w:sz w:val="18"/>
                <w:szCs w:val="18"/>
              </w:rPr>
              <w:t>b. Based on 10000 sampled tables with starting seed 2000000.</w:t>
            </w:r>
          </w:p>
        </w:tc>
      </w:tr>
      <w:tr w:rsidR="006B72AB" w:rsidRPr="006B72AB" w14:paraId="6545D840" w14:textId="77777777" w:rsidTr="006B72AB">
        <w:trPr>
          <w:gridBefore w:val="1"/>
          <w:wBefore w:w="566" w:type="dxa"/>
          <w:cantSplit/>
        </w:trPr>
        <w:tc>
          <w:tcPr>
            <w:tcW w:w="15200" w:type="dxa"/>
            <w:gridSpan w:val="10"/>
            <w:tcBorders>
              <w:top w:val="nil"/>
              <w:left w:val="nil"/>
              <w:bottom w:val="nil"/>
              <w:right w:val="nil"/>
            </w:tcBorders>
            <w:shd w:val="clear" w:color="auto" w:fill="FFFFFF"/>
          </w:tcPr>
          <w:p w14:paraId="0F8E6859" w14:textId="77777777" w:rsidR="006B72AB" w:rsidRPr="00ED12FC" w:rsidRDefault="006B72AB" w:rsidP="006B72AB">
            <w:pPr>
              <w:autoSpaceDE w:val="0"/>
              <w:autoSpaceDN w:val="0"/>
              <w:adjustRightInd w:val="0"/>
              <w:spacing w:after="0" w:line="320" w:lineRule="atLeast"/>
              <w:ind w:left="60" w:right="60"/>
              <w:rPr>
                <w:rFonts w:ascii="Arial" w:hAnsi="Arial" w:cs="Arial"/>
                <w:color w:val="010205"/>
                <w:sz w:val="18"/>
                <w:szCs w:val="18"/>
                <w:lang w:val="en-US"/>
              </w:rPr>
            </w:pPr>
            <w:r w:rsidRPr="006B72AB">
              <w:rPr>
                <w:rFonts w:ascii="Arial" w:hAnsi="Arial" w:cs="Arial"/>
                <w:color w:val="010205"/>
                <w:sz w:val="18"/>
                <w:szCs w:val="18"/>
              </w:rPr>
              <w:t>c. The standardized statistic is 2.840.</w:t>
            </w:r>
          </w:p>
        </w:tc>
      </w:tr>
    </w:tbl>
    <w:p w14:paraId="4385F8C0" w14:textId="77777777" w:rsidR="006B72AB" w:rsidRPr="00ED12FC" w:rsidRDefault="006B72AB" w:rsidP="006B72AB">
      <w:pPr>
        <w:autoSpaceDE w:val="0"/>
        <w:autoSpaceDN w:val="0"/>
        <w:adjustRightInd w:val="0"/>
        <w:spacing w:after="0" w:line="400" w:lineRule="atLeast"/>
        <w:rPr>
          <w:rFonts w:ascii="Times New Roman" w:hAnsi="Times New Roman" w:cs="Times New Roman"/>
          <w:sz w:val="24"/>
          <w:szCs w:val="24"/>
          <w:lang w:val="en-US"/>
        </w:rPr>
      </w:pPr>
    </w:p>
    <w:p w14:paraId="05A4AE01" w14:textId="77777777" w:rsidR="00EE47F1" w:rsidRDefault="00EE47F1" w:rsidP="006B72AB">
      <w:pPr>
        <w:autoSpaceDE w:val="0"/>
        <w:autoSpaceDN w:val="0"/>
        <w:adjustRightInd w:val="0"/>
        <w:spacing w:after="0" w:line="400" w:lineRule="atLeast"/>
        <w:rPr>
          <w:rFonts w:ascii="Times New Roman" w:hAnsi="Times New Roman" w:cs="Times New Roman"/>
          <w:sz w:val="24"/>
          <w:szCs w:val="24"/>
        </w:rPr>
      </w:pPr>
    </w:p>
    <w:p w14:paraId="061FD9C2" w14:textId="77777777" w:rsidR="00D57218" w:rsidRDefault="00D57218" w:rsidP="006B72AB">
      <w:pPr>
        <w:autoSpaceDE w:val="0"/>
        <w:autoSpaceDN w:val="0"/>
        <w:adjustRightInd w:val="0"/>
        <w:spacing w:after="0" w:line="400" w:lineRule="atLeast"/>
        <w:rPr>
          <w:rFonts w:ascii="Times New Roman" w:hAnsi="Times New Roman" w:cs="Times New Roman"/>
          <w:sz w:val="24"/>
          <w:szCs w:val="24"/>
        </w:rPr>
      </w:pPr>
    </w:p>
    <w:p w14:paraId="6595F707" w14:textId="77777777" w:rsidR="00D57218" w:rsidRDefault="00D57218" w:rsidP="006B72AB">
      <w:pPr>
        <w:autoSpaceDE w:val="0"/>
        <w:autoSpaceDN w:val="0"/>
        <w:adjustRightInd w:val="0"/>
        <w:spacing w:after="0" w:line="400" w:lineRule="atLeast"/>
        <w:rPr>
          <w:rFonts w:ascii="Times New Roman" w:hAnsi="Times New Roman" w:cs="Times New Roman"/>
          <w:sz w:val="24"/>
          <w:szCs w:val="24"/>
        </w:rPr>
      </w:pPr>
    </w:p>
    <w:p w14:paraId="19B3FE15" w14:textId="0EF19962" w:rsidR="00EE47F1" w:rsidRPr="006B72AB" w:rsidRDefault="00EE47F1" w:rsidP="006B72AB">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Summary table of fisher’s exact test</w:t>
      </w:r>
    </w:p>
    <w:tbl>
      <w:tblPr>
        <w:tblStyle w:val="a3"/>
        <w:tblW w:w="0" w:type="auto"/>
        <w:tblLook w:val="04A0" w:firstRow="1" w:lastRow="0" w:firstColumn="1" w:lastColumn="0" w:noHBand="0" w:noVBand="1"/>
      </w:tblPr>
      <w:tblGrid>
        <w:gridCol w:w="1566"/>
        <w:gridCol w:w="1566"/>
        <w:gridCol w:w="1560"/>
        <w:gridCol w:w="1573"/>
        <w:gridCol w:w="1575"/>
        <w:gridCol w:w="1558"/>
      </w:tblGrid>
      <w:tr w:rsidR="006B72AB" w14:paraId="39269239" w14:textId="77777777" w:rsidTr="006B72AB">
        <w:trPr>
          <w:trHeight w:val="765"/>
        </w:trPr>
        <w:tc>
          <w:tcPr>
            <w:tcW w:w="1604" w:type="dxa"/>
          </w:tcPr>
          <w:p w14:paraId="29273B6E" w14:textId="77777777" w:rsidR="006B72AB" w:rsidRDefault="006B72AB"/>
        </w:tc>
        <w:tc>
          <w:tcPr>
            <w:tcW w:w="1604" w:type="dxa"/>
          </w:tcPr>
          <w:p w14:paraId="611FAF98" w14:textId="77777777" w:rsidR="006B72AB" w:rsidRDefault="006B72AB"/>
        </w:tc>
        <w:tc>
          <w:tcPr>
            <w:tcW w:w="4812" w:type="dxa"/>
            <w:gridSpan w:val="3"/>
          </w:tcPr>
          <w:p w14:paraId="17A042BF" w14:textId="77777777" w:rsidR="006B72AB" w:rsidRDefault="00EE47F1">
            <w:r>
              <w:t>UTI colony forming units</w:t>
            </w:r>
          </w:p>
        </w:tc>
        <w:tc>
          <w:tcPr>
            <w:tcW w:w="1604" w:type="dxa"/>
          </w:tcPr>
          <w:p w14:paraId="7A2D5BC5" w14:textId="77777777" w:rsidR="006B72AB" w:rsidRDefault="00EE47F1">
            <w:r>
              <w:t>p-value</w:t>
            </w:r>
          </w:p>
        </w:tc>
      </w:tr>
      <w:tr w:rsidR="006B72AB" w14:paraId="410FC91E" w14:textId="77777777" w:rsidTr="006B72AB">
        <w:trPr>
          <w:trHeight w:val="642"/>
        </w:trPr>
        <w:tc>
          <w:tcPr>
            <w:tcW w:w="1604" w:type="dxa"/>
          </w:tcPr>
          <w:p w14:paraId="17C45FB7" w14:textId="77777777" w:rsidR="006B72AB" w:rsidRDefault="006B72AB"/>
        </w:tc>
        <w:tc>
          <w:tcPr>
            <w:tcW w:w="1604" w:type="dxa"/>
          </w:tcPr>
          <w:p w14:paraId="63989C23" w14:textId="77777777" w:rsidR="006B72AB" w:rsidRDefault="006B72AB"/>
        </w:tc>
        <w:tc>
          <w:tcPr>
            <w:tcW w:w="1604" w:type="dxa"/>
          </w:tcPr>
          <w:p w14:paraId="70AACE71" w14:textId="77777777" w:rsidR="006B72AB" w:rsidRDefault="006B72AB">
            <w:r w:rsidRPr="006B72AB">
              <w:rPr>
                <w:rFonts w:ascii="Arial" w:hAnsi="Arial" w:cs="Arial"/>
                <w:color w:val="264A60"/>
                <w:sz w:val="18"/>
                <w:szCs w:val="18"/>
              </w:rPr>
              <w:t>No growth</w:t>
            </w:r>
          </w:p>
        </w:tc>
        <w:tc>
          <w:tcPr>
            <w:tcW w:w="1604" w:type="dxa"/>
          </w:tcPr>
          <w:p w14:paraId="63BEBC2F" w14:textId="77777777" w:rsidR="006B72AB" w:rsidRDefault="006B72AB">
            <w:r w:rsidRPr="006B72AB">
              <w:rPr>
                <w:rFonts w:ascii="Arial" w:hAnsi="Arial" w:cs="Arial"/>
                <w:color w:val="264A60"/>
                <w:sz w:val="18"/>
                <w:szCs w:val="18"/>
              </w:rPr>
              <w:t>No significant growth</w:t>
            </w:r>
          </w:p>
        </w:tc>
        <w:tc>
          <w:tcPr>
            <w:tcW w:w="1604" w:type="dxa"/>
          </w:tcPr>
          <w:p w14:paraId="27465016" w14:textId="77777777" w:rsidR="006B72AB" w:rsidRDefault="006B72AB">
            <w:r w:rsidRPr="006B72AB">
              <w:rPr>
                <w:rFonts w:ascii="Arial" w:hAnsi="Arial" w:cs="Arial"/>
                <w:color w:val="264A60"/>
                <w:sz w:val="18"/>
                <w:szCs w:val="18"/>
              </w:rPr>
              <w:t>Significant growth</w:t>
            </w:r>
          </w:p>
        </w:tc>
        <w:tc>
          <w:tcPr>
            <w:tcW w:w="1604" w:type="dxa"/>
            <w:vMerge w:val="restart"/>
          </w:tcPr>
          <w:p w14:paraId="4F7B1CE1" w14:textId="77777777" w:rsidR="006B72AB" w:rsidRDefault="00EE47F1" w:rsidP="00572784">
            <w:r>
              <w:t>0.018</w:t>
            </w:r>
          </w:p>
        </w:tc>
      </w:tr>
      <w:tr w:rsidR="00EE47F1" w14:paraId="31296CB5" w14:textId="77777777" w:rsidTr="0049379D">
        <w:trPr>
          <w:trHeight w:val="1181"/>
        </w:trPr>
        <w:tc>
          <w:tcPr>
            <w:tcW w:w="1604" w:type="dxa"/>
            <w:vMerge w:val="restart"/>
          </w:tcPr>
          <w:p w14:paraId="15A35486" w14:textId="77777777" w:rsidR="00EE47F1" w:rsidRDefault="00EE47F1">
            <w:r>
              <w:t>Gender</w:t>
            </w:r>
          </w:p>
        </w:tc>
        <w:tc>
          <w:tcPr>
            <w:tcW w:w="1604" w:type="dxa"/>
          </w:tcPr>
          <w:p w14:paraId="35EE5D3D" w14:textId="77777777" w:rsidR="00EE47F1" w:rsidRDefault="00EE47F1">
            <w:r>
              <w:t>Male</w:t>
            </w:r>
          </w:p>
        </w:tc>
        <w:tc>
          <w:tcPr>
            <w:tcW w:w="1604" w:type="dxa"/>
          </w:tcPr>
          <w:p w14:paraId="147BCEB8" w14:textId="77777777" w:rsidR="00EE47F1" w:rsidRDefault="00EE47F1">
            <w:r>
              <w:t>9</w:t>
            </w:r>
          </w:p>
        </w:tc>
        <w:tc>
          <w:tcPr>
            <w:tcW w:w="1604" w:type="dxa"/>
          </w:tcPr>
          <w:p w14:paraId="6CB62F59" w14:textId="77777777" w:rsidR="00EE47F1" w:rsidRDefault="00EE47F1">
            <w:r>
              <w:t>3</w:t>
            </w:r>
          </w:p>
        </w:tc>
        <w:tc>
          <w:tcPr>
            <w:tcW w:w="1604" w:type="dxa"/>
          </w:tcPr>
          <w:p w14:paraId="2443669D" w14:textId="77777777" w:rsidR="00EE47F1" w:rsidRDefault="00EE47F1">
            <w:r>
              <w:t>0</w:t>
            </w:r>
          </w:p>
        </w:tc>
        <w:tc>
          <w:tcPr>
            <w:tcW w:w="1604" w:type="dxa"/>
            <w:vMerge/>
          </w:tcPr>
          <w:p w14:paraId="48C4637C" w14:textId="77777777" w:rsidR="00EE47F1" w:rsidRDefault="00EE47F1"/>
        </w:tc>
      </w:tr>
      <w:tr w:rsidR="00EE47F1" w14:paraId="0065E1D1" w14:textId="77777777" w:rsidTr="006B72AB">
        <w:trPr>
          <w:trHeight w:val="937"/>
        </w:trPr>
        <w:tc>
          <w:tcPr>
            <w:tcW w:w="1604" w:type="dxa"/>
            <w:vMerge/>
          </w:tcPr>
          <w:p w14:paraId="1D3C1B5F" w14:textId="77777777" w:rsidR="00EE47F1" w:rsidRDefault="00EE47F1"/>
        </w:tc>
        <w:tc>
          <w:tcPr>
            <w:tcW w:w="1604" w:type="dxa"/>
          </w:tcPr>
          <w:p w14:paraId="25F2C728" w14:textId="05873266" w:rsidR="00EE47F1" w:rsidRDefault="000B05DD">
            <w:r>
              <w:t>F</w:t>
            </w:r>
            <w:r w:rsidR="00EE47F1">
              <w:t>emale</w:t>
            </w:r>
          </w:p>
        </w:tc>
        <w:tc>
          <w:tcPr>
            <w:tcW w:w="1604" w:type="dxa"/>
          </w:tcPr>
          <w:p w14:paraId="6DCF137C" w14:textId="77777777" w:rsidR="00EE47F1" w:rsidRDefault="00EE47F1">
            <w:r>
              <w:t>2</w:t>
            </w:r>
          </w:p>
        </w:tc>
        <w:tc>
          <w:tcPr>
            <w:tcW w:w="1604" w:type="dxa"/>
          </w:tcPr>
          <w:p w14:paraId="3C2B609A" w14:textId="77777777" w:rsidR="00EE47F1" w:rsidRDefault="00EE47F1">
            <w:r>
              <w:t>8</w:t>
            </w:r>
          </w:p>
        </w:tc>
        <w:tc>
          <w:tcPr>
            <w:tcW w:w="1604" w:type="dxa"/>
          </w:tcPr>
          <w:p w14:paraId="6725C4CA" w14:textId="77777777" w:rsidR="00EE47F1" w:rsidRDefault="00EE47F1">
            <w:r>
              <w:t>2</w:t>
            </w:r>
          </w:p>
        </w:tc>
        <w:tc>
          <w:tcPr>
            <w:tcW w:w="1604" w:type="dxa"/>
            <w:vMerge/>
          </w:tcPr>
          <w:p w14:paraId="2EFB7936" w14:textId="77777777" w:rsidR="00EE47F1" w:rsidRDefault="00EE47F1"/>
        </w:tc>
      </w:tr>
    </w:tbl>
    <w:p w14:paraId="5F94B031" w14:textId="276D3D15" w:rsidR="000D1828" w:rsidRDefault="00871A47"/>
    <w:p w14:paraId="24CD058E" w14:textId="685AD188" w:rsidR="00DB303C" w:rsidRDefault="00DB303C"/>
    <w:p w14:paraId="4FCAC774" w14:textId="0EC981EE" w:rsidR="00DB303C" w:rsidRPr="00E14191" w:rsidRDefault="00DB303C" w:rsidP="00DB303C">
      <w:pPr>
        <w:jc w:val="both"/>
        <w:rPr>
          <w:rFonts w:asciiTheme="majorBidi" w:hAnsiTheme="majorBidi" w:cstheme="majorBidi"/>
          <w:b/>
          <w:bCs/>
          <w:noProof/>
          <w:sz w:val="36"/>
          <w:szCs w:val="36"/>
        </w:rPr>
      </w:pPr>
      <w:r w:rsidRPr="00935DC1">
        <w:rPr>
          <w:rFonts w:cstheme="minorHAnsi"/>
          <w:b/>
          <w:bCs/>
          <w:noProof/>
          <w:sz w:val="36"/>
          <w:szCs w:val="36"/>
        </w:rPr>
        <w:lastRenderedPageBreak/>
        <w:t>Statistical analysis</w:t>
      </w:r>
      <w:r w:rsidRPr="00E14191">
        <w:rPr>
          <w:rFonts w:asciiTheme="majorBidi" w:hAnsiTheme="majorBidi" w:cstheme="majorBidi"/>
          <w:b/>
          <w:bCs/>
          <w:noProof/>
          <w:sz w:val="36"/>
          <w:szCs w:val="36"/>
        </w:rPr>
        <w:t xml:space="preserve"> </w:t>
      </w:r>
      <w:r w:rsidR="0077721B">
        <w:rPr>
          <w:rFonts w:asciiTheme="majorBidi" w:hAnsiTheme="majorBidi" w:cstheme="majorBidi"/>
          <w:b/>
          <w:bCs/>
          <w:noProof/>
          <w:sz w:val="36"/>
          <w:szCs w:val="36"/>
        </w:rPr>
        <w:t xml:space="preserve"> </w:t>
      </w:r>
      <w:r w:rsidRPr="00E14191">
        <w:rPr>
          <w:rFonts w:asciiTheme="majorBidi" w:hAnsiTheme="majorBidi" w:cstheme="majorBidi"/>
          <w:b/>
          <w:bCs/>
          <w:noProof/>
          <w:sz w:val="36"/>
          <w:szCs w:val="36"/>
        </w:rPr>
        <w:t xml:space="preserve"> </w:t>
      </w:r>
    </w:p>
    <w:p w14:paraId="10D9B23E" w14:textId="77777777" w:rsidR="003E13FA" w:rsidRPr="00252563" w:rsidRDefault="003E13FA" w:rsidP="00847175">
      <w:pPr>
        <w:rPr>
          <w:rFonts w:asciiTheme="majorBidi" w:hAnsiTheme="majorBidi" w:cstheme="majorBidi"/>
          <w:b/>
          <w:bCs/>
          <w:color w:val="1D1B11" w:themeColor="background2" w:themeShade="1A"/>
          <w:sz w:val="36"/>
          <w:szCs w:val="36"/>
        </w:rPr>
      </w:pPr>
      <w:r w:rsidRPr="00252563">
        <w:rPr>
          <w:rFonts w:asciiTheme="majorBidi" w:hAnsiTheme="majorBidi" w:cstheme="majorBidi"/>
          <w:sz w:val="28"/>
          <w:szCs w:val="28"/>
        </w:rPr>
        <w:t>The goal of this study was to look for bacteria in urine samples from 24 LIMU students in their late twenties. We conclude that the relationship between gender and bacterial growth is stronger in females based on the attendance of twelve young women and twelve young men</w:t>
      </w:r>
    </w:p>
    <w:p w14:paraId="3CC6AE58" w14:textId="166A8E16" w:rsidR="00300942" w:rsidRPr="00847175" w:rsidRDefault="00D848CA" w:rsidP="00847175">
      <w:pPr>
        <w:rPr>
          <w:sz w:val="24"/>
          <w:szCs w:val="24"/>
        </w:rPr>
      </w:pPr>
      <w:r w:rsidRPr="00935DC1">
        <w:rPr>
          <w:b/>
          <w:bCs/>
          <w:color w:val="1D1B11" w:themeColor="background2" w:themeShade="1A"/>
          <w:sz w:val="36"/>
          <w:szCs w:val="36"/>
        </w:rPr>
        <w:t>Summary table</w:t>
      </w:r>
      <w:r w:rsidRPr="00935DC1">
        <w:rPr>
          <w:b/>
          <w:bCs/>
          <w:color w:val="1D1B11" w:themeColor="background2" w:themeShade="1A"/>
          <w:sz w:val="40"/>
          <w:szCs w:val="40"/>
          <w:lang w:val="en-US"/>
        </w:rPr>
        <w:t>:</w:t>
      </w:r>
      <w:r w:rsidRPr="00935DC1">
        <w:rPr>
          <w:sz w:val="40"/>
          <w:szCs w:val="40"/>
          <w:lang w:val="en-US"/>
        </w:rPr>
        <w:t xml:space="preserve"> </w:t>
      </w:r>
      <w:r w:rsidR="00300942" w:rsidRPr="00252563">
        <w:rPr>
          <w:rFonts w:asciiTheme="majorBidi" w:hAnsiTheme="majorBidi" w:cstheme="majorBidi"/>
          <w:color w:val="000000" w:themeColor="text1"/>
          <w:sz w:val="28"/>
          <w:szCs w:val="28"/>
        </w:rPr>
        <w:t>P-</w:t>
      </w:r>
      <w:r w:rsidR="000B05DD" w:rsidRPr="00252563">
        <w:rPr>
          <w:rFonts w:asciiTheme="majorBidi" w:hAnsiTheme="majorBidi" w:cstheme="majorBidi"/>
          <w:color w:val="000000" w:themeColor="text1"/>
          <w:sz w:val="28"/>
          <w:szCs w:val="28"/>
        </w:rPr>
        <w:t>value</w:t>
      </w:r>
      <w:r w:rsidR="00300942" w:rsidRPr="00252563">
        <w:rPr>
          <w:rFonts w:asciiTheme="majorBidi" w:hAnsiTheme="majorBidi" w:cstheme="majorBidi"/>
          <w:color w:val="000000" w:themeColor="text1"/>
          <w:sz w:val="28"/>
          <w:szCs w:val="28"/>
        </w:rPr>
        <w:t xml:space="preserve"> is 0.019 Decision: accept to reject the null hypothesis (FTR) Since P-value </w:t>
      </w:r>
      <w:r w:rsidR="000B05DD" w:rsidRPr="00252563">
        <w:rPr>
          <w:rFonts w:asciiTheme="majorBidi" w:hAnsiTheme="majorBidi" w:cstheme="majorBidi"/>
          <w:color w:val="000000" w:themeColor="text1"/>
          <w:sz w:val="28"/>
          <w:szCs w:val="28"/>
        </w:rPr>
        <w:t xml:space="preserve">is </w:t>
      </w:r>
      <w:r w:rsidR="00300942" w:rsidRPr="00252563">
        <w:rPr>
          <w:rFonts w:asciiTheme="majorBidi" w:hAnsiTheme="majorBidi" w:cstheme="majorBidi"/>
          <w:color w:val="000000" w:themeColor="text1"/>
          <w:sz w:val="28"/>
          <w:szCs w:val="28"/>
        </w:rPr>
        <w:t xml:space="preserve">lesser than alpha 0.05, we accept to reject the null hypothesis. </w:t>
      </w:r>
      <w:r w:rsidR="000B05DD" w:rsidRPr="00252563">
        <w:rPr>
          <w:rFonts w:asciiTheme="majorBidi" w:hAnsiTheme="majorBidi" w:cstheme="majorBidi"/>
          <w:color w:val="000000" w:themeColor="text1"/>
          <w:sz w:val="28"/>
          <w:szCs w:val="28"/>
        </w:rPr>
        <w:t>In conclusion,</w:t>
      </w:r>
      <w:r w:rsidR="00300942" w:rsidRPr="00252563">
        <w:rPr>
          <w:rFonts w:asciiTheme="majorBidi" w:hAnsiTheme="majorBidi" w:cstheme="majorBidi"/>
          <w:color w:val="000000" w:themeColor="text1"/>
          <w:sz w:val="28"/>
          <w:szCs w:val="28"/>
        </w:rPr>
        <w:t xml:space="preserve"> there is </w:t>
      </w:r>
      <w:r w:rsidR="000B05DD" w:rsidRPr="00252563">
        <w:rPr>
          <w:rFonts w:asciiTheme="majorBidi" w:hAnsiTheme="majorBidi" w:cstheme="majorBidi"/>
          <w:color w:val="000000" w:themeColor="text1"/>
          <w:sz w:val="28"/>
          <w:szCs w:val="28"/>
        </w:rPr>
        <w:t xml:space="preserve">an </w:t>
      </w:r>
      <w:r w:rsidR="00300942" w:rsidRPr="00252563">
        <w:rPr>
          <w:rFonts w:asciiTheme="majorBidi" w:hAnsiTheme="majorBidi" w:cstheme="majorBidi"/>
          <w:color w:val="000000" w:themeColor="text1"/>
          <w:sz w:val="28"/>
          <w:szCs w:val="28"/>
        </w:rPr>
        <w:t>association between gender status and bacterial growth</w:t>
      </w:r>
    </w:p>
    <w:p w14:paraId="2173FB02" w14:textId="2BCF9FD6" w:rsidR="0034553E" w:rsidRDefault="00CC411F" w:rsidP="00CC411F">
      <w:pPr>
        <w:autoSpaceDE w:val="0"/>
        <w:autoSpaceDN w:val="0"/>
        <w:adjustRightInd w:val="0"/>
        <w:spacing w:after="0" w:line="240" w:lineRule="auto"/>
        <w:rPr>
          <w:rFonts w:cstheme="minorHAnsi"/>
          <w:color w:val="000000" w:themeColor="text1"/>
          <w:sz w:val="24"/>
          <w:szCs w:val="24"/>
        </w:rPr>
      </w:pPr>
      <w:r>
        <w:rPr>
          <w:noProof/>
        </w:rPr>
        <w:drawing>
          <wp:inline distT="0" distB="0" distL="0" distR="0" wp14:anchorId="42ED0874" wp14:editId="1A6A154C">
            <wp:extent cx="4572000" cy="2743200"/>
            <wp:effectExtent l="0" t="0" r="0" b="0"/>
            <wp:docPr id="1" name="مخطط 1">
              <a:extLst xmlns:a="http://schemas.openxmlformats.org/drawingml/2006/main">
                <a:ext uri="{FF2B5EF4-FFF2-40B4-BE49-F238E27FC236}">
                  <a16:creationId xmlns:a16="http://schemas.microsoft.com/office/drawing/2014/main" id="{072EBCD4-A966-48BE-44E8-7408B29AB9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5EF5DB0" w14:textId="3DDD23B5" w:rsidR="00543E21" w:rsidRPr="00847175" w:rsidRDefault="0034553E" w:rsidP="00847175">
      <w:pPr>
        <w:autoSpaceDE w:val="0"/>
        <w:autoSpaceDN w:val="0"/>
        <w:adjustRightInd w:val="0"/>
        <w:spacing w:after="0" w:line="240" w:lineRule="auto"/>
        <w:rPr>
          <w:rFonts w:cstheme="minorHAnsi"/>
          <w:color w:val="000000" w:themeColor="text1"/>
          <w:sz w:val="24"/>
          <w:szCs w:val="24"/>
        </w:rPr>
      </w:pPr>
      <w:r>
        <w:rPr>
          <w:rFonts w:asciiTheme="minorBidi" w:hAnsiTheme="minorBidi"/>
          <w:noProof/>
          <w:color w:val="000000" w:themeColor="text1"/>
          <w:sz w:val="24"/>
          <w:szCs w:val="24"/>
        </w:rPr>
        <w:t>This show the bacterial growth in males, there is 3 non-significant growth, 9 no growth, and no significant growth</w:t>
      </w:r>
    </w:p>
    <w:p w14:paraId="1592F05C" w14:textId="77777777" w:rsidR="0034553E" w:rsidRDefault="0034553E" w:rsidP="004769BE">
      <w:pPr>
        <w:rPr>
          <w:sz w:val="24"/>
          <w:szCs w:val="24"/>
        </w:rPr>
      </w:pPr>
    </w:p>
    <w:p w14:paraId="6CBF743F" w14:textId="2849D538" w:rsidR="00FE42C0" w:rsidRDefault="00847175" w:rsidP="004769BE">
      <w:pPr>
        <w:rPr>
          <w:sz w:val="24"/>
          <w:szCs w:val="24"/>
        </w:rPr>
      </w:pPr>
      <w:r>
        <w:rPr>
          <w:noProof/>
        </w:rPr>
        <w:lastRenderedPageBreak/>
        <w:drawing>
          <wp:inline distT="0" distB="0" distL="0" distR="0" wp14:anchorId="33859046" wp14:editId="25FC997C">
            <wp:extent cx="4572000" cy="2743200"/>
            <wp:effectExtent l="0" t="0" r="0" b="0"/>
            <wp:docPr id="5" name="مخطط 5">
              <a:extLst xmlns:a="http://schemas.openxmlformats.org/drawingml/2006/main">
                <a:ext uri="{FF2B5EF4-FFF2-40B4-BE49-F238E27FC236}">
                  <a16:creationId xmlns:a16="http://schemas.microsoft.com/office/drawing/2014/main" id="{072EBCD4-A966-48BE-44E8-7408B29AB9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345761F" w14:textId="5D4EABA7" w:rsidR="00FE42C0" w:rsidRPr="00847175" w:rsidRDefault="00FE42C0" w:rsidP="00847175">
      <w:pPr>
        <w:rPr>
          <w:sz w:val="24"/>
          <w:szCs w:val="24"/>
          <w:lang w:val="en-US"/>
        </w:rPr>
      </w:pPr>
      <w:r>
        <w:rPr>
          <w:rFonts w:asciiTheme="minorBidi" w:hAnsiTheme="minorBidi"/>
          <w:noProof/>
          <w:color w:val="000000" w:themeColor="text1"/>
          <w:sz w:val="24"/>
          <w:szCs w:val="24"/>
        </w:rPr>
        <w:t xml:space="preserve">This shows the bacterial growth in females, there is 2 significant growth, 8 non-significant growth, and 2 no growth.  </w:t>
      </w:r>
    </w:p>
    <w:p w14:paraId="08807162" w14:textId="77777777" w:rsidR="00FE42C0" w:rsidRDefault="00FE42C0" w:rsidP="004769BE">
      <w:pPr>
        <w:rPr>
          <w:sz w:val="24"/>
          <w:szCs w:val="24"/>
        </w:rPr>
      </w:pPr>
    </w:p>
    <w:p w14:paraId="3B21C04F" w14:textId="6C9C4B7E" w:rsidR="00D701C5" w:rsidRDefault="00D701C5" w:rsidP="00D701C5">
      <w:pPr>
        <w:rPr>
          <w:sz w:val="32"/>
          <w:szCs w:val="32"/>
        </w:rPr>
      </w:pPr>
      <w:r w:rsidRPr="00935DC1">
        <w:rPr>
          <w:b/>
          <w:bCs/>
          <w:color w:val="1D1B11" w:themeColor="background2" w:themeShade="1A"/>
          <w:sz w:val="36"/>
          <w:szCs w:val="36"/>
        </w:rPr>
        <w:t>Discussion</w:t>
      </w:r>
      <w:r w:rsidRPr="00935DC1">
        <w:rPr>
          <w:b/>
          <w:bCs/>
          <w:sz w:val="36"/>
          <w:szCs w:val="36"/>
        </w:rPr>
        <w:t>:</w:t>
      </w:r>
      <w:r>
        <w:rPr>
          <w:sz w:val="32"/>
          <w:szCs w:val="32"/>
        </w:rPr>
        <w:t xml:space="preserve"> </w:t>
      </w:r>
    </w:p>
    <w:p w14:paraId="18DB7BB5" w14:textId="6EAE0C39" w:rsidR="00D701C5" w:rsidRPr="00252563" w:rsidRDefault="00D701C5" w:rsidP="00D701C5">
      <w:pPr>
        <w:rPr>
          <w:rFonts w:asciiTheme="majorBidi" w:hAnsiTheme="majorBidi" w:cstheme="majorBidi"/>
          <w:sz w:val="32"/>
          <w:szCs w:val="32"/>
        </w:rPr>
      </w:pPr>
      <w:bookmarkStart w:id="1" w:name="_Hlk106655324"/>
      <w:r w:rsidRPr="00252563">
        <w:rPr>
          <w:rFonts w:asciiTheme="majorBidi" w:hAnsiTheme="majorBidi" w:cstheme="majorBidi"/>
          <w:sz w:val="28"/>
          <w:szCs w:val="28"/>
        </w:rPr>
        <w:t>With a p-value of 0.019, we can reject the null hypothesis and conclude that the data is</w:t>
      </w:r>
      <w:r w:rsidR="00CC411F" w:rsidRPr="00252563">
        <w:rPr>
          <w:rFonts w:asciiTheme="majorBidi" w:hAnsiTheme="majorBidi" w:cstheme="majorBidi"/>
          <w:sz w:val="28"/>
          <w:szCs w:val="28"/>
        </w:rPr>
        <w:t xml:space="preserve"> </w:t>
      </w:r>
      <w:r w:rsidRPr="00252563">
        <w:rPr>
          <w:rFonts w:asciiTheme="majorBidi" w:hAnsiTheme="majorBidi" w:cstheme="majorBidi"/>
          <w:sz w:val="28"/>
          <w:szCs w:val="28"/>
        </w:rPr>
        <w:t>significant.</w:t>
      </w:r>
    </w:p>
    <w:p w14:paraId="37257C89" w14:textId="7E33281D" w:rsidR="00D701C5" w:rsidRPr="00252563" w:rsidRDefault="00D701C5" w:rsidP="00D701C5">
      <w:pPr>
        <w:rPr>
          <w:rFonts w:asciiTheme="majorBidi" w:hAnsiTheme="majorBidi" w:cstheme="majorBidi"/>
          <w:sz w:val="28"/>
          <w:szCs w:val="28"/>
        </w:rPr>
      </w:pPr>
      <w:r w:rsidRPr="00252563">
        <w:rPr>
          <w:rFonts w:asciiTheme="majorBidi" w:hAnsiTheme="majorBidi" w:cstheme="majorBidi"/>
          <w:sz w:val="28"/>
          <w:szCs w:val="28"/>
        </w:rPr>
        <w:t>Contrary to my expectations, the findings show that major bacteriuria does</w:t>
      </w:r>
      <w:r w:rsidR="00CC411F" w:rsidRPr="00252563">
        <w:rPr>
          <w:rFonts w:asciiTheme="majorBidi" w:hAnsiTheme="majorBidi" w:cstheme="majorBidi"/>
          <w:sz w:val="28"/>
          <w:szCs w:val="28"/>
        </w:rPr>
        <w:t xml:space="preserve"> </w:t>
      </w:r>
      <w:r w:rsidRPr="00252563">
        <w:rPr>
          <w:rFonts w:asciiTheme="majorBidi" w:hAnsiTheme="majorBidi" w:cstheme="majorBidi"/>
          <w:sz w:val="28"/>
          <w:szCs w:val="28"/>
        </w:rPr>
        <w:t>not occur frequently.</w:t>
      </w:r>
    </w:p>
    <w:p w14:paraId="34276CEF" w14:textId="77777777" w:rsidR="00D701C5" w:rsidRPr="00252563" w:rsidRDefault="00D701C5" w:rsidP="00D701C5">
      <w:pPr>
        <w:rPr>
          <w:rFonts w:asciiTheme="majorBidi" w:hAnsiTheme="majorBidi" w:cstheme="majorBidi"/>
          <w:sz w:val="28"/>
          <w:szCs w:val="28"/>
        </w:rPr>
      </w:pPr>
      <w:r w:rsidRPr="00252563">
        <w:rPr>
          <w:rFonts w:asciiTheme="majorBidi" w:hAnsiTheme="majorBidi" w:cstheme="majorBidi"/>
          <w:sz w:val="28"/>
          <w:szCs w:val="28"/>
        </w:rPr>
        <w:t>Males have a 0% incidence rate, with only 8 males showing any development, one of which is considered minimal.</w:t>
      </w:r>
    </w:p>
    <w:p w14:paraId="678AEC81" w14:textId="77777777" w:rsidR="00D701C5" w:rsidRPr="00252563" w:rsidRDefault="00D701C5" w:rsidP="00D701C5">
      <w:pPr>
        <w:rPr>
          <w:rFonts w:asciiTheme="majorBidi" w:hAnsiTheme="majorBidi" w:cstheme="majorBidi"/>
          <w:sz w:val="28"/>
          <w:szCs w:val="28"/>
        </w:rPr>
      </w:pPr>
      <w:r w:rsidRPr="00252563">
        <w:rPr>
          <w:rFonts w:asciiTheme="majorBidi" w:hAnsiTheme="majorBidi" w:cstheme="majorBidi"/>
          <w:sz w:val="28"/>
          <w:szCs w:val="28"/>
        </w:rPr>
        <w:t>Despite a 16.66 percent incidence rate, women's rates are lower than expected.</w:t>
      </w:r>
    </w:p>
    <w:p w14:paraId="57A00F57" w14:textId="77777777" w:rsidR="00D701C5" w:rsidRPr="00252563" w:rsidRDefault="00D701C5" w:rsidP="00D701C5">
      <w:pPr>
        <w:rPr>
          <w:rFonts w:asciiTheme="majorBidi" w:hAnsiTheme="majorBidi" w:cstheme="majorBidi"/>
          <w:sz w:val="28"/>
          <w:szCs w:val="28"/>
        </w:rPr>
      </w:pPr>
      <w:r w:rsidRPr="00252563">
        <w:rPr>
          <w:rFonts w:asciiTheme="majorBidi" w:hAnsiTheme="majorBidi" w:cstheme="majorBidi"/>
          <w:sz w:val="28"/>
          <w:szCs w:val="28"/>
        </w:rPr>
        <w:t>Despite this, bacteriuria was detected in 10 of the 12 women, indicating that the majority of them are at risk of developing it.</w:t>
      </w:r>
    </w:p>
    <w:p w14:paraId="3C8B5203" w14:textId="77777777" w:rsidR="00D11D0F" w:rsidRPr="00252563" w:rsidRDefault="00D11D0F" w:rsidP="00D701C5">
      <w:pPr>
        <w:rPr>
          <w:rFonts w:asciiTheme="majorBidi" w:hAnsiTheme="majorBidi" w:cstheme="majorBidi"/>
          <w:sz w:val="28"/>
          <w:szCs w:val="28"/>
          <w:lang w:val="en-US"/>
        </w:rPr>
      </w:pPr>
      <w:r w:rsidRPr="00252563">
        <w:rPr>
          <w:rFonts w:asciiTheme="majorBidi" w:hAnsiTheme="majorBidi" w:cstheme="majorBidi"/>
          <w:sz w:val="28"/>
          <w:szCs w:val="28"/>
        </w:rPr>
        <w:t xml:space="preserve">Infections of the urinary tract affect both men and women of all ages. As a result, according to demographics, it is more common in women. Are Women Particularly Vulnerable? The most likely cause is anatomy. Because of their shorter urethra, women are more likely than men to develop UTI. Bacteria do not have to travel very far to infect a woman's bladder. Furthermore, the urinary meatus is close to the </w:t>
      </w:r>
      <w:r w:rsidRPr="00252563">
        <w:rPr>
          <w:rFonts w:asciiTheme="majorBidi" w:hAnsiTheme="majorBidi" w:cstheme="majorBidi"/>
          <w:sz w:val="28"/>
          <w:szCs w:val="28"/>
        </w:rPr>
        <w:lastRenderedPageBreak/>
        <w:t>rectum, which contains the bacteria that causes these infections. E. coli is the most common.</w:t>
      </w:r>
    </w:p>
    <w:bookmarkEnd w:id="1"/>
    <w:p w14:paraId="11D722FB" w14:textId="24CBE91D" w:rsidR="00D701C5" w:rsidRPr="00252563" w:rsidRDefault="004C7FCC" w:rsidP="00F960A3">
      <w:pPr>
        <w:rPr>
          <w:rFonts w:asciiTheme="majorBidi" w:hAnsiTheme="majorBidi" w:cstheme="majorBidi"/>
          <w:sz w:val="28"/>
          <w:szCs w:val="28"/>
          <w:lang w:val="en-US"/>
        </w:rPr>
      </w:pPr>
      <w:r w:rsidRPr="00252563">
        <w:rPr>
          <w:rFonts w:asciiTheme="majorBidi" w:hAnsiTheme="majorBidi" w:cstheme="majorBidi"/>
          <w:sz w:val="28"/>
          <w:szCs w:val="28"/>
          <w:lang w:val="en-US"/>
        </w:rPr>
        <w:t xml:space="preserve">E. coli was found to be the most common bacterium in urine samples, accounting for 58% of the cases. However, E. coli was responsible for 81.5 percent of UTIs in outpatients in a Norwegian study, compared to 58 percent in the current study. Others reported that Klebsiella. </w:t>
      </w:r>
      <w:proofErr w:type="spellStart"/>
      <w:r w:rsidRPr="00252563">
        <w:rPr>
          <w:rFonts w:asciiTheme="majorBidi" w:hAnsiTheme="majorBidi" w:cstheme="majorBidi"/>
          <w:sz w:val="28"/>
          <w:szCs w:val="28"/>
          <w:lang w:val="en-US"/>
        </w:rPr>
        <w:t>sp</w:t>
      </w:r>
      <w:proofErr w:type="spellEnd"/>
      <w:r w:rsidRPr="00252563">
        <w:rPr>
          <w:rFonts w:asciiTheme="majorBidi" w:hAnsiTheme="majorBidi" w:cstheme="majorBidi"/>
          <w:sz w:val="28"/>
          <w:szCs w:val="28"/>
          <w:lang w:val="en-US"/>
        </w:rPr>
        <w:t xml:space="preserve"> (8.4 percent) and Enterococcus. </w:t>
      </w:r>
      <w:proofErr w:type="spellStart"/>
      <w:r w:rsidRPr="00252563">
        <w:rPr>
          <w:rFonts w:asciiTheme="majorBidi" w:hAnsiTheme="majorBidi" w:cstheme="majorBidi"/>
          <w:sz w:val="28"/>
          <w:szCs w:val="28"/>
          <w:lang w:val="en-US"/>
        </w:rPr>
        <w:t>sp</w:t>
      </w:r>
      <w:proofErr w:type="spellEnd"/>
      <w:r w:rsidRPr="00252563">
        <w:rPr>
          <w:rFonts w:asciiTheme="majorBidi" w:hAnsiTheme="majorBidi" w:cstheme="majorBidi"/>
          <w:sz w:val="28"/>
          <w:szCs w:val="28"/>
          <w:lang w:val="en-US"/>
        </w:rPr>
        <w:t xml:space="preserve"> (7.9 percent) were responsible for a lower proportion of UTIs. Although </w:t>
      </w:r>
      <w:proofErr w:type="gramStart"/>
      <w:r w:rsidRPr="00252563">
        <w:rPr>
          <w:rFonts w:asciiTheme="majorBidi" w:hAnsiTheme="majorBidi" w:cstheme="majorBidi"/>
          <w:sz w:val="28"/>
          <w:szCs w:val="28"/>
          <w:lang w:val="en-US"/>
        </w:rPr>
        <w:t>E.coli</w:t>
      </w:r>
      <w:proofErr w:type="gramEnd"/>
      <w:r w:rsidRPr="00252563">
        <w:rPr>
          <w:rFonts w:asciiTheme="majorBidi" w:hAnsiTheme="majorBidi" w:cstheme="majorBidi"/>
          <w:sz w:val="28"/>
          <w:szCs w:val="28"/>
          <w:lang w:val="en-US"/>
        </w:rPr>
        <w:t xml:space="preserve"> is a normal part of the flora of the human and animal colon, it can be pathogenic both inside and outside the GI tract. The most commonly prescribed antibiotics for UTIs are trimethoprim-sulfamethoxazole, ciprofloxacin, and ampicillin. Rising antibiotic resistance and high recurrence rates, on the other hand, pose a significant threat to the societal burden imposed by these common infections.</w:t>
      </w:r>
    </w:p>
    <w:p w14:paraId="57D4F41A" w14:textId="2CAE97E7" w:rsidR="00847175" w:rsidRDefault="00847175" w:rsidP="00847175">
      <w:pPr>
        <w:rPr>
          <w:sz w:val="32"/>
          <w:szCs w:val="32"/>
          <w:rtl/>
        </w:rPr>
      </w:pPr>
      <w:r w:rsidRPr="00935DC1">
        <w:rPr>
          <w:b/>
          <w:bCs/>
          <w:sz w:val="36"/>
          <w:szCs w:val="36"/>
        </w:rPr>
        <w:t>Treatment</w:t>
      </w:r>
      <w:r w:rsidRPr="00935DC1">
        <w:rPr>
          <w:b/>
          <w:bCs/>
          <w:sz w:val="32"/>
          <w:szCs w:val="32"/>
        </w:rPr>
        <w:t>:</w:t>
      </w:r>
      <w:r>
        <w:rPr>
          <w:sz w:val="32"/>
          <w:szCs w:val="32"/>
        </w:rPr>
        <w:t xml:space="preserve"> </w:t>
      </w:r>
    </w:p>
    <w:p w14:paraId="6E8F3C42" w14:textId="77777777" w:rsidR="00847175" w:rsidRPr="00252563" w:rsidRDefault="00847175" w:rsidP="00847175">
      <w:pPr>
        <w:autoSpaceDE w:val="0"/>
        <w:autoSpaceDN w:val="0"/>
        <w:adjustRightInd w:val="0"/>
        <w:spacing w:after="0" w:line="240" w:lineRule="auto"/>
        <w:rPr>
          <w:rFonts w:asciiTheme="majorBidi" w:hAnsiTheme="majorBidi" w:cstheme="majorBidi"/>
          <w:sz w:val="28"/>
          <w:szCs w:val="28"/>
        </w:rPr>
      </w:pPr>
      <w:r w:rsidRPr="00252563">
        <w:rPr>
          <w:rFonts w:asciiTheme="majorBidi" w:hAnsiTheme="majorBidi" w:cstheme="majorBidi"/>
          <w:color w:val="222222"/>
          <w:sz w:val="28"/>
          <w:szCs w:val="28"/>
          <w:shd w:val="clear" w:color="auto" w:fill="FFFFFF"/>
        </w:rPr>
        <w:t xml:space="preserve">UTIs impose significant economic and public health burdens, as well as a significant impact on the quality of life of those affected. Antibiotics, such as trimethoprim-sulfamethoxazole, ciprofloxacin, and ampicillin, are currently the most commonly recommended treatments for UTIs. However, rising antibiotic resistance and high recurrence rates threaten to significantly increase the burden that these common infections impose on society. Ideally, alternative therapies that are resistant to resistance development will be developed. Many promising approaches are being developed, ranging from using what we know about the basic biology of UTI pathogenesis to specifically targeting virulence pathways. Because </w:t>
      </w:r>
      <w:proofErr w:type="spellStart"/>
      <w:r w:rsidRPr="00252563">
        <w:rPr>
          <w:rFonts w:asciiTheme="majorBidi" w:hAnsiTheme="majorBidi" w:cstheme="majorBidi"/>
          <w:color w:val="222222"/>
          <w:sz w:val="28"/>
          <w:szCs w:val="28"/>
          <w:shd w:val="clear" w:color="auto" w:fill="FFFFFF"/>
        </w:rPr>
        <w:t>antivirulence</w:t>
      </w:r>
      <w:proofErr w:type="spellEnd"/>
      <w:r w:rsidRPr="00252563">
        <w:rPr>
          <w:rFonts w:asciiTheme="majorBidi" w:hAnsiTheme="majorBidi" w:cstheme="majorBidi"/>
          <w:color w:val="222222"/>
          <w:sz w:val="28"/>
          <w:szCs w:val="28"/>
          <w:shd w:val="clear" w:color="auto" w:fill="FFFFFF"/>
        </w:rPr>
        <w:t xml:space="preserve"> therapeutics target processes that are critical for UTI pathogens to cause disease, they should theoretically allow us to effectively neutralize, or 'disarm,' their ability to cause disease without altering the gut commensal microbiota.</w:t>
      </w:r>
    </w:p>
    <w:p w14:paraId="26B2F9B1" w14:textId="08079549" w:rsidR="00D701C5" w:rsidRPr="00252563" w:rsidRDefault="00D701C5" w:rsidP="00F960A3">
      <w:pPr>
        <w:rPr>
          <w:rFonts w:asciiTheme="majorBidi" w:hAnsiTheme="majorBidi" w:cstheme="majorBidi"/>
          <w:sz w:val="28"/>
          <w:szCs w:val="28"/>
        </w:rPr>
      </w:pPr>
    </w:p>
    <w:p w14:paraId="25F6B4D0" w14:textId="77777777" w:rsidR="00847175" w:rsidRDefault="00847175" w:rsidP="00F960A3">
      <w:pPr>
        <w:rPr>
          <w:sz w:val="28"/>
          <w:szCs w:val="28"/>
        </w:rPr>
      </w:pPr>
    </w:p>
    <w:p w14:paraId="2DA7AA98" w14:textId="263DCC38" w:rsidR="00F960A3" w:rsidRDefault="00543E21" w:rsidP="00F960A3">
      <w:pPr>
        <w:rPr>
          <w:sz w:val="24"/>
          <w:szCs w:val="24"/>
          <w:lang w:val="en-US"/>
        </w:rPr>
      </w:pPr>
      <w:r w:rsidRPr="00935DC1">
        <w:rPr>
          <w:b/>
          <w:bCs/>
          <w:color w:val="1D1B11" w:themeColor="background2" w:themeShade="1A"/>
          <w:sz w:val="32"/>
          <w:szCs w:val="32"/>
        </w:rPr>
        <w:t>CONCLUSION</w:t>
      </w:r>
      <w:r w:rsidRPr="00935DC1">
        <w:rPr>
          <w:b/>
          <w:bCs/>
          <w:color w:val="1D1B11" w:themeColor="background2" w:themeShade="1A"/>
          <w:sz w:val="28"/>
          <w:szCs w:val="28"/>
        </w:rPr>
        <w:t>:</w:t>
      </w:r>
      <w:r w:rsidR="00D90533" w:rsidRPr="00935DC1">
        <w:rPr>
          <w:color w:val="1D1B11" w:themeColor="background2" w:themeShade="1A"/>
          <w:sz w:val="28"/>
          <w:szCs w:val="28"/>
        </w:rPr>
        <w:t xml:space="preserve"> </w:t>
      </w:r>
    </w:p>
    <w:p w14:paraId="30D5A7B9" w14:textId="6F85D842" w:rsidR="00F960A3" w:rsidRPr="00252563" w:rsidRDefault="00D90533" w:rsidP="00F960A3">
      <w:pPr>
        <w:rPr>
          <w:rFonts w:asciiTheme="majorBidi" w:hAnsiTheme="majorBidi" w:cstheme="majorBidi"/>
          <w:sz w:val="24"/>
          <w:szCs w:val="24"/>
          <w:lang w:val="en-US"/>
        </w:rPr>
      </w:pPr>
      <w:r w:rsidRPr="00252563">
        <w:rPr>
          <w:rFonts w:asciiTheme="majorBidi" w:hAnsiTheme="majorBidi" w:cstheme="majorBidi"/>
          <w:color w:val="222222"/>
          <w:sz w:val="28"/>
          <w:szCs w:val="28"/>
          <w:shd w:val="clear" w:color="auto" w:fill="FFFFFF"/>
        </w:rPr>
        <w:t xml:space="preserve">UTIs are among the most common bacterial infections, costing the </w:t>
      </w:r>
      <w:r w:rsidR="0080240D" w:rsidRPr="00252563">
        <w:rPr>
          <w:rFonts w:asciiTheme="majorBidi" w:hAnsiTheme="majorBidi" w:cstheme="majorBidi"/>
          <w:color w:val="222222"/>
          <w:sz w:val="28"/>
          <w:szCs w:val="28"/>
          <w:shd w:val="clear" w:color="auto" w:fill="FFFFFF"/>
        </w:rPr>
        <w:t>healthcare</w:t>
      </w:r>
      <w:r w:rsidRPr="00252563">
        <w:rPr>
          <w:rFonts w:asciiTheme="majorBidi" w:hAnsiTheme="majorBidi" w:cstheme="majorBidi"/>
          <w:color w:val="222222"/>
          <w:sz w:val="28"/>
          <w:szCs w:val="28"/>
          <w:shd w:val="clear" w:color="auto" w:fill="FFFFFF"/>
        </w:rPr>
        <w:t xml:space="preserve"> system billions of dollars each year1. Management strategies designed for specific groups of patients with urinary infections can maximize therapeutic benefits while reducing costs and the incidence of adverse reactions. The predictable nature of the </w:t>
      </w:r>
      <w:r w:rsidRPr="00252563">
        <w:rPr>
          <w:rFonts w:asciiTheme="majorBidi" w:hAnsiTheme="majorBidi" w:cstheme="majorBidi"/>
          <w:color w:val="222222"/>
          <w:sz w:val="28"/>
          <w:szCs w:val="28"/>
          <w:shd w:val="clear" w:color="auto" w:fill="FFFFFF"/>
        </w:rPr>
        <w:lastRenderedPageBreak/>
        <w:t>etiologic agents and their antimicrobial susceptibilities eliminates the need to routinely identify the specific microbial agent in women with uncomplicated cystitis</w:t>
      </w:r>
      <w:r w:rsidR="000D0926" w:rsidRPr="00252563">
        <w:rPr>
          <w:rFonts w:asciiTheme="majorBidi" w:hAnsiTheme="majorBidi" w:cstheme="majorBidi"/>
          <w:color w:val="222222"/>
          <w:sz w:val="24"/>
          <w:szCs w:val="24"/>
          <w:shd w:val="clear" w:color="auto" w:fill="FFFFFF"/>
        </w:rPr>
        <w:t>.</w:t>
      </w:r>
      <w:r w:rsidR="00F960A3" w:rsidRPr="00252563">
        <w:rPr>
          <w:rFonts w:asciiTheme="majorBidi" w:hAnsiTheme="majorBidi" w:cstheme="majorBidi"/>
          <w:lang w:val="en-US"/>
        </w:rPr>
        <w:t xml:space="preserve"> </w:t>
      </w:r>
      <w:r w:rsidR="00F960A3" w:rsidRPr="00252563">
        <w:rPr>
          <w:rFonts w:asciiTheme="majorBidi" w:hAnsiTheme="majorBidi" w:cstheme="majorBidi"/>
          <w:color w:val="1D1B11" w:themeColor="background2" w:themeShade="1A"/>
          <w:sz w:val="28"/>
          <w:szCs w:val="28"/>
          <w:shd w:val="clear" w:color="auto" w:fill="FFFFFF"/>
        </w:rPr>
        <w:t>Then we conclude that the relationship between gender and bacterial growth is stronger in females.</w:t>
      </w:r>
    </w:p>
    <w:p w14:paraId="14997EC1" w14:textId="5D7C1F67" w:rsidR="001F32F9" w:rsidRPr="00252563" w:rsidRDefault="000B05DD" w:rsidP="001F32F9">
      <w:pPr>
        <w:rPr>
          <w:rFonts w:asciiTheme="majorBidi" w:hAnsiTheme="majorBidi" w:cstheme="majorBidi"/>
        </w:rPr>
      </w:pPr>
      <w:r w:rsidRPr="00252563">
        <w:rPr>
          <w:rFonts w:asciiTheme="majorBidi" w:hAnsiTheme="majorBidi" w:cstheme="majorBidi"/>
          <w:sz w:val="28"/>
          <w:szCs w:val="28"/>
        </w:rPr>
        <w:t xml:space="preserve">Blood agar is an enriched medium that is commonly used to grow fastidious organisms and to distinguish bacteria based on their </w:t>
      </w:r>
      <w:proofErr w:type="spellStart"/>
      <w:r w:rsidRPr="00252563">
        <w:rPr>
          <w:rFonts w:asciiTheme="majorBidi" w:hAnsiTheme="majorBidi" w:cstheme="majorBidi"/>
          <w:sz w:val="28"/>
          <w:szCs w:val="28"/>
        </w:rPr>
        <w:t>hemolytic</w:t>
      </w:r>
      <w:proofErr w:type="spellEnd"/>
      <w:r w:rsidRPr="00252563">
        <w:rPr>
          <w:rFonts w:asciiTheme="majorBidi" w:hAnsiTheme="majorBidi" w:cstheme="majorBidi"/>
          <w:sz w:val="28"/>
          <w:szCs w:val="28"/>
        </w:rPr>
        <w:t xml:space="preserve"> characteristics</w:t>
      </w:r>
    </w:p>
    <w:p w14:paraId="7DCD8B0E" w14:textId="515C93B8" w:rsidR="001F32F9" w:rsidRPr="00252563" w:rsidRDefault="001F32F9" w:rsidP="001F32F9">
      <w:pPr>
        <w:rPr>
          <w:rFonts w:asciiTheme="majorBidi" w:hAnsiTheme="majorBidi" w:cstheme="majorBidi"/>
          <w:lang w:val="en-US"/>
        </w:rPr>
      </w:pPr>
      <w:r w:rsidRPr="00252563">
        <w:rPr>
          <w:rFonts w:asciiTheme="majorBidi" w:hAnsiTheme="majorBidi" w:cstheme="majorBidi"/>
          <w:sz w:val="28"/>
          <w:szCs w:val="28"/>
          <w:lang w:val="en-US"/>
        </w:rPr>
        <w:t>E. coli was discovered to be the most prevalent bacterium in urine samples, accounting for 58% of the cases</w:t>
      </w:r>
    </w:p>
    <w:p w14:paraId="6A7E9E6D" w14:textId="127A5501" w:rsidR="001F32F9" w:rsidRPr="001F32F9" w:rsidRDefault="001F32F9" w:rsidP="00F960A3">
      <w:pPr>
        <w:rPr>
          <w:sz w:val="28"/>
          <w:szCs w:val="28"/>
        </w:rPr>
      </w:pPr>
      <w:r w:rsidRPr="00252563">
        <w:rPr>
          <w:rFonts w:asciiTheme="majorBidi" w:hAnsiTheme="majorBidi" w:cstheme="majorBidi"/>
          <w:sz w:val="28"/>
          <w:szCs w:val="28"/>
        </w:rPr>
        <w:t>The most commonly recommended treatments for UTIs are trimethoprim-sulfamethoxazole, ciprofloxacin, and ampicillin. However, rising antibiotic resistance and high recurrence rates threaten to significantly increase the societal burden imposed by these common infections.</w:t>
      </w:r>
    </w:p>
    <w:p w14:paraId="76310001" w14:textId="50DA1448" w:rsidR="00B42AAD" w:rsidRDefault="00B42AAD" w:rsidP="00F960A3">
      <w:pPr>
        <w:rPr>
          <w:sz w:val="24"/>
          <w:szCs w:val="24"/>
          <w:lang w:val="en-US"/>
        </w:rPr>
      </w:pPr>
    </w:p>
    <w:p w14:paraId="1534194B" w14:textId="77777777" w:rsidR="00B42AAD" w:rsidRPr="00935DC1" w:rsidRDefault="00B42AAD" w:rsidP="00F960A3">
      <w:pPr>
        <w:rPr>
          <w:b/>
          <w:bCs/>
          <w:sz w:val="24"/>
          <w:szCs w:val="24"/>
          <w:lang w:val="en-US"/>
        </w:rPr>
      </w:pPr>
      <w:r w:rsidRPr="00935DC1">
        <w:rPr>
          <w:b/>
          <w:bCs/>
          <w:sz w:val="32"/>
          <w:szCs w:val="32"/>
          <w:lang w:val="en-US"/>
        </w:rPr>
        <w:t>References</w:t>
      </w:r>
      <w:r w:rsidRPr="00935DC1">
        <w:rPr>
          <w:b/>
          <w:bCs/>
          <w:sz w:val="24"/>
          <w:szCs w:val="24"/>
          <w:lang w:val="en-US"/>
        </w:rPr>
        <w:t>:</w:t>
      </w:r>
    </w:p>
    <w:p w14:paraId="5948F9FA" w14:textId="0F990200" w:rsidR="00B42AAD" w:rsidRDefault="00B42AAD" w:rsidP="00B42AAD">
      <w:pPr>
        <w:pStyle w:val="a4"/>
        <w:numPr>
          <w:ilvl w:val="0"/>
          <w:numId w:val="1"/>
        </w:numPr>
        <w:bidi w:val="0"/>
        <w:rPr>
          <w:sz w:val="24"/>
          <w:szCs w:val="24"/>
        </w:rPr>
      </w:pPr>
      <w:r>
        <w:rPr>
          <w:rFonts w:ascii="Open Sans" w:hAnsi="Open Sans" w:cs="Open Sans"/>
          <w:color w:val="000000"/>
          <w:sz w:val="20"/>
          <w:szCs w:val="20"/>
          <w:shd w:val="clear" w:color="auto" w:fill="FFFFFF"/>
        </w:rPr>
        <w:t>Nicolle, L., Bradley, S., Colgan, R., Rice, J., Schaeffer, A. and Hooton, T., 2022. </w:t>
      </w:r>
      <w:r>
        <w:rPr>
          <w:rFonts w:ascii="Open Sans" w:hAnsi="Open Sans" w:cs="Open Sans"/>
          <w:i/>
          <w:iCs/>
          <w:color w:val="000000"/>
          <w:sz w:val="20"/>
          <w:szCs w:val="20"/>
          <w:shd w:val="clear" w:color="auto" w:fill="FFFFFF"/>
        </w:rPr>
        <w:t>Infectious Diseases Society of America Guidelines for the Diagnosis and Treatment of Asymptomatic Bacteriuria in Adults</w:t>
      </w:r>
      <w:r>
        <w:rPr>
          <w:rFonts w:ascii="Open Sans" w:hAnsi="Open Sans" w:cs="Open Sans"/>
          <w:color w:val="000000"/>
          <w:sz w:val="20"/>
          <w:szCs w:val="20"/>
          <w:shd w:val="clear" w:color="auto" w:fill="FFFFFF"/>
        </w:rPr>
        <w:t>.</w:t>
      </w:r>
      <w:r w:rsidRPr="00B42AAD">
        <w:rPr>
          <w:sz w:val="24"/>
          <w:szCs w:val="24"/>
        </w:rPr>
        <w:t xml:space="preserve"> </w:t>
      </w:r>
    </w:p>
    <w:p w14:paraId="7BEE7FE8" w14:textId="13C0FBC7" w:rsidR="00B42AAD" w:rsidRDefault="00B42AAD" w:rsidP="00B42AAD">
      <w:pPr>
        <w:pStyle w:val="a4"/>
        <w:numPr>
          <w:ilvl w:val="0"/>
          <w:numId w:val="1"/>
        </w:numPr>
        <w:bidi w:val="0"/>
        <w:rPr>
          <w:sz w:val="24"/>
          <w:szCs w:val="24"/>
        </w:rPr>
      </w:pPr>
      <w:r>
        <w:rPr>
          <w:rFonts w:ascii="Open Sans" w:hAnsi="Open Sans" w:cs="Open Sans"/>
          <w:color w:val="000000"/>
          <w:sz w:val="20"/>
          <w:szCs w:val="20"/>
          <w:shd w:val="clear" w:color="auto" w:fill="FFFFFF"/>
        </w:rPr>
        <w:t xml:space="preserve">Hedlund, M., Duan, R., Nilsson, </w:t>
      </w:r>
      <w:r>
        <w:rPr>
          <w:rFonts w:ascii="Calibri" w:hAnsi="Calibri" w:cs="Calibri"/>
          <w:color w:val="000000"/>
          <w:sz w:val="20"/>
          <w:szCs w:val="20"/>
          <w:shd w:val="clear" w:color="auto" w:fill="FFFFFF"/>
        </w:rPr>
        <w:t>Å</w:t>
      </w:r>
      <w:r>
        <w:rPr>
          <w:rFonts w:ascii="Open Sans" w:hAnsi="Open Sans" w:cs="Open Sans"/>
          <w:color w:val="000000"/>
          <w:sz w:val="20"/>
          <w:szCs w:val="20"/>
          <w:shd w:val="clear" w:color="auto" w:fill="FFFFFF"/>
        </w:rPr>
        <w:t xml:space="preserve">., </w:t>
      </w:r>
      <w:proofErr w:type="spellStart"/>
      <w:r>
        <w:rPr>
          <w:rFonts w:ascii="Open Sans" w:hAnsi="Open Sans" w:cs="Open Sans"/>
          <w:color w:val="000000"/>
          <w:sz w:val="20"/>
          <w:szCs w:val="20"/>
          <w:shd w:val="clear" w:color="auto" w:fill="FFFFFF"/>
        </w:rPr>
        <w:t>Svensson</w:t>
      </w:r>
      <w:proofErr w:type="spellEnd"/>
      <w:r>
        <w:rPr>
          <w:rFonts w:ascii="Open Sans" w:hAnsi="Open Sans" w:cs="Open Sans"/>
          <w:color w:val="000000"/>
          <w:sz w:val="20"/>
          <w:szCs w:val="20"/>
          <w:shd w:val="clear" w:color="auto" w:fill="FFFFFF"/>
        </w:rPr>
        <w:t xml:space="preserve">, M., </w:t>
      </w:r>
      <w:proofErr w:type="spellStart"/>
      <w:r>
        <w:rPr>
          <w:rFonts w:ascii="Open Sans" w:hAnsi="Open Sans" w:cs="Open Sans"/>
          <w:color w:val="000000"/>
          <w:sz w:val="20"/>
          <w:szCs w:val="20"/>
          <w:shd w:val="clear" w:color="auto" w:fill="FFFFFF"/>
        </w:rPr>
        <w:t>Karpman</w:t>
      </w:r>
      <w:proofErr w:type="spellEnd"/>
      <w:r>
        <w:rPr>
          <w:rFonts w:ascii="Open Sans" w:hAnsi="Open Sans" w:cs="Open Sans"/>
          <w:color w:val="000000"/>
          <w:sz w:val="20"/>
          <w:szCs w:val="20"/>
          <w:shd w:val="clear" w:color="auto" w:fill="FFFFFF"/>
        </w:rPr>
        <w:t xml:space="preserve">, D. and </w:t>
      </w:r>
      <w:proofErr w:type="spellStart"/>
      <w:r>
        <w:rPr>
          <w:rFonts w:ascii="Open Sans" w:hAnsi="Open Sans" w:cs="Open Sans"/>
          <w:color w:val="000000"/>
          <w:sz w:val="20"/>
          <w:szCs w:val="20"/>
          <w:shd w:val="clear" w:color="auto" w:fill="FFFFFF"/>
        </w:rPr>
        <w:t>Svanborg</w:t>
      </w:r>
      <w:proofErr w:type="spellEnd"/>
      <w:r>
        <w:rPr>
          <w:rFonts w:ascii="Open Sans" w:hAnsi="Open Sans" w:cs="Open Sans"/>
          <w:color w:val="000000"/>
          <w:sz w:val="20"/>
          <w:szCs w:val="20"/>
          <w:shd w:val="clear" w:color="auto" w:fill="FFFFFF"/>
        </w:rPr>
        <w:t>, C., 2022. </w:t>
      </w:r>
      <w:r>
        <w:rPr>
          <w:rFonts w:ascii="Open Sans" w:hAnsi="Open Sans" w:cs="Open Sans"/>
          <w:i/>
          <w:iCs/>
          <w:color w:val="000000"/>
          <w:sz w:val="20"/>
          <w:szCs w:val="20"/>
          <w:shd w:val="clear" w:color="auto" w:fill="FFFFFF"/>
        </w:rPr>
        <w:t>Fimbriae, Transmembrane Signaling, and Cell Activation</w:t>
      </w:r>
      <w:r>
        <w:rPr>
          <w:rFonts w:ascii="Open Sans" w:hAnsi="Open Sans" w:cs="Open Sans"/>
          <w:color w:val="000000"/>
          <w:sz w:val="20"/>
          <w:szCs w:val="20"/>
          <w:shd w:val="clear" w:color="auto" w:fill="FFFFFF"/>
        </w:rPr>
        <w:t>.</w:t>
      </w:r>
    </w:p>
    <w:p w14:paraId="6D87BD88" w14:textId="4E6968EC" w:rsidR="00B42AAD" w:rsidRPr="00B42AAD" w:rsidRDefault="00B42AAD" w:rsidP="00B42AAD">
      <w:pPr>
        <w:pStyle w:val="a4"/>
        <w:numPr>
          <w:ilvl w:val="0"/>
          <w:numId w:val="1"/>
        </w:numPr>
        <w:bidi w:val="0"/>
        <w:rPr>
          <w:sz w:val="24"/>
          <w:szCs w:val="24"/>
        </w:rPr>
      </w:pPr>
      <w:r>
        <w:rPr>
          <w:rFonts w:ascii="Open Sans" w:hAnsi="Open Sans" w:cs="Open Sans"/>
          <w:color w:val="000000"/>
          <w:sz w:val="20"/>
          <w:szCs w:val="20"/>
          <w:shd w:val="clear" w:color="auto" w:fill="FFFFFF"/>
        </w:rPr>
        <w:t>Klemm, P. and Schembri, M., 2022. </w:t>
      </w:r>
      <w:r>
        <w:rPr>
          <w:rFonts w:ascii="Open Sans" w:hAnsi="Open Sans" w:cs="Open Sans"/>
          <w:i/>
          <w:iCs/>
          <w:color w:val="000000"/>
          <w:sz w:val="20"/>
          <w:szCs w:val="20"/>
          <w:shd w:val="clear" w:color="auto" w:fill="FFFFFF"/>
        </w:rPr>
        <w:t>Bacterial adhesins: function and structure</w:t>
      </w:r>
      <w:r>
        <w:rPr>
          <w:rFonts w:ascii="Open Sans" w:hAnsi="Open Sans" w:cs="Open Sans"/>
          <w:color w:val="000000"/>
          <w:sz w:val="20"/>
          <w:szCs w:val="20"/>
          <w:shd w:val="clear" w:color="auto" w:fill="FFFFFF"/>
        </w:rPr>
        <w:t>.</w:t>
      </w:r>
    </w:p>
    <w:sectPr w:rsidR="00B42AAD" w:rsidRPr="00B42AAD" w:rsidSect="004C3B5E">
      <w:pgSz w:w="12242" w:h="15842"/>
      <w:pgMar w:top="1417" w:right="1417" w:bottom="1417"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4469A5" w14:textId="77777777" w:rsidR="00871A47" w:rsidRDefault="00871A47" w:rsidP="007815CE">
      <w:pPr>
        <w:spacing w:after="0" w:line="240" w:lineRule="auto"/>
      </w:pPr>
      <w:r>
        <w:separator/>
      </w:r>
    </w:p>
  </w:endnote>
  <w:endnote w:type="continuationSeparator" w:id="0">
    <w:p w14:paraId="325171A5" w14:textId="77777777" w:rsidR="00871A47" w:rsidRDefault="00871A47" w:rsidP="007815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altName w:val="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F0C31C" w14:textId="77777777" w:rsidR="00871A47" w:rsidRDefault="00871A47" w:rsidP="007815CE">
      <w:pPr>
        <w:spacing w:after="0" w:line="240" w:lineRule="auto"/>
      </w:pPr>
      <w:r>
        <w:separator/>
      </w:r>
    </w:p>
  </w:footnote>
  <w:footnote w:type="continuationSeparator" w:id="0">
    <w:p w14:paraId="32D7E448" w14:textId="77777777" w:rsidR="00871A47" w:rsidRDefault="00871A47" w:rsidP="007815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40DFD"/>
    <w:multiLevelType w:val="hybridMultilevel"/>
    <w:tmpl w:val="C562C152"/>
    <w:lvl w:ilvl="0" w:tplc="9AAE7C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960464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6F4D"/>
    <w:rsid w:val="00026F4D"/>
    <w:rsid w:val="000B05DD"/>
    <w:rsid w:val="000D0926"/>
    <w:rsid w:val="00154254"/>
    <w:rsid w:val="001F32F9"/>
    <w:rsid w:val="00252563"/>
    <w:rsid w:val="00300942"/>
    <w:rsid w:val="0030786F"/>
    <w:rsid w:val="0034553E"/>
    <w:rsid w:val="00377476"/>
    <w:rsid w:val="003E13FA"/>
    <w:rsid w:val="00455031"/>
    <w:rsid w:val="004769BE"/>
    <w:rsid w:val="004C7FCC"/>
    <w:rsid w:val="00526059"/>
    <w:rsid w:val="00543E21"/>
    <w:rsid w:val="005F740F"/>
    <w:rsid w:val="00663176"/>
    <w:rsid w:val="00671762"/>
    <w:rsid w:val="006B72AB"/>
    <w:rsid w:val="006E5083"/>
    <w:rsid w:val="0077721B"/>
    <w:rsid w:val="007815CE"/>
    <w:rsid w:val="007F190F"/>
    <w:rsid w:val="007F2C3B"/>
    <w:rsid w:val="0080240D"/>
    <w:rsid w:val="008064C4"/>
    <w:rsid w:val="008406A4"/>
    <w:rsid w:val="00847175"/>
    <w:rsid w:val="00871A47"/>
    <w:rsid w:val="008A0668"/>
    <w:rsid w:val="00903DBC"/>
    <w:rsid w:val="00935DC1"/>
    <w:rsid w:val="0095271F"/>
    <w:rsid w:val="009831B1"/>
    <w:rsid w:val="009D4B1C"/>
    <w:rsid w:val="00AB5E3A"/>
    <w:rsid w:val="00AE0F28"/>
    <w:rsid w:val="00AF4F03"/>
    <w:rsid w:val="00B42AAD"/>
    <w:rsid w:val="00BB503D"/>
    <w:rsid w:val="00BC4B7B"/>
    <w:rsid w:val="00C51A43"/>
    <w:rsid w:val="00C7147D"/>
    <w:rsid w:val="00C73C23"/>
    <w:rsid w:val="00CC411F"/>
    <w:rsid w:val="00D11D0F"/>
    <w:rsid w:val="00D57218"/>
    <w:rsid w:val="00D701C5"/>
    <w:rsid w:val="00D848CA"/>
    <w:rsid w:val="00D90533"/>
    <w:rsid w:val="00DB303C"/>
    <w:rsid w:val="00DE14DE"/>
    <w:rsid w:val="00ED12FC"/>
    <w:rsid w:val="00EE100E"/>
    <w:rsid w:val="00EE47F1"/>
    <w:rsid w:val="00F770CC"/>
    <w:rsid w:val="00F960A3"/>
    <w:rsid w:val="00FC0378"/>
    <w:rsid w:val="00FC0E6C"/>
    <w:rsid w:val="00FE42C0"/>
    <w:rsid w:val="00FF09A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9C5B4"/>
  <w15:docId w15:val="{3FE671A1-4A60-4067-B327-93BB4C82C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link w:val="2Char"/>
    <w:uiPriority w:val="9"/>
    <w:semiHidden/>
    <w:unhideWhenUsed/>
    <w:qFormat/>
    <w:rsid w:val="00300942"/>
    <w:pPr>
      <w:keepNext/>
      <w:keepLines/>
      <w:bidi/>
      <w:spacing w:before="40" w:after="0"/>
      <w:outlineLvl w:val="1"/>
    </w:pPr>
    <w:rPr>
      <w:rFonts w:asciiTheme="majorHAnsi" w:eastAsiaTheme="majorEastAsia" w:hAnsiTheme="majorHAnsi" w:cstheme="majorBidi"/>
      <w:color w:val="365F91" w:themeColor="accent1" w:themeShade="BF"/>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B72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ED12FC"/>
    <w:pPr>
      <w:bidi/>
      <w:spacing w:after="160" w:line="259" w:lineRule="auto"/>
      <w:ind w:left="720"/>
      <w:contextualSpacing/>
    </w:pPr>
    <w:rPr>
      <w:lang w:val="en-US"/>
    </w:rPr>
  </w:style>
  <w:style w:type="paragraph" w:styleId="a5">
    <w:name w:val="No Spacing"/>
    <w:uiPriority w:val="1"/>
    <w:qFormat/>
    <w:rsid w:val="00DB303C"/>
    <w:pPr>
      <w:spacing w:after="0" w:line="240" w:lineRule="auto"/>
    </w:pPr>
    <w:rPr>
      <w:lang w:val="en-US"/>
    </w:rPr>
  </w:style>
  <w:style w:type="character" w:styleId="Hyperlink">
    <w:name w:val="Hyperlink"/>
    <w:basedOn w:val="a0"/>
    <w:uiPriority w:val="99"/>
    <w:semiHidden/>
    <w:unhideWhenUsed/>
    <w:rsid w:val="00543E21"/>
    <w:rPr>
      <w:color w:val="0000FF"/>
      <w:u w:val="single"/>
    </w:rPr>
  </w:style>
  <w:style w:type="character" w:styleId="a6">
    <w:name w:val="Emphasis"/>
    <w:basedOn w:val="a0"/>
    <w:uiPriority w:val="20"/>
    <w:qFormat/>
    <w:rsid w:val="00671762"/>
    <w:rPr>
      <w:i/>
      <w:iCs/>
    </w:rPr>
  </w:style>
  <w:style w:type="paragraph" w:styleId="a7">
    <w:name w:val="header"/>
    <w:basedOn w:val="a"/>
    <w:link w:val="Char"/>
    <w:uiPriority w:val="99"/>
    <w:unhideWhenUsed/>
    <w:rsid w:val="007815CE"/>
    <w:pPr>
      <w:tabs>
        <w:tab w:val="center" w:pos="4153"/>
        <w:tab w:val="right" w:pos="8306"/>
      </w:tabs>
      <w:spacing w:after="0" w:line="240" w:lineRule="auto"/>
    </w:pPr>
  </w:style>
  <w:style w:type="character" w:customStyle="1" w:styleId="Char">
    <w:name w:val="رأس الصفحة Char"/>
    <w:basedOn w:val="a0"/>
    <w:link w:val="a7"/>
    <w:uiPriority w:val="99"/>
    <w:rsid w:val="007815CE"/>
  </w:style>
  <w:style w:type="paragraph" w:styleId="a8">
    <w:name w:val="footer"/>
    <w:basedOn w:val="a"/>
    <w:link w:val="Char0"/>
    <w:uiPriority w:val="99"/>
    <w:unhideWhenUsed/>
    <w:rsid w:val="007815CE"/>
    <w:pPr>
      <w:tabs>
        <w:tab w:val="center" w:pos="4153"/>
        <w:tab w:val="right" w:pos="8306"/>
      </w:tabs>
      <w:spacing w:after="0" w:line="240" w:lineRule="auto"/>
    </w:pPr>
  </w:style>
  <w:style w:type="character" w:customStyle="1" w:styleId="Char0">
    <w:name w:val="تذييل الصفحة Char"/>
    <w:basedOn w:val="a0"/>
    <w:link w:val="a8"/>
    <w:uiPriority w:val="99"/>
    <w:rsid w:val="007815CE"/>
  </w:style>
  <w:style w:type="character" w:customStyle="1" w:styleId="2Char">
    <w:name w:val="عنوان 2 Char"/>
    <w:basedOn w:val="a0"/>
    <w:link w:val="2"/>
    <w:uiPriority w:val="9"/>
    <w:semiHidden/>
    <w:rsid w:val="00300942"/>
    <w:rPr>
      <w:rFonts w:asciiTheme="majorHAnsi" w:eastAsiaTheme="majorEastAsia" w:hAnsiTheme="majorHAnsi" w:cstheme="majorBidi"/>
      <w:color w:val="365F91"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8092333">
      <w:bodyDiv w:val="1"/>
      <w:marLeft w:val="0"/>
      <w:marRight w:val="0"/>
      <w:marTop w:val="0"/>
      <w:marBottom w:val="0"/>
      <w:divBdr>
        <w:top w:val="none" w:sz="0" w:space="0" w:color="auto"/>
        <w:left w:val="none" w:sz="0" w:space="0" w:color="auto"/>
        <w:bottom w:val="none" w:sz="0" w:space="0" w:color="auto"/>
        <w:right w:val="none" w:sz="0" w:space="0" w:color="auto"/>
      </w:divBdr>
    </w:div>
    <w:div w:id="1038513077">
      <w:bodyDiv w:val="1"/>
      <w:marLeft w:val="0"/>
      <w:marRight w:val="0"/>
      <w:marTop w:val="0"/>
      <w:marBottom w:val="0"/>
      <w:divBdr>
        <w:top w:val="none" w:sz="0" w:space="0" w:color="auto"/>
        <w:left w:val="none" w:sz="0" w:space="0" w:color="auto"/>
        <w:bottom w:val="none" w:sz="0" w:space="0" w:color="auto"/>
        <w:right w:val="none" w:sz="0" w:space="0" w:color="auto"/>
      </w:divBdr>
    </w:div>
    <w:div w:id="1258094770">
      <w:bodyDiv w:val="1"/>
      <w:marLeft w:val="0"/>
      <w:marRight w:val="0"/>
      <w:marTop w:val="0"/>
      <w:marBottom w:val="0"/>
      <w:divBdr>
        <w:top w:val="none" w:sz="0" w:space="0" w:color="auto"/>
        <w:left w:val="none" w:sz="0" w:space="0" w:color="auto"/>
        <w:bottom w:val="none" w:sz="0" w:space="0" w:color="auto"/>
        <w:right w:val="none" w:sz="0" w:space="0" w:color="auto"/>
      </w:divBdr>
    </w:div>
    <w:div w:id="1396665241">
      <w:bodyDiv w:val="1"/>
      <w:marLeft w:val="0"/>
      <w:marRight w:val="0"/>
      <w:marTop w:val="0"/>
      <w:marBottom w:val="0"/>
      <w:divBdr>
        <w:top w:val="none" w:sz="0" w:space="0" w:color="auto"/>
        <w:left w:val="none" w:sz="0" w:space="0" w:color="auto"/>
        <w:bottom w:val="none" w:sz="0" w:space="0" w:color="auto"/>
        <w:right w:val="none" w:sz="0" w:space="0" w:color="auto"/>
      </w:divBdr>
    </w:div>
    <w:div w:id="1619533446">
      <w:bodyDiv w:val="1"/>
      <w:marLeft w:val="0"/>
      <w:marRight w:val="0"/>
      <w:marTop w:val="0"/>
      <w:marBottom w:val="0"/>
      <w:divBdr>
        <w:top w:val="none" w:sz="0" w:space="0" w:color="auto"/>
        <w:left w:val="none" w:sz="0" w:space="0" w:color="auto"/>
        <w:bottom w:val="none" w:sz="0" w:space="0" w:color="auto"/>
        <w:right w:val="none" w:sz="0" w:space="0" w:color="auto"/>
      </w:divBdr>
    </w:div>
    <w:div w:id="1760564114">
      <w:bodyDiv w:val="1"/>
      <w:marLeft w:val="0"/>
      <w:marRight w:val="0"/>
      <w:marTop w:val="0"/>
      <w:marBottom w:val="0"/>
      <w:divBdr>
        <w:top w:val="none" w:sz="0" w:space="0" w:color="auto"/>
        <w:left w:val="none" w:sz="0" w:space="0" w:color="auto"/>
        <w:bottom w:val="none" w:sz="0" w:space="0" w:color="auto"/>
        <w:right w:val="none" w:sz="0" w:space="0" w:color="auto"/>
      </w:divBdr>
    </w:div>
    <w:div w:id="1913350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1575;&#1604;&#1605;&#1589;&#1606;&#1601;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1575;&#1604;&#1605;&#1589;&#1606;&#1601;1"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male bacterial</a:t>
            </a:r>
            <a:r>
              <a:rPr lang="en-US" baseline="0"/>
              <a:t> growth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S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ورقة1!$A$2</c:f>
              <c:strCache>
                <c:ptCount val="1"/>
                <c:pt idx="0">
                  <c:v>female</c:v>
                </c:pt>
              </c:strCache>
            </c:strRef>
          </c:tx>
          <c:spPr>
            <a:solidFill>
              <a:schemeClr val="accent1"/>
            </a:solidFill>
            <a:ln>
              <a:noFill/>
            </a:ln>
            <a:effectLst/>
            <a:sp3d/>
          </c:spPr>
          <c:invertIfNegative val="0"/>
          <c:cat>
            <c:strRef>
              <c:f>ورقة1!$B$1:$D$1</c:f>
              <c:strCache>
                <c:ptCount val="3"/>
                <c:pt idx="0">
                  <c:v>no growth</c:v>
                </c:pt>
                <c:pt idx="1">
                  <c:v>no significant growt</c:v>
                </c:pt>
                <c:pt idx="2">
                  <c:v>significant growth</c:v>
                </c:pt>
              </c:strCache>
            </c:strRef>
          </c:cat>
          <c:val>
            <c:numRef>
              <c:f>ورقة1!$B$2:$D$2</c:f>
              <c:numCache>
                <c:formatCode>General</c:formatCode>
                <c:ptCount val="3"/>
                <c:pt idx="0">
                  <c:v>2</c:v>
                </c:pt>
                <c:pt idx="1">
                  <c:v>8</c:v>
                </c:pt>
                <c:pt idx="2">
                  <c:v>2</c:v>
                </c:pt>
              </c:numCache>
            </c:numRef>
          </c:val>
          <c:extLst>
            <c:ext xmlns:c16="http://schemas.microsoft.com/office/drawing/2014/chart" uri="{C3380CC4-5D6E-409C-BE32-E72D297353CC}">
              <c16:uniqueId val="{00000000-DC18-4A81-A57F-2620ABC85B96}"/>
            </c:ext>
          </c:extLst>
        </c:ser>
        <c:dLbls>
          <c:showLegendKey val="0"/>
          <c:showVal val="0"/>
          <c:showCatName val="0"/>
          <c:showSerName val="0"/>
          <c:showPercent val="0"/>
          <c:showBubbleSize val="0"/>
        </c:dLbls>
        <c:gapWidth val="150"/>
        <c:shape val="box"/>
        <c:axId val="507507008"/>
        <c:axId val="507506352"/>
        <c:axId val="0"/>
      </c:bar3DChart>
      <c:catAx>
        <c:axId val="507507008"/>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SA"/>
          </a:p>
        </c:txPr>
        <c:crossAx val="507506352"/>
        <c:crosses val="autoZero"/>
        <c:auto val="1"/>
        <c:lblAlgn val="ctr"/>
        <c:lblOffset val="100"/>
        <c:noMultiLvlLbl val="0"/>
      </c:catAx>
      <c:valAx>
        <c:axId val="507506352"/>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SA"/>
          </a:p>
        </c:txPr>
        <c:crossAx val="5075070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S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female bacterial</a:t>
            </a:r>
            <a:r>
              <a:rPr lang="en-US" baseline="0"/>
              <a:t> growth </a:t>
            </a:r>
            <a:endParaRPr lang="en-US"/>
          </a:p>
        </c:rich>
      </c:tx>
      <c:layout>
        <c:manualLayout>
          <c:xMode val="edge"/>
          <c:yMode val="edge"/>
          <c:x val="0.26466666666666666"/>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ar-S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ورقة1!$A$2</c:f>
              <c:strCache>
                <c:ptCount val="1"/>
                <c:pt idx="0">
                  <c:v>female</c:v>
                </c:pt>
              </c:strCache>
            </c:strRef>
          </c:tx>
          <c:spPr>
            <a:solidFill>
              <a:schemeClr val="accent1"/>
            </a:solidFill>
            <a:ln>
              <a:noFill/>
            </a:ln>
            <a:effectLst/>
            <a:sp3d/>
          </c:spPr>
          <c:invertIfNegative val="0"/>
          <c:cat>
            <c:strRef>
              <c:f>ورقة1!$B$1:$D$1</c:f>
              <c:strCache>
                <c:ptCount val="3"/>
                <c:pt idx="0">
                  <c:v>no growth</c:v>
                </c:pt>
                <c:pt idx="1">
                  <c:v>no significant growt</c:v>
                </c:pt>
                <c:pt idx="2">
                  <c:v>significant growth</c:v>
                </c:pt>
              </c:strCache>
            </c:strRef>
          </c:cat>
          <c:val>
            <c:numRef>
              <c:f>ورقة1!$B$2:$D$2</c:f>
              <c:numCache>
                <c:formatCode>General</c:formatCode>
                <c:ptCount val="3"/>
                <c:pt idx="0">
                  <c:v>2</c:v>
                </c:pt>
                <c:pt idx="1">
                  <c:v>8</c:v>
                </c:pt>
                <c:pt idx="2">
                  <c:v>2</c:v>
                </c:pt>
              </c:numCache>
            </c:numRef>
          </c:val>
          <c:extLst>
            <c:ext xmlns:c16="http://schemas.microsoft.com/office/drawing/2014/chart" uri="{C3380CC4-5D6E-409C-BE32-E72D297353CC}">
              <c16:uniqueId val="{00000000-8077-411A-9818-290CE661FCF3}"/>
            </c:ext>
          </c:extLst>
        </c:ser>
        <c:dLbls>
          <c:showLegendKey val="0"/>
          <c:showVal val="0"/>
          <c:showCatName val="0"/>
          <c:showSerName val="0"/>
          <c:showPercent val="0"/>
          <c:showBubbleSize val="0"/>
        </c:dLbls>
        <c:gapWidth val="150"/>
        <c:shape val="box"/>
        <c:axId val="507507008"/>
        <c:axId val="507506352"/>
        <c:axId val="0"/>
      </c:bar3DChart>
      <c:catAx>
        <c:axId val="507507008"/>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SA"/>
          </a:p>
        </c:txPr>
        <c:crossAx val="507506352"/>
        <c:crosses val="autoZero"/>
        <c:auto val="1"/>
        <c:lblAlgn val="ctr"/>
        <c:lblOffset val="100"/>
        <c:noMultiLvlLbl val="0"/>
      </c:catAx>
      <c:valAx>
        <c:axId val="507506352"/>
        <c:scaling>
          <c:orientation val="maxMin"/>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SA"/>
          </a:p>
        </c:txPr>
        <c:crossAx val="5075070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S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396</TotalTime>
  <Pages>9</Pages>
  <Words>1696</Words>
  <Characters>9668</Characters>
  <Application>Microsoft Office Word</Application>
  <DocSecurity>0</DocSecurity>
  <Lines>80</Lines>
  <Paragraphs>22</Paragraphs>
  <ScaleCrop>false</ScaleCrop>
  <HeadingPairs>
    <vt:vector size="2" baseType="variant">
      <vt:variant>
        <vt:lpstr>العنوان</vt:lpstr>
      </vt:variant>
      <vt:variant>
        <vt:i4>1</vt:i4>
      </vt:variant>
    </vt:vector>
  </HeadingPairs>
  <TitlesOfParts>
    <vt:vector size="1" baseType="lpstr">
      <vt:lpstr/>
    </vt:vector>
  </TitlesOfParts>
  <Company>E-K-C-C</Company>
  <LinksUpToDate>false</LinksUpToDate>
  <CharactersWithSpaces>11342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E-K-C-C</dc:creator>
  <cp:lastModifiedBy>Rawad Store</cp:lastModifiedBy>
  <cp:revision>7</cp:revision>
  <dcterms:created xsi:type="dcterms:W3CDTF">2022-06-20T01:09:00Z</dcterms:created>
  <dcterms:modified xsi:type="dcterms:W3CDTF">2022-06-20T20:38:00Z</dcterms:modified>
</cp:coreProperties>
</file>