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1BCC" w:rsidRP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r w:rsidRPr="00773DA7">
        <w:rPr>
          <w:rFonts w:ascii="Times New Roman" w:hAnsi="Times New Roman" w:cs="Times New Roman"/>
          <w:b/>
          <w:bCs/>
          <w:sz w:val="28"/>
          <w:szCs w:val="28"/>
        </w:rPr>
        <w:t xml:space="preserve">Libyan </w:t>
      </w:r>
      <w:proofErr w:type="gramStart"/>
      <w:r w:rsidRPr="00773DA7">
        <w:rPr>
          <w:rFonts w:ascii="Times New Roman" w:hAnsi="Times New Roman" w:cs="Times New Roman"/>
          <w:b/>
          <w:bCs/>
          <w:sz w:val="28"/>
          <w:szCs w:val="28"/>
        </w:rPr>
        <w:t>international  medical</w:t>
      </w:r>
      <w:proofErr w:type="gramEnd"/>
      <w:r w:rsidRPr="00773DA7">
        <w:rPr>
          <w:rFonts w:ascii="Times New Roman" w:hAnsi="Times New Roman" w:cs="Times New Roman"/>
          <w:b/>
          <w:bCs/>
          <w:sz w:val="28"/>
          <w:szCs w:val="28"/>
        </w:rPr>
        <w:t xml:space="preserve"> university</w:t>
      </w:r>
    </w:p>
    <w:p w:rsidR="00773DA7" w:rsidRP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r w:rsidRPr="00773DA7">
        <w:rPr>
          <w:rFonts w:ascii="Times New Roman" w:hAnsi="Times New Roman" w:cs="Times New Roman"/>
          <w:b/>
          <w:bCs/>
          <w:sz w:val="28"/>
          <w:szCs w:val="28"/>
        </w:rPr>
        <w:t xml:space="preserve">Faculty of applied medical sciences </w:t>
      </w:r>
    </w:p>
    <w:p w:rsidR="00773DA7" w:rsidRP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Pr="00773DA7" w:rsidRDefault="00773DA7" w:rsidP="00773DA7">
      <w:pPr>
        <w:autoSpaceDE w:val="0"/>
        <w:autoSpaceDN w:val="0"/>
        <w:adjustRightInd w:val="0"/>
        <w:spacing w:after="0" w:line="240" w:lineRule="auto"/>
        <w:jc w:val="center"/>
        <w:rPr>
          <w:rFonts w:ascii="Times New Roman" w:hAnsi="Times New Roman" w:cs="Times New Roman"/>
          <w:b/>
          <w:bCs/>
          <w:sz w:val="40"/>
          <w:szCs w:val="40"/>
        </w:rPr>
      </w:pPr>
      <w:r w:rsidRPr="00773DA7">
        <w:rPr>
          <w:rFonts w:ascii="Times New Roman" w:hAnsi="Times New Roman" w:cs="Times New Roman"/>
          <w:b/>
          <w:bCs/>
          <w:sz w:val="40"/>
          <w:szCs w:val="40"/>
        </w:rPr>
        <w:t>Effect of gender differences on prevalence of asymptomatic bacteriuria</w:t>
      </w:r>
    </w:p>
    <w:p w:rsidR="00773DA7" w:rsidRPr="00773DA7" w:rsidRDefault="00773DA7" w:rsidP="00773DA7">
      <w:pPr>
        <w:autoSpaceDE w:val="0"/>
        <w:autoSpaceDN w:val="0"/>
        <w:adjustRightInd w:val="0"/>
        <w:spacing w:after="0" w:line="240" w:lineRule="auto"/>
        <w:jc w:val="center"/>
        <w:rPr>
          <w:rFonts w:ascii="Times New Roman" w:hAnsi="Times New Roman" w:cs="Times New Roman"/>
          <w:b/>
          <w:bCs/>
          <w:sz w:val="40"/>
          <w:szCs w:val="40"/>
        </w:rPr>
      </w:pPr>
      <w:r w:rsidRPr="00773DA7">
        <w:rPr>
          <w:rFonts w:ascii="Times New Roman" w:hAnsi="Times New Roman" w:cs="Times New Roman"/>
          <w:b/>
          <w:bCs/>
          <w:sz w:val="40"/>
          <w:szCs w:val="40"/>
        </w:rPr>
        <w:t xml:space="preserve">  </w:t>
      </w: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tl/>
          <w:lang w:bidi="ar-LY"/>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Student </w:t>
      </w:r>
      <w:proofErr w:type="gramStart"/>
      <w:r>
        <w:rPr>
          <w:rFonts w:ascii="Times New Roman" w:hAnsi="Times New Roman" w:cs="Times New Roman"/>
          <w:b/>
          <w:bCs/>
          <w:sz w:val="28"/>
          <w:szCs w:val="28"/>
        </w:rPr>
        <w:t>name :</w:t>
      </w:r>
      <w:proofErr w:type="gramEnd"/>
      <w:r>
        <w:rPr>
          <w:rFonts w:ascii="Times New Roman" w:hAnsi="Times New Roman" w:cs="Times New Roman"/>
          <w:b/>
          <w:bCs/>
          <w:sz w:val="28"/>
          <w:szCs w:val="28"/>
        </w:rPr>
        <w:t xml:space="preserve"> Hadel Milad Ali </w:t>
      </w: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Student </w:t>
      </w:r>
      <w:proofErr w:type="gramStart"/>
      <w:r>
        <w:rPr>
          <w:rFonts w:ascii="Times New Roman" w:hAnsi="Times New Roman" w:cs="Times New Roman"/>
          <w:b/>
          <w:bCs/>
          <w:sz w:val="28"/>
          <w:szCs w:val="28"/>
        </w:rPr>
        <w:t>number :</w:t>
      </w:r>
      <w:proofErr w:type="gramEnd"/>
      <w:r>
        <w:rPr>
          <w:rFonts w:ascii="Times New Roman" w:hAnsi="Times New Roman" w:cs="Times New Roman"/>
          <w:b/>
          <w:bCs/>
          <w:sz w:val="28"/>
          <w:szCs w:val="28"/>
        </w:rPr>
        <w:t xml:space="preserve"> 2731  </w:t>
      </w:r>
    </w:p>
    <w:p w:rsidR="00773DA7" w:rsidRDefault="00773DA7" w:rsidP="00773DA7">
      <w:pPr>
        <w:autoSpaceDE w:val="0"/>
        <w:autoSpaceDN w:val="0"/>
        <w:adjustRightInd w:val="0"/>
        <w:spacing w:after="0" w:line="240" w:lineRule="auto"/>
        <w:jc w:val="center"/>
        <w:rPr>
          <w:rFonts w:ascii="Times New Roman" w:hAnsi="Times New Roman" w:cs="Times New Roman"/>
          <w:b/>
          <w:bCs/>
          <w:sz w:val="28"/>
          <w:szCs w:val="28"/>
        </w:rPr>
      </w:pPr>
    </w:p>
    <w:p w:rsidR="00F81BCC" w:rsidRDefault="00F81BCC" w:rsidP="00773DA7">
      <w:pPr>
        <w:autoSpaceDE w:val="0"/>
        <w:autoSpaceDN w:val="0"/>
        <w:adjustRightInd w:val="0"/>
        <w:spacing w:after="0" w:line="240" w:lineRule="auto"/>
        <w:jc w:val="center"/>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Default="00F81BCC" w:rsidP="00F81BCC">
      <w:pPr>
        <w:autoSpaceDE w:val="0"/>
        <w:autoSpaceDN w:val="0"/>
        <w:adjustRightInd w:val="0"/>
        <w:spacing w:after="0" w:line="240" w:lineRule="auto"/>
        <w:rPr>
          <w:rFonts w:ascii="Times New Roman" w:hAnsi="Times New Roman" w:cs="Times New Roman"/>
          <w:b/>
          <w:bCs/>
          <w:sz w:val="28"/>
          <w:szCs w:val="28"/>
        </w:rPr>
      </w:pPr>
    </w:p>
    <w:p w:rsidR="00F81BCC" w:rsidRPr="00F81BCC" w:rsidRDefault="00F81BCC" w:rsidP="00F81BCC">
      <w:pPr>
        <w:autoSpaceDE w:val="0"/>
        <w:autoSpaceDN w:val="0"/>
        <w:adjustRightInd w:val="0"/>
        <w:spacing w:after="0" w:line="240" w:lineRule="auto"/>
        <w:rPr>
          <w:rFonts w:ascii="Times New Roman" w:hAnsi="Times New Roman" w:cs="Times New Roman"/>
          <w:b/>
          <w:bCs/>
          <w:sz w:val="28"/>
          <w:szCs w:val="28"/>
        </w:rPr>
      </w:pPr>
      <w:r w:rsidRPr="00F81BCC">
        <w:rPr>
          <w:rFonts w:ascii="Times New Roman" w:hAnsi="Times New Roman" w:cs="Times New Roman"/>
          <w:b/>
          <w:bCs/>
          <w:sz w:val="28"/>
          <w:szCs w:val="28"/>
        </w:rPr>
        <w:t xml:space="preserve">Abstract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Urinary tract infection (UTI) is a common bacterial illness that affects many sections of the urinary tract, and it can affect both men and women.</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 Although both men and women are susceptible to the illness, women are more sensitive due to their anatomy and reproductive system.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Bacterial invasion of the urinary tract, comprising the lower and upper urinary tract, is the most common cause of infection.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Escherichia coli is the most common bacterial species, accounting for 80 to 85 percent of infections, followed by Staphylococcus species, which account for 10 to 15 percent. </w:t>
      </w:r>
    </w:p>
    <w:p w:rsidR="00F3014A" w:rsidRDefault="00F81BCC" w:rsidP="00F81BCC">
      <w:pPr>
        <w:autoSpaceDE w:val="0"/>
        <w:autoSpaceDN w:val="0"/>
        <w:adjustRightInd w:val="0"/>
        <w:spacing w:after="0" w:line="240" w:lineRule="auto"/>
        <w:rPr>
          <w:rFonts w:ascii="Times New Roman" w:hAnsi="Times New Roman" w:cs="Times New Roman"/>
          <w:sz w:val="24"/>
          <w:szCs w:val="24"/>
        </w:rPr>
      </w:pPr>
      <w:proofErr w:type="gramStart"/>
      <w:r w:rsidRPr="00F81BCC">
        <w:rPr>
          <w:rFonts w:ascii="Times New Roman" w:hAnsi="Times New Roman" w:cs="Times New Roman"/>
          <w:sz w:val="24"/>
          <w:szCs w:val="24"/>
        </w:rPr>
        <w:t>the</w:t>
      </w:r>
      <w:proofErr w:type="gramEnd"/>
      <w:r w:rsidRPr="00F81BCC">
        <w:rPr>
          <w:rFonts w:ascii="Times New Roman" w:hAnsi="Times New Roman" w:cs="Times New Roman"/>
          <w:sz w:val="24"/>
          <w:szCs w:val="24"/>
        </w:rPr>
        <w:t xml:space="preserve"> bacterial species Klebsiella, Pseudomonas, Proteus, and Enterococcus have a limited role in the transmission of illness.</w:t>
      </w:r>
    </w:p>
    <w:p w:rsidR="00D0784F" w:rsidRDefault="00D0784F"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Pr="00F81BCC" w:rsidRDefault="00F81BCC" w:rsidP="00F81BCC">
      <w:pPr>
        <w:autoSpaceDE w:val="0"/>
        <w:autoSpaceDN w:val="0"/>
        <w:adjustRightInd w:val="0"/>
        <w:spacing w:after="0" w:line="240" w:lineRule="auto"/>
        <w:rPr>
          <w:rFonts w:ascii="Times New Roman" w:hAnsi="Times New Roman" w:cs="Times New Roman"/>
          <w:b/>
          <w:bCs/>
          <w:sz w:val="28"/>
          <w:szCs w:val="28"/>
        </w:rPr>
      </w:pPr>
      <w:r w:rsidRPr="00F81BCC">
        <w:rPr>
          <w:rFonts w:ascii="Times New Roman" w:hAnsi="Times New Roman" w:cs="Times New Roman"/>
          <w:b/>
          <w:bCs/>
          <w:sz w:val="28"/>
          <w:szCs w:val="28"/>
        </w:rPr>
        <w:t xml:space="preserve">Introduction </w:t>
      </w:r>
    </w:p>
    <w:p w:rsidR="001B30FA" w:rsidRDefault="001B30FA" w:rsidP="009E382B">
      <w:pPr>
        <w:autoSpaceDE w:val="0"/>
        <w:autoSpaceDN w:val="0"/>
        <w:adjustRightInd w:val="0"/>
        <w:spacing w:after="0" w:line="240" w:lineRule="auto"/>
        <w:rPr>
          <w:rFonts w:ascii="Times New Roman" w:hAnsi="Times New Roman" w:cs="Times New Roman"/>
          <w:sz w:val="24"/>
          <w:szCs w:val="24"/>
        </w:rPr>
      </w:pPr>
      <w:r w:rsidRPr="001B30FA">
        <w:rPr>
          <w:rFonts w:ascii="Times New Roman" w:hAnsi="Times New Roman" w:cs="Times New Roman"/>
          <w:sz w:val="24"/>
          <w:szCs w:val="24"/>
        </w:rPr>
        <w:t>Asymptomatic bacteriuria is a common clinical condition that often leads to unnecessary treatment.</w:t>
      </w:r>
    </w:p>
    <w:p w:rsidR="001B30FA" w:rsidRDefault="001B30FA" w:rsidP="009E382B">
      <w:pPr>
        <w:autoSpaceDE w:val="0"/>
        <w:autoSpaceDN w:val="0"/>
        <w:adjustRightInd w:val="0"/>
        <w:spacing w:after="0" w:line="240" w:lineRule="auto"/>
        <w:rPr>
          <w:rFonts w:ascii="Times New Roman" w:hAnsi="Times New Roman" w:cs="Times New Roman"/>
          <w:sz w:val="24"/>
          <w:szCs w:val="24"/>
        </w:rPr>
      </w:pPr>
      <w:r w:rsidRPr="001B30FA">
        <w:rPr>
          <w:rFonts w:ascii="Times New Roman" w:hAnsi="Times New Roman" w:cs="Times New Roman"/>
          <w:sz w:val="24"/>
          <w:szCs w:val="24"/>
        </w:rPr>
        <w:t xml:space="preserve"> It has been shown that incidence of asymptomatic bacteriuria increases with age and are more prominent in women than men</w:t>
      </w:r>
      <w:r>
        <w:rPr>
          <w:rFonts w:ascii="Times New Roman" w:hAnsi="Times New Roman" w:cs="Times New Roman"/>
          <w:sz w:val="24"/>
          <w:szCs w:val="24"/>
        </w:rPr>
        <w:t xml:space="preserve"> </w:t>
      </w:r>
    </w:p>
    <w:p w:rsidR="009E382B" w:rsidRPr="009E382B" w:rsidRDefault="001B30FA" w:rsidP="009E382B">
      <w:pPr>
        <w:autoSpaceDE w:val="0"/>
        <w:autoSpaceDN w:val="0"/>
        <w:adjustRightInd w:val="0"/>
        <w:spacing w:after="0" w:line="240" w:lineRule="auto"/>
        <w:rPr>
          <w:rFonts w:ascii="Times New Roman" w:hAnsi="Times New Roman" w:cs="Times New Roman"/>
          <w:sz w:val="24"/>
          <w:szCs w:val="24"/>
        </w:rPr>
      </w:pPr>
      <w:bookmarkStart w:id="0" w:name="_GoBack"/>
      <w:bookmarkEnd w:id="0"/>
      <w:r>
        <w:rPr>
          <w:rFonts w:ascii="Times New Roman" w:hAnsi="Times New Roman" w:cs="Times New Roman"/>
          <w:sz w:val="24"/>
          <w:szCs w:val="24"/>
        </w:rPr>
        <w:t>as</w:t>
      </w:r>
      <w:r w:rsidR="009E382B" w:rsidRPr="009E382B">
        <w:rPr>
          <w:rFonts w:ascii="Times New Roman" w:hAnsi="Times New Roman" w:cs="Times New Roman"/>
          <w:sz w:val="24"/>
          <w:szCs w:val="24"/>
        </w:rPr>
        <w:t>ymptomatic bacteriuria is when you have bacteria in your urinary tract but you don’t have the symptoms that usually go along with UTIs.</w:t>
      </w:r>
    </w:p>
    <w:p w:rsidR="009E382B" w:rsidRDefault="009E382B" w:rsidP="009E382B">
      <w:pPr>
        <w:autoSpaceDE w:val="0"/>
        <w:autoSpaceDN w:val="0"/>
        <w:adjustRightInd w:val="0"/>
        <w:spacing w:after="0" w:line="240" w:lineRule="auto"/>
        <w:rPr>
          <w:rFonts w:ascii="Times New Roman" w:hAnsi="Times New Roman" w:cs="Times New Roman"/>
          <w:sz w:val="24"/>
          <w:szCs w:val="24"/>
        </w:rPr>
      </w:pPr>
      <w:r w:rsidRPr="009E382B">
        <w:rPr>
          <w:rFonts w:ascii="Times New Roman" w:hAnsi="Times New Roman" w:cs="Times New Roman"/>
          <w:sz w:val="24"/>
          <w:szCs w:val="24"/>
        </w:rPr>
        <w:t>Older adults are more likely than young people to have asymptomatic bacteriuria. People who have a urinary catheter – a small tube that is inserted into the bladder to drain it— also have an increased risk of having asymptomatic bacteriuria.</w:t>
      </w:r>
    </w:p>
    <w:p w:rsidR="00F81BCC" w:rsidRPr="00F81BCC" w:rsidRDefault="00F81BCC" w:rsidP="009E382B">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UTIs are common infections that happen when bacteria, often from the skin or rectum, enter the urethra, and infect the urinary tract.</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 The infections can affect several parts of the urinary tract, but the most common type is a bladder infection (cystitis)</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Kidney infection (pyelonephritis) is another type of UTI.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Women are at greater risk of developing a UTI than are men. Infection limited to your bladder can be painful and annoying. However, serious consequences can occur if a UTI spreads to your kidneys</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tl/>
        </w:rPr>
      </w:pP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Doctors typically treat urinary tract infections with antibiotics. But you can take steps to reduce your chances of getting a UTI in the first place but more serious than bladder infections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Urinary tract infections don't always cause signs and symptoms, but when they do they may </w:t>
      </w:r>
      <w:proofErr w:type="gramStart"/>
      <w:r w:rsidRPr="00F81BCC">
        <w:rPr>
          <w:rFonts w:ascii="Times New Roman" w:hAnsi="Times New Roman" w:cs="Times New Roman"/>
          <w:sz w:val="24"/>
          <w:szCs w:val="24"/>
        </w:rPr>
        <w:t>include :</w:t>
      </w:r>
      <w:proofErr w:type="gramEnd"/>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lastRenderedPageBreak/>
        <w:t>A strong, persistent urge to urinate</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A burning sensation when urinating</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Passing frequent, small amounts of urine</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Urine that appears cloudy</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Urine that appears red, bright pink or cola-colored — a sign of blood in the urine</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Strong-smelling urine</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Pelvic pain, in women — especially in the center of the pelvis and around the area of the pubic bone</w:t>
      </w:r>
    </w:p>
    <w:p w:rsid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Urinary tract infections are prevalent in women, and many of them have many infections throughout their lives.</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UTI risk factors that are particular to women include:</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Anatomy of a woman </w:t>
      </w:r>
      <w:proofErr w:type="gramStart"/>
      <w:r w:rsidRPr="00F81BCC">
        <w:rPr>
          <w:rFonts w:ascii="Times New Roman" w:hAnsi="Times New Roman" w:cs="Times New Roman"/>
          <w:sz w:val="24"/>
          <w:szCs w:val="24"/>
        </w:rPr>
        <w:t>A</w:t>
      </w:r>
      <w:proofErr w:type="gramEnd"/>
      <w:r w:rsidRPr="00F81BCC">
        <w:rPr>
          <w:rFonts w:ascii="Times New Roman" w:hAnsi="Times New Roman" w:cs="Times New Roman"/>
          <w:sz w:val="24"/>
          <w:szCs w:val="24"/>
        </w:rPr>
        <w:t xml:space="preserve"> woman's urethra is shorter than a man's, reducing the distance bacteria must travel to reach the bladder</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 UTIs are more common in sexually active women than in non-sexually active women.</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 Having a new sexual partner raises your risk as well</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Certain types of birth control are available. Women who use diaphragms for birth control, as well as those who use spermicidal drugs, may be at a higher risk</w:t>
      </w:r>
    </w:p>
    <w:p w:rsidR="00F81BCC" w:rsidRDefault="00F81BCC" w:rsidP="00F81BCC">
      <w:pPr>
        <w:pBdr>
          <w:bottom w:val="single" w:sz="12" w:space="1" w:color="auto"/>
        </w:pBd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Menopause a decrease in circulating estrogen after menopause produces changes in the urinary tract that make you more susceptible to infection</w:t>
      </w: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Pr="00F81BCC" w:rsidRDefault="00F81BCC" w:rsidP="00F81BCC">
      <w:pPr>
        <w:autoSpaceDE w:val="0"/>
        <w:autoSpaceDN w:val="0"/>
        <w:adjustRightInd w:val="0"/>
        <w:spacing w:after="0" w:line="240" w:lineRule="auto"/>
        <w:rPr>
          <w:rFonts w:ascii="Times New Roman" w:hAnsi="Times New Roman" w:cs="Times New Roman"/>
          <w:b/>
          <w:bCs/>
          <w:sz w:val="28"/>
          <w:szCs w:val="28"/>
        </w:rPr>
      </w:pPr>
      <w:r w:rsidRPr="00F81BCC">
        <w:rPr>
          <w:rFonts w:ascii="Times New Roman" w:hAnsi="Times New Roman" w:cs="Times New Roman"/>
          <w:b/>
          <w:bCs/>
          <w:sz w:val="28"/>
          <w:szCs w:val="28"/>
        </w:rPr>
        <w:t xml:space="preserve">Materials and method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-Sample of people and must they contain of men and </w:t>
      </w:r>
      <w:proofErr w:type="gramStart"/>
      <w:r w:rsidRPr="00F81BCC">
        <w:rPr>
          <w:rFonts w:ascii="Times New Roman" w:hAnsi="Times New Roman" w:cs="Times New Roman"/>
          <w:sz w:val="24"/>
          <w:szCs w:val="24"/>
        </w:rPr>
        <w:t>women  to</w:t>
      </w:r>
      <w:proofErr w:type="gramEnd"/>
      <w:r w:rsidRPr="00F81BCC">
        <w:rPr>
          <w:rFonts w:ascii="Times New Roman" w:hAnsi="Times New Roman" w:cs="Times New Roman"/>
          <w:sz w:val="24"/>
          <w:szCs w:val="24"/>
        </w:rPr>
        <w:t xml:space="preserve"> collect the sample from them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-Collect the urine sample from them due to </w:t>
      </w:r>
      <w:proofErr w:type="gramStart"/>
      <w:r w:rsidRPr="00F81BCC">
        <w:rPr>
          <w:rFonts w:ascii="Times New Roman" w:hAnsi="Times New Roman" w:cs="Times New Roman"/>
          <w:sz w:val="24"/>
          <w:szCs w:val="24"/>
        </w:rPr>
        <w:t>The</w:t>
      </w:r>
      <w:proofErr w:type="gramEnd"/>
      <w:r w:rsidRPr="00F81BCC">
        <w:rPr>
          <w:rFonts w:ascii="Times New Roman" w:hAnsi="Times New Roman" w:cs="Times New Roman"/>
          <w:sz w:val="24"/>
          <w:szCs w:val="24"/>
        </w:rPr>
        <w:t xml:space="preserve"> urine flows out of the nephron tubule into a collecting duct.</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 It passes out of the kidney through the renal pelvis, into the ureter, and down to the bladder so the UTI infection found in the urine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-flame a calibrated wire loop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-Mix the urine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-insert the loop vertically into the urine to allow the urine adhere to the loop.</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 xml:space="preserve"> -spread the urine over the surface of the agar plate. </w:t>
      </w:r>
    </w:p>
    <w:p w:rsidR="00F81BCC" w:rsidRP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ab/>
      </w:r>
      <w:r w:rsidRPr="00F81BCC">
        <w:rPr>
          <w:rFonts w:ascii="Times New Roman" w:hAnsi="Times New Roman" w:cs="Times New Roman"/>
          <w:sz w:val="24"/>
          <w:szCs w:val="24"/>
        </w:rPr>
        <w:tab/>
        <w:t xml:space="preserve">- </w:t>
      </w:r>
      <w:proofErr w:type="gramStart"/>
      <w:r w:rsidRPr="00F81BCC">
        <w:rPr>
          <w:rFonts w:ascii="Times New Roman" w:hAnsi="Times New Roman" w:cs="Times New Roman"/>
          <w:sz w:val="24"/>
          <w:szCs w:val="24"/>
        </w:rPr>
        <w:t>without</w:t>
      </w:r>
      <w:proofErr w:type="gramEnd"/>
      <w:r w:rsidRPr="00F81BCC">
        <w:rPr>
          <w:rFonts w:ascii="Times New Roman" w:hAnsi="Times New Roman" w:cs="Times New Roman"/>
          <w:sz w:val="24"/>
          <w:szCs w:val="24"/>
        </w:rPr>
        <w:t xml:space="preserve"> flaming insert the loop vertically into the urine again to transfer of loop fall  to a second plate</w:t>
      </w:r>
    </w:p>
    <w:p w:rsidR="00F81BCC" w:rsidRDefault="00F81BCC" w:rsidP="00F81BCC">
      <w:pP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Most bacteria will grow well using nutrient agar as a colon</w:t>
      </w:r>
      <w:r>
        <w:rPr>
          <w:rFonts w:ascii="Times New Roman" w:hAnsi="Times New Roman" w:cs="Times New Roman"/>
          <w:sz w:val="24"/>
          <w:szCs w:val="24"/>
        </w:rPr>
        <w:t xml:space="preserve">y </w:t>
      </w:r>
    </w:p>
    <w:p w:rsidR="00F81BCC" w:rsidRDefault="00F81BCC" w:rsidP="00F81BCC">
      <w:pPr>
        <w:pBdr>
          <w:bottom w:val="single" w:sz="12" w:space="1" w:color="auto"/>
        </w:pBdr>
        <w:autoSpaceDE w:val="0"/>
        <w:autoSpaceDN w:val="0"/>
        <w:adjustRightInd w:val="0"/>
        <w:spacing w:after="0" w:line="240" w:lineRule="auto"/>
        <w:rPr>
          <w:rFonts w:ascii="Times New Roman" w:hAnsi="Times New Roman" w:cs="Times New Roman"/>
          <w:sz w:val="24"/>
          <w:szCs w:val="24"/>
        </w:rPr>
      </w:pPr>
      <w:r w:rsidRPr="00F81BCC">
        <w:rPr>
          <w:rFonts w:ascii="Times New Roman" w:hAnsi="Times New Roman" w:cs="Times New Roman"/>
          <w:sz w:val="24"/>
          <w:szCs w:val="24"/>
        </w:rPr>
        <w:t>After that will count the colony on the blood agar to know if the patient infected or not</w:t>
      </w:r>
      <w:r>
        <w:rPr>
          <w:rFonts w:ascii="Times New Roman" w:hAnsi="Times New Roman" w:cs="Times New Roman"/>
          <w:sz w:val="24"/>
          <w:szCs w:val="24"/>
        </w:rPr>
        <w:t xml:space="preserve"> </w:t>
      </w:r>
    </w:p>
    <w:p w:rsidR="006E3AA8" w:rsidRDefault="006E3AA8" w:rsidP="00F81BCC">
      <w:pPr>
        <w:pBdr>
          <w:bottom w:val="single" w:sz="12" w:space="1" w:color="auto"/>
        </w:pBd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After that use the antibiotic disc on the agar if the zone of inhibition ( clear zone around the antibiotic disc) appear that mean the microorganism sensitive to this type of antibiotic if not seen the mean the microorganism resistance to the antibiotic  </w:t>
      </w:r>
    </w:p>
    <w:p w:rsidR="00F81BCC" w:rsidRDefault="00F81BCC" w:rsidP="00F81BCC">
      <w:pPr>
        <w:autoSpaceDE w:val="0"/>
        <w:autoSpaceDN w:val="0"/>
        <w:adjustRightInd w:val="0"/>
        <w:spacing w:after="0" w:line="240" w:lineRule="auto"/>
        <w:rPr>
          <w:rFonts w:ascii="Times New Roman" w:hAnsi="Times New Roman" w:cs="Times New Roman"/>
          <w:sz w:val="24"/>
          <w:szCs w:val="24"/>
        </w:rPr>
      </w:pPr>
    </w:p>
    <w:p w:rsidR="00F81BCC" w:rsidRPr="00F3014A" w:rsidRDefault="00F81BCC" w:rsidP="00F81BC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tbl>
      <w:tblPr>
        <w:tblW w:w="59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24"/>
        <w:gridCol w:w="1024"/>
        <w:gridCol w:w="1468"/>
      </w:tblGrid>
      <w:tr w:rsidR="00F3014A" w:rsidRPr="00F3014A">
        <w:trPr>
          <w:cantSplit/>
        </w:trPr>
        <w:tc>
          <w:tcPr>
            <w:tcW w:w="5963" w:type="dxa"/>
            <w:gridSpan w:val="4"/>
            <w:tcBorders>
              <w:top w:val="nil"/>
              <w:left w:val="nil"/>
              <w:bottom w:val="nil"/>
              <w:right w:val="nil"/>
            </w:tcBorders>
            <w:shd w:val="clear" w:color="auto" w:fill="FFFFFF"/>
            <w:vAlign w:val="center"/>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010205"/>
              </w:rPr>
            </w:pPr>
            <w:r w:rsidRPr="00F3014A">
              <w:rPr>
                <w:rFonts w:ascii="Arial" w:hAnsi="Arial" w:cs="Arial"/>
                <w:b/>
                <w:bCs/>
                <w:color w:val="010205"/>
              </w:rPr>
              <w:t>Chi-Square Tests</w:t>
            </w:r>
          </w:p>
        </w:tc>
      </w:tr>
      <w:tr w:rsidR="00F3014A" w:rsidRPr="00F3014A">
        <w:trPr>
          <w:cantSplit/>
        </w:trPr>
        <w:tc>
          <w:tcPr>
            <w:tcW w:w="2447" w:type="dxa"/>
            <w:tcBorders>
              <w:top w:val="nil"/>
              <w:left w:val="nil"/>
              <w:bottom w:val="single" w:sz="8" w:space="0" w:color="152935"/>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Value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F3014A">
              <w:rPr>
                <w:rFonts w:ascii="Arial" w:hAnsi="Arial" w:cs="Arial"/>
                <w:color w:val="264A60"/>
                <w:sz w:val="18"/>
                <w:szCs w:val="18"/>
              </w:rPr>
              <w:t>df</w:t>
            </w:r>
            <w:proofErr w:type="spellEnd"/>
          </w:p>
        </w:tc>
        <w:tc>
          <w:tcPr>
            <w:tcW w:w="1468" w:type="dxa"/>
            <w:tcBorders>
              <w:top w:val="nil"/>
              <w:left w:val="single" w:sz="8" w:space="0" w:color="E0E0E0"/>
              <w:bottom w:val="single" w:sz="8" w:space="0" w:color="152935"/>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Asymptotic Significance (2-sided)</w:t>
            </w:r>
          </w:p>
        </w:tc>
      </w:tr>
      <w:tr w:rsidR="00F3014A" w:rsidRPr="00F3014A">
        <w:trPr>
          <w:cantSplit/>
        </w:trPr>
        <w:tc>
          <w:tcPr>
            <w:tcW w:w="2447" w:type="dxa"/>
            <w:tcBorders>
              <w:top w:val="single" w:sz="8" w:space="0" w:color="152935"/>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Pearson Chi-Square</w:t>
            </w:r>
          </w:p>
        </w:tc>
        <w:tc>
          <w:tcPr>
            <w:tcW w:w="1024" w:type="dxa"/>
            <w:tcBorders>
              <w:top w:val="single" w:sz="8" w:space="0" w:color="152935"/>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8.727</w:t>
            </w:r>
            <w:r w:rsidRPr="00F3014A">
              <w:rPr>
                <w:rFonts w:ascii="Arial" w:hAnsi="Arial" w:cs="Arial"/>
                <w:color w:val="010205"/>
                <w:sz w:val="18"/>
                <w:szCs w:val="18"/>
                <w:vertAlign w:val="superscript"/>
              </w:rPr>
              <w:t>a</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w:t>
            </w:r>
          </w:p>
        </w:tc>
        <w:tc>
          <w:tcPr>
            <w:tcW w:w="1468" w:type="dxa"/>
            <w:tcBorders>
              <w:top w:val="single" w:sz="8" w:space="0" w:color="152935"/>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.013</w:t>
            </w:r>
          </w:p>
        </w:tc>
      </w:tr>
      <w:tr w:rsidR="00F3014A" w:rsidRPr="00F3014A">
        <w:trPr>
          <w:cantSplit/>
        </w:trPr>
        <w:tc>
          <w:tcPr>
            <w:tcW w:w="244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Likelihood Ratio</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9.949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w:t>
            </w:r>
          </w:p>
        </w:tc>
        <w:tc>
          <w:tcPr>
            <w:tcW w:w="1468"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.007</w:t>
            </w:r>
          </w:p>
        </w:tc>
      </w:tr>
      <w:tr w:rsidR="00F3014A" w:rsidRPr="00F3014A">
        <w:trPr>
          <w:cantSplit/>
        </w:trPr>
        <w:tc>
          <w:tcPr>
            <w:tcW w:w="244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lastRenderedPageBreak/>
              <w:t>Linear-by-Linear Association</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8.065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w:t>
            </w:r>
          </w:p>
        </w:tc>
        <w:tc>
          <w:tcPr>
            <w:tcW w:w="1468"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.005</w:t>
            </w:r>
          </w:p>
        </w:tc>
      </w:tr>
      <w:tr w:rsidR="00F3014A" w:rsidRPr="00F3014A">
        <w:trPr>
          <w:cantSplit/>
        </w:trPr>
        <w:tc>
          <w:tcPr>
            <w:tcW w:w="2447" w:type="dxa"/>
            <w:tcBorders>
              <w:top w:val="single" w:sz="8" w:space="0" w:color="AEAEAE"/>
              <w:left w:val="nil"/>
              <w:bottom w:val="single" w:sz="8" w:space="0" w:color="152935"/>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N of Valid Cases</w:t>
            </w:r>
          </w:p>
        </w:tc>
        <w:tc>
          <w:tcPr>
            <w:tcW w:w="1024" w:type="dxa"/>
            <w:tcBorders>
              <w:top w:val="single" w:sz="8" w:space="0" w:color="AEAEAE"/>
              <w:left w:val="nil"/>
              <w:bottom w:val="single" w:sz="8" w:space="0" w:color="152935"/>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c>
      </w:tr>
      <w:tr w:rsidR="00F3014A" w:rsidRPr="00F3014A">
        <w:trPr>
          <w:cantSplit/>
        </w:trPr>
        <w:tc>
          <w:tcPr>
            <w:tcW w:w="5963" w:type="dxa"/>
            <w:gridSpan w:val="4"/>
            <w:tcBorders>
              <w:top w:val="nil"/>
              <w:left w:val="nil"/>
              <w:bottom w:val="nil"/>
              <w:right w:val="nil"/>
            </w:tcBorders>
            <w:shd w:val="clear" w:color="auto" w:fill="FFFFFF"/>
          </w:tcPr>
          <w:p w:rsidR="00F3014A" w:rsidRPr="00F3014A" w:rsidRDefault="00F3014A" w:rsidP="00F3014A">
            <w:pPr>
              <w:autoSpaceDE w:val="0"/>
              <w:autoSpaceDN w:val="0"/>
              <w:adjustRightInd w:val="0"/>
              <w:spacing w:after="0" w:line="320" w:lineRule="atLeast"/>
              <w:ind w:left="60" w:right="60"/>
              <w:rPr>
                <w:rFonts w:ascii="Arial" w:hAnsi="Arial" w:cs="Arial"/>
                <w:color w:val="010205"/>
                <w:sz w:val="18"/>
                <w:szCs w:val="18"/>
              </w:rPr>
            </w:pPr>
            <w:r w:rsidRPr="00F3014A">
              <w:rPr>
                <w:rFonts w:ascii="Arial" w:hAnsi="Arial" w:cs="Arial"/>
                <w:color w:val="010205"/>
                <w:sz w:val="18"/>
                <w:szCs w:val="18"/>
              </w:rPr>
              <w:t>a. 2 cells (33.3%) have expected count less than 5. The minimum expected count is 1.00.</w:t>
            </w:r>
          </w:p>
        </w:tc>
      </w:tr>
    </w:tbl>
    <w:p w:rsidR="00F3014A" w:rsidRP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6"/>
        <w:gridCol w:w="2448"/>
        <w:gridCol w:w="1668"/>
        <w:gridCol w:w="1025"/>
        <w:gridCol w:w="1025"/>
        <w:gridCol w:w="1025"/>
      </w:tblGrid>
      <w:tr w:rsidR="00F3014A" w:rsidRPr="00F3014A">
        <w:trPr>
          <w:cantSplit/>
        </w:trPr>
        <w:tc>
          <w:tcPr>
            <w:tcW w:w="8103" w:type="dxa"/>
            <w:gridSpan w:val="6"/>
            <w:tcBorders>
              <w:top w:val="nil"/>
              <w:left w:val="nil"/>
              <w:bottom w:val="nil"/>
              <w:right w:val="nil"/>
            </w:tcBorders>
            <w:shd w:val="clear" w:color="auto" w:fill="FFFFFF"/>
            <w:vAlign w:val="center"/>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010205"/>
              </w:rPr>
            </w:pPr>
            <w:proofErr w:type="spellStart"/>
            <w:r w:rsidRPr="00F3014A">
              <w:rPr>
                <w:rFonts w:ascii="Arial" w:hAnsi="Arial" w:cs="Arial"/>
                <w:b/>
                <w:bCs/>
                <w:color w:val="010205"/>
              </w:rPr>
              <w:t>CFUcat</w:t>
            </w:r>
            <w:proofErr w:type="spellEnd"/>
            <w:r w:rsidRPr="00F3014A">
              <w:rPr>
                <w:rFonts w:ascii="Arial" w:hAnsi="Arial" w:cs="Arial"/>
                <w:b/>
                <w:bCs/>
                <w:color w:val="010205"/>
              </w:rPr>
              <w:t xml:space="preserve"> * Gender </w:t>
            </w:r>
            <w:proofErr w:type="spellStart"/>
            <w:r w:rsidRPr="00F3014A">
              <w:rPr>
                <w:rFonts w:ascii="Arial" w:hAnsi="Arial" w:cs="Arial"/>
                <w:b/>
                <w:bCs/>
                <w:color w:val="010205"/>
              </w:rPr>
              <w:t>Crosstabulation</w:t>
            </w:r>
            <w:proofErr w:type="spellEnd"/>
          </w:p>
        </w:tc>
      </w:tr>
      <w:tr w:rsidR="00F3014A" w:rsidRPr="00F3014A">
        <w:trPr>
          <w:cantSplit/>
        </w:trPr>
        <w:tc>
          <w:tcPr>
            <w:tcW w:w="5031" w:type="dxa"/>
            <w:gridSpan w:val="3"/>
            <w:vMerge w:val="restart"/>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c>
        <w:tc>
          <w:tcPr>
            <w:tcW w:w="2048" w:type="dxa"/>
            <w:gridSpan w:val="2"/>
            <w:tcBorders>
              <w:top w:val="nil"/>
              <w:left w:val="nil"/>
              <w:bottom w:val="nil"/>
              <w:right w:val="single" w:sz="8" w:space="0" w:color="E0E0E0"/>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Gender</w:t>
            </w:r>
          </w:p>
        </w:tc>
        <w:tc>
          <w:tcPr>
            <w:tcW w:w="1024" w:type="dxa"/>
            <w:vMerge w:val="restart"/>
            <w:tcBorders>
              <w:top w:val="nil"/>
              <w:left w:val="single" w:sz="8" w:space="0" w:color="E0E0E0"/>
              <w:bottom w:val="nil"/>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Total</w:t>
            </w:r>
          </w:p>
        </w:tc>
      </w:tr>
      <w:tr w:rsidR="00F3014A" w:rsidRPr="00F3014A">
        <w:trPr>
          <w:cantSplit/>
        </w:trPr>
        <w:tc>
          <w:tcPr>
            <w:tcW w:w="5031" w:type="dxa"/>
            <w:gridSpan w:val="3"/>
            <w:vMerge/>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F3014A" w:rsidRPr="00F3014A" w:rsidRDefault="000E6FD0" w:rsidP="00F3014A">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Female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F3014A" w:rsidRPr="00F3014A" w:rsidRDefault="000E6FD0" w:rsidP="00F3014A">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Male</w:t>
            </w:r>
          </w:p>
        </w:tc>
        <w:tc>
          <w:tcPr>
            <w:tcW w:w="1024" w:type="dxa"/>
            <w:vMerge/>
            <w:tcBorders>
              <w:top w:val="nil"/>
              <w:left w:val="single" w:sz="8" w:space="0" w:color="E0E0E0"/>
              <w:bottom w:val="nil"/>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Arial" w:hAnsi="Arial" w:cs="Arial"/>
                <w:color w:val="264A60"/>
                <w:sz w:val="18"/>
                <w:szCs w:val="18"/>
              </w:rPr>
            </w:pPr>
          </w:p>
        </w:tc>
      </w:tr>
      <w:tr w:rsidR="00F3014A" w:rsidRPr="00F3014A">
        <w:trPr>
          <w:cantSplit/>
        </w:trPr>
        <w:tc>
          <w:tcPr>
            <w:tcW w:w="917" w:type="dxa"/>
            <w:vMerge w:val="restart"/>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proofErr w:type="spellStart"/>
            <w:r w:rsidRPr="00F3014A">
              <w:rPr>
                <w:rFonts w:ascii="Arial" w:hAnsi="Arial" w:cs="Arial"/>
                <w:color w:val="264A60"/>
                <w:sz w:val="18"/>
                <w:szCs w:val="18"/>
              </w:rPr>
              <w:t>CFUcat</w:t>
            </w:r>
            <w:proofErr w:type="spellEnd"/>
          </w:p>
        </w:tc>
        <w:tc>
          <w:tcPr>
            <w:tcW w:w="2447" w:type="dxa"/>
            <w:vMerge w:val="restart"/>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No growth</w:t>
            </w:r>
          </w:p>
        </w:tc>
        <w:tc>
          <w:tcPr>
            <w:tcW w:w="1667" w:type="dxa"/>
            <w:tcBorders>
              <w:top w:val="single" w:sz="8" w:space="0" w:color="152935"/>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Count</w:t>
            </w:r>
          </w:p>
        </w:tc>
        <w:tc>
          <w:tcPr>
            <w:tcW w:w="1024" w:type="dxa"/>
            <w:tcBorders>
              <w:top w:val="single" w:sz="8" w:space="0" w:color="152935"/>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9</w:t>
            </w:r>
          </w:p>
        </w:tc>
        <w:tc>
          <w:tcPr>
            <w:tcW w:w="1024" w:type="dxa"/>
            <w:tcBorders>
              <w:top w:val="single" w:sz="8" w:space="0" w:color="152935"/>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11</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11.0</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75.0%</w:t>
            </w:r>
          </w:p>
        </w:tc>
        <w:tc>
          <w:tcPr>
            <w:tcW w:w="1024" w:type="dxa"/>
            <w:tcBorders>
              <w:top w:val="single" w:sz="8" w:space="0" w:color="AEAEAE"/>
              <w:left w:val="single" w:sz="8" w:space="0" w:color="E0E0E0"/>
              <w:bottom w:val="nil"/>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45.8%</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Overall no significant growth</w:t>
            </w: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11</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11.0</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66.7%</w:t>
            </w:r>
          </w:p>
        </w:tc>
        <w:tc>
          <w:tcPr>
            <w:tcW w:w="1024" w:type="dxa"/>
            <w:tcBorders>
              <w:top w:val="single" w:sz="8" w:space="0" w:color="AEAEAE"/>
              <w:left w:val="single" w:sz="8" w:space="0" w:color="E0E0E0"/>
              <w:bottom w:val="nil"/>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25.0%</w:t>
            </w:r>
          </w:p>
        </w:tc>
        <w:tc>
          <w:tcPr>
            <w:tcW w:w="1024" w:type="dxa"/>
            <w:tcBorders>
              <w:top w:val="single" w:sz="8" w:space="0" w:color="AEAEAE"/>
              <w:left w:val="single" w:sz="8" w:space="0" w:color="E0E0E0"/>
              <w:bottom w:val="nil"/>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45.8%</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Significant growth</w:t>
            </w: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0</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2.0</w:t>
            </w:r>
          </w:p>
        </w:tc>
      </w:tr>
      <w:tr w:rsidR="00F3014A" w:rsidRPr="00F3014A">
        <w:trPr>
          <w:cantSplit/>
        </w:trPr>
        <w:tc>
          <w:tcPr>
            <w:tcW w:w="917" w:type="dxa"/>
            <w:vMerge/>
            <w:tcBorders>
              <w:top w:val="single" w:sz="8" w:space="0" w:color="152935"/>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0.0%</w:t>
            </w:r>
          </w:p>
        </w:tc>
        <w:tc>
          <w:tcPr>
            <w:tcW w:w="1024" w:type="dxa"/>
            <w:tcBorders>
              <w:top w:val="single" w:sz="8" w:space="0" w:color="AEAEAE"/>
              <w:left w:val="single" w:sz="8" w:space="0" w:color="E0E0E0"/>
              <w:bottom w:val="nil"/>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8.3%</w:t>
            </w:r>
          </w:p>
        </w:tc>
      </w:tr>
      <w:tr w:rsidR="00F3014A" w:rsidRPr="00F3014A">
        <w:trPr>
          <w:cantSplit/>
        </w:trPr>
        <w:tc>
          <w:tcPr>
            <w:tcW w:w="3364" w:type="dxa"/>
            <w:gridSpan w:val="2"/>
            <w:vMerge w:val="restart"/>
            <w:tcBorders>
              <w:top w:val="single" w:sz="8" w:space="0" w:color="AEAEAE"/>
              <w:left w:val="nil"/>
              <w:bottom w:val="single" w:sz="8" w:space="0" w:color="152935"/>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Total</w:t>
            </w: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24</w:t>
            </w:r>
          </w:p>
        </w:tc>
      </w:tr>
      <w:tr w:rsidR="00F3014A" w:rsidRPr="00F3014A">
        <w:trPr>
          <w:cantSplit/>
        </w:trPr>
        <w:tc>
          <w:tcPr>
            <w:tcW w:w="3364" w:type="dxa"/>
            <w:gridSpan w:val="2"/>
            <w:vMerge/>
            <w:tcBorders>
              <w:top w:val="single" w:sz="8" w:space="0" w:color="AEAEAE"/>
              <w:left w:val="nil"/>
              <w:bottom w:val="single" w:sz="8" w:space="0" w:color="152935"/>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12.0</w:t>
            </w:r>
          </w:p>
        </w:tc>
        <w:tc>
          <w:tcPr>
            <w:tcW w:w="1024" w:type="dxa"/>
            <w:tcBorders>
              <w:top w:val="single" w:sz="8" w:space="0" w:color="AEAEAE"/>
              <w:left w:val="single" w:sz="8" w:space="0" w:color="E0E0E0"/>
              <w:bottom w:val="single" w:sz="8" w:space="0" w:color="AEAEAE"/>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24.0</w:t>
            </w:r>
          </w:p>
        </w:tc>
      </w:tr>
      <w:tr w:rsidR="00F3014A" w:rsidRPr="00F3014A">
        <w:trPr>
          <w:cantSplit/>
        </w:trPr>
        <w:tc>
          <w:tcPr>
            <w:tcW w:w="3364" w:type="dxa"/>
            <w:gridSpan w:val="2"/>
            <w:vMerge/>
            <w:tcBorders>
              <w:top w:val="single" w:sz="8" w:space="0" w:color="AEAEAE"/>
              <w:left w:val="nil"/>
              <w:bottom w:val="single" w:sz="8" w:space="0" w:color="152935"/>
              <w:right w:val="nil"/>
            </w:tcBorders>
            <w:shd w:val="clear" w:color="auto" w:fill="E0E0E0"/>
          </w:tcPr>
          <w:p w:rsidR="00F3014A" w:rsidRPr="00F3014A" w:rsidRDefault="00F3014A" w:rsidP="00F3014A">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152935"/>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r w:rsidRPr="00F3014A">
              <w:rPr>
                <w:rFonts w:ascii="Arial" w:hAnsi="Arial" w:cs="Arial"/>
                <w:color w:val="264A60"/>
                <w:sz w:val="18"/>
                <w:szCs w:val="18"/>
              </w:rPr>
              <w:t>% within Gender</w:t>
            </w:r>
          </w:p>
        </w:tc>
        <w:tc>
          <w:tcPr>
            <w:tcW w:w="1024" w:type="dxa"/>
            <w:tcBorders>
              <w:top w:val="single" w:sz="8" w:space="0" w:color="AEAEAE"/>
              <w:left w:val="nil"/>
              <w:bottom w:val="single" w:sz="8" w:space="0" w:color="152935"/>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100.0%</w:t>
            </w:r>
          </w:p>
        </w:tc>
      </w:tr>
    </w:tbl>
    <w:p w:rsidR="00F3014A" w:rsidRP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bl>
      <w:tblPr>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025"/>
      </w:tblGrid>
      <w:tr w:rsidR="00F3014A" w:rsidRPr="00F3014A">
        <w:trPr>
          <w:cantSplit/>
        </w:trPr>
        <w:tc>
          <w:tcPr>
            <w:tcW w:w="7857" w:type="dxa"/>
            <w:gridSpan w:val="7"/>
            <w:tcBorders>
              <w:top w:val="nil"/>
              <w:left w:val="nil"/>
              <w:bottom w:val="nil"/>
              <w:right w:val="nil"/>
            </w:tcBorders>
            <w:shd w:val="clear" w:color="auto" w:fill="FFFFFF"/>
            <w:vAlign w:val="center"/>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010205"/>
              </w:rPr>
            </w:pPr>
            <w:r w:rsidRPr="00F3014A">
              <w:rPr>
                <w:rFonts w:ascii="Arial" w:hAnsi="Arial" w:cs="Arial"/>
                <w:b/>
                <w:bCs/>
                <w:color w:val="010205"/>
              </w:rPr>
              <w:t>Case Processing Summary</w:t>
            </w:r>
          </w:p>
        </w:tc>
      </w:tr>
      <w:tr w:rsidR="00F3014A" w:rsidRPr="00F3014A">
        <w:trPr>
          <w:cantSplit/>
        </w:trPr>
        <w:tc>
          <w:tcPr>
            <w:tcW w:w="1713" w:type="dxa"/>
            <w:vMerge w:val="restart"/>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Times New Roman" w:hAnsi="Times New Roman" w:cs="Times New Roman"/>
                <w:sz w:val="24"/>
                <w:szCs w:val="24"/>
              </w:rPr>
            </w:pPr>
          </w:p>
        </w:tc>
        <w:tc>
          <w:tcPr>
            <w:tcW w:w="6144" w:type="dxa"/>
            <w:gridSpan w:val="6"/>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Cases</w:t>
            </w:r>
          </w:p>
        </w:tc>
      </w:tr>
      <w:tr w:rsidR="00F3014A" w:rsidRPr="00F3014A">
        <w:trPr>
          <w:cantSplit/>
        </w:trPr>
        <w:tc>
          <w:tcPr>
            <w:tcW w:w="1713" w:type="dxa"/>
            <w:vMerge/>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Arial" w:hAnsi="Arial" w:cs="Arial"/>
                <w:color w:val="264A60"/>
                <w:sz w:val="18"/>
                <w:szCs w:val="18"/>
              </w:rPr>
            </w:pPr>
          </w:p>
        </w:tc>
        <w:tc>
          <w:tcPr>
            <w:tcW w:w="2048" w:type="dxa"/>
            <w:gridSpan w:val="2"/>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Valid</w:t>
            </w:r>
          </w:p>
        </w:tc>
        <w:tc>
          <w:tcPr>
            <w:tcW w:w="2048" w:type="dxa"/>
            <w:gridSpan w:val="2"/>
            <w:tcBorders>
              <w:top w:val="nil"/>
              <w:left w:val="single" w:sz="8" w:space="0" w:color="E0E0E0"/>
              <w:bottom w:val="nil"/>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Missing</w:t>
            </w:r>
          </w:p>
        </w:tc>
        <w:tc>
          <w:tcPr>
            <w:tcW w:w="2048" w:type="dxa"/>
            <w:gridSpan w:val="2"/>
            <w:tcBorders>
              <w:top w:val="nil"/>
              <w:left w:val="single" w:sz="8" w:space="0" w:color="E0E0E0"/>
              <w:bottom w:val="nil"/>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Total</w:t>
            </w:r>
          </w:p>
        </w:tc>
      </w:tr>
      <w:tr w:rsidR="00F3014A" w:rsidRPr="00F3014A">
        <w:trPr>
          <w:cantSplit/>
        </w:trPr>
        <w:tc>
          <w:tcPr>
            <w:tcW w:w="1713" w:type="dxa"/>
            <w:vMerge/>
            <w:tcBorders>
              <w:top w:val="nil"/>
              <w:left w:val="nil"/>
              <w:bottom w:val="nil"/>
              <w:right w:val="nil"/>
            </w:tcBorders>
            <w:shd w:val="clear" w:color="auto" w:fill="FFFFFF"/>
            <w:vAlign w:val="bottom"/>
          </w:tcPr>
          <w:p w:rsidR="00F3014A" w:rsidRPr="00F3014A" w:rsidRDefault="00F3014A" w:rsidP="00F3014A">
            <w:pPr>
              <w:autoSpaceDE w:val="0"/>
              <w:autoSpaceDN w:val="0"/>
              <w:adjustRightInd w:val="0"/>
              <w:spacing w:after="0"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F3014A" w:rsidRPr="00F3014A" w:rsidRDefault="00F3014A" w:rsidP="00F3014A">
            <w:pPr>
              <w:autoSpaceDE w:val="0"/>
              <w:autoSpaceDN w:val="0"/>
              <w:adjustRightInd w:val="0"/>
              <w:spacing w:after="0" w:line="320" w:lineRule="atLeast"/>
              <w:ind w:left="60" w:right="60"/>
              <w:jc w:val="center"/>
              <w:rPr>
                <w:rFonts w:ascii="Arial" w:hAnsi="Arial" w:cs="Arial"/>
                <w:color w:val="264A60"/>
                <w:sz w:val="18"/>
                <w:szCs w:val="18"/>
              </w:rPr>
            </w:pPr>
            <w:r w:rsidRPr="00F3014A">
              <w:rPr>
                <w:rFonts w:ascii="Arial" w:hAnsi="Arial" w:cs="Arial"/>
                <w:color w:val="264A60"/>
                <w:sz w:val="18"/>
                <w:szCs w:val="18"/>
              </w:rPr>
              <w:t>Percent</w:t>
            </w:r>
          </w:p>
        </w:tc>
      </w:tr>
      <w:tr w:rsidR="00F3014A" w:rsidRPr="00F3014A">
        <w:trPr>
          <w:cantSplit/>
        </w:trPr>
        <w:tc>
          <w:tcPr>
            <w:tcW w:w="1713" w:type="dxa"/>
            <w:tcBorders>
              <w:top w:val="single" w:sz="8" w:space="0" w:color="152935"/>
              <w:left w:val="nil"/>
              <w:bottom w:val="single" w:sz="8" w:space="0" w:color="152935"/>
              <w:right w:val="nil"/>
            </w:tcBorders>
            <w:shd w:val="clear" w:color="auto" w:fill="E0E0E0"/>
          </w:tcPr>
          <w:p w:rsidR="00F3014A" w:rsidRPr="00F3014A" w:rsidRDefault="00F3014A" w:rsidP="00F3014A">
            <w:pPr>
              <w:autoSpaceDE w:val="0"/>
              <w:autoSpaceDN w:val="0"/>
              <w:adjustRightInd w:val="0"/>
              <w:spacing w:after="0" w:line="320" w:lineRule="atLeast"/>
              <w:ind w:left="60" w:right="60"/>
              <w:rPr>
                <w:rFonts w:ascii="Arial" w:hAnsi="Arial" w:cs="Arial"/>
                <w:color w:val="264A60"/>
                <w:sz w:val="18"/>
                <w:szCs w:val="18"/>
              </w:rPr>
            </w:pPr>
            <w:proofErr w:type="spellStart"/>
            <w:r w:rsidRPr="00F3014A">
              <w:rPr>
                <w:rFonts w:ascii="Arial" w:hAnsi="Arial" w:cs="Arial"/>
                <w:color w:val="264A60"/>
                <w:sz w:val="18"/>
                <w:szCs w:val="18"/>
              </w:rPr>
              <w:t>CFUcat</w:t>
            </w:r>
            <w:proofErr w:type="spellEnd"/>
            <w:r w:rsidRPr="00F3014A">
              <w:rPr>
                <w:rFonts w:ascii="Arial" w:hAnsi="Arial" w:cs="Arial"/>
                <w:color w:val="264A60"/>
                <w:sz w:val="18"/>
                <w:szCs w:val="18"/>
              </w:rPr>
              <w:t xml:space="preserve"> * Gender</w:t>
            </w:r>
          </w:p>
        </w:tc>
        <w:tc>
          <w:tcPr>
            <w:tcW w:w="1024" w:type="dxa"/>
            <w:tcBorders>
              <w:top w:val="single" w:sz="8" w:space="0" w:color="152935"/>
              <w:left w:val="nil"/>
              <w:bottom w:val="single" w:sz="8" w:space="0" w:color="152935"/>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24</w:t>
            </w:r>
          </w:p>
        </w:tc>
        <w:tc>
          <w:tcPr>
            <w:tcW w:w="1024" w:type="dxa"/>
            <w:tcBorders>
              <w:top w:val="single" w:sz="8" w:space="0" w:color="152935"/>
              <w:left w:val="single" w:sz="8" w:space="0" w:color="E0E0E0"/>
              <w:bottom w:val="single" w:sz="8" w:space="0" w:color="152935"/>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64.9%</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13</w:t>
            </w:r>
          </w:p>
        </w:tc>
        <w:tc>
          <w:tcPr>
            <w:tcW w:w="1024" w:type="dxa"/>
            <w:tcBorders>
              <w:top w:val="single" w:sz="8" w:space="0" w:color="152935"/>
              <w:left w:val="single" w:sz="8" w:space="0" w:color="E0E0E0"/>
              <w:bottom w:val="single" w:sz="8" w:space="0" w:color="152935"/>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35.1%</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37</w:t>
            </w:r>
          </w:p>
        </w:tc>
        <w:tc>
          <w:tcPr>
            <w:tcW w:w="1024" w:type="dxa"/>
            <w:tcBorders>
              <w:top w:val="single" w:sz="8" w:space="0" w:color="152935"/>
              <w:left w:val="single" w:sz="8" w:space="0" w:color="E0E0E0"/>
              <w:bottom w:val="single" w:sz="8" w:space="0" w:color="152935"/>
              <w:right w:val="nil"/>
            </w:tcBorders>
            <w:shd w:val="clear" w:color="auto" w:fill="FFFFFF"/>
          </w:tcPr>
          <w:p w:rsidR="00F3014A" w:rsidRPr="00F3014A" w:rsidRDefault="00F3014A" w:rsidP="00F3014A">
            <w:pPr>
              <w:autoSpaceDE w:val="0"/>
              <w:autoSpaceDN w:val="0"/>
              <w:adjustRightInd w:val="0"/>
              <w:spacing w:after="0" w:line="320" w:lineRule="atLeast"/>
              <w:ind w:left="60" w:right="60"/>
              <w:jc w:val="right"/>
              <w:rPr>
                <w:rFonts w:ascii="Arial" w:hAnsi="Arial" w:cs="Arial"/>
                <w:color w:val="010205"/>
                <w:sz w:val="18"/>
                <w:szCs w:val="18"/>
              </w:rPr>
            </w:pPr>
            <w:r w:rsidRPr="00F3014A">
              <w:rPr>
                <w:rFonts w:ascii="Arial" w:hAnsi="Arial" w:cs="Arial"/>
                <w:color w:val="010205"/>
                <w:sz w:val="18"/>
                <w:szCs w:val="18"/>
              </w:rPr>
              <w:t>100.0%</w:t>
            </w:r>
          </w:p>
        </w:tc>
      </w:tr>
    </w:tbl>
    <w:p w:rsid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P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Pr="00F3014A" w:rsidRDefault="00F3014A" w:rsidP="00F3014A">
      <w:pPr>
        <w:autoSpaceDE w:val="0"/>
        <w:autoSpaceDN w:val="0"/>
        <w:adjustRightInd w:val="0"/>
        <w:spacing w:after="0" w:line="400" w:lineRule="atLeast"/>
        <w:rPr>
          <w:rFonts w:ascii="Times New Roman" w:hAnsi="Times New Roman" w:cs="Times New Roman"/>
          <w:sz w:val="24"/>
          <w:szCs w:val="24"/>
        </w:rPr>
      </w:pPr>
    </w:p>
    <w:p w:rsidR="00F3014A" w:rsidRPr="00F3014A" w:rsidRDefault="00F3014A" w:rsidP="00F3014A">
      <w:pPr>
        <w:autoSpaceDE w:val="0"/>
        <w:autoSpaceDN w:val="0"/>
        <w:adjustRightInd w:val="0"/>
        <w:spacing w:after="0" w:line="400" w:lineRule="atLeast"/>
        <w:rPr>
          <w:rFonts w:ascii="Times New Roman" w:hAnsi="Times New Roman" w:cs="Times New Roman"/>
          <w:sz w:val="24"/>
          <w:szCs w:val="24"/>
        </w:rPr>
      </w:pPr>
    </w:p>
    <w:p w:rsidR="0021738F" w:rsidRDefault="0021738F" w:rsidP="00F3014A">
      <w:pPr>
        <w:autoSpaceDE w:val="0"/>
        <w:autoSpaceDN w:val="0"/>
        <w:adjustRightInd w:val="0"/>
        <w:spacing w:after="0" w:line="400" w:lineRule="atLeast"/>
        <w:rPr>
          <w:rFonts w:ascii="Times New Roman" w:hAnsi="Times New Roman" w:cs="Times New Roman"/>
          <w:noProof/>
          <w:sz w:val="24"/>
          <w:szCs w:val="24"/>
        </w:rPr>
      </w:pPr>
    </w:p>
    <w:p w:rsidR="0021738F" w:rsidRDefault="0021738F" w:rsidP="00F3014A">
      <w:pPr>
        <w:autoSpaceDE w:val="0"/>
        <w:autoSpaceDN w:val="0"/>
        <w:adjustRightInd w:val="0"/>
        <w:spacing w:after="0" w:line="400" w:lineRule="atLeast"/>
        <w:rPr>
          <w:rFonts w:ascii="Times New Roman" w:hAnsi="Times New Roman" w:cs="Times New Roman"/>
          <w:sz w:val="24"/>
          <w:szCs w:val="24"/>
        </w:rPr>
      </w:pPr>
    </w:p>
    <w:p w:rsidR="00F3014A" w:rsidRPr="00F3014A" w:rsidRDefault="0021738F" w:rsidP="00F3014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4870" cy="3508375"/>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1654883871.jpeg"/>
                    <pic:cNvPicPr/>
                  </pic:nvPicPr>
                  <pic:blipFill>
                    <a:blip r:embed="rId4">
                      <a:extLst>
                        <a:ext uri="{28A0092B-C50C-407E-A947-70E740481C1C}">
                          <a14:useLocalDpi xmlns:a14="http://schemas.microsoft.com/office/drawing/2010/main" val="0"/>
                        </a:ext>
                      </a:extLst>
                    </a:blip>
                    <a:stretch>
                      <a:fillRect/>
                    </a:stretch>
                  </pic:blipFill>
                  <pic:spPr>
                    <a:xfrm>
                      <a:off x="0" y="0"/>
                      <a:ext cx="5944870" cy="3508375"/>
                    </a:xfrm>
                    <a:prstGeom prst="rect">
                      <a:avLst/>
                    </a:prstGeom>
                  </pic:spPr>
                </pic:pic>
              </a:graphicData>
            </a:graphic>
          </wp:inline>
        </w:drawing>
      </w:r>
      <w:r>
        <w:rPr>
          <w:rFonts w:ascii="Times New Roman" w:hAnsi="Times New Roman" w:cs="Times New Roman"/>
          <w:noProof/>
          <w:sz w:val="24"/>
          <w:szCs w:val="24"/>
        </w:rPr>
        <w:drawing>
          <wp:inline distT="0" distB="0" distL="0" distR="0">
            <wp:extent cx="5944870" cy="3508375"/>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1654883905.jpeg"/>
                    <pic:cNvPicPr/>
                  </pic:nvPicPr>
                  <pic:blipFill>
                    <a:blip r:embed="rId5">
                      <a:extLst>
                        <a:ext uri="{28A0092B-C50C-407E-A947-70E740481C1C}">
                          <a14:useLocalDpi xmlns:a14="http://schemas.microsoft.com/office/drawing/2010/main" val="0"/>
                        </a:ext>
                      </a:extLst>
                    </a:blip>
                    <a:stretch>
                      <a:fillRect/>
                    </a:stretch>
                  </pic:blipFill>
                  <pic:spPr>
                    <a:xfrm>
                      <a:off x="0" y="0"/>
                      <a:ext cx="5944870" cy="3508375"/>
                    </a:xfrm>
                    <a:prstGeom prst="rect">
                      <a:avLst/>
                    </a:prstGeom>
                  </pic:spPr>
                </pic:pic>
              </a:graphicData>
            </a:graphic>
          </wp:inline>
        </w:drawing>
      </w:r>
    </w:p>
    <w:p w:rsidR="006E3AA8" w:rsidRDefault="006E3AA8" w:rsidP="00F81BCC">
      <w:pPr>
        <w:rPr>
          <w:sz w:val="24"/>
          <w:szCs w:val="24"/>
        </w:rPr>
      </w:pPr>
    </w:p>
    <w:p w:rsidR="006E3AA8" w:rsidRDefault="006E3AA8" w:rsidP="00F81BCC">
      <w:pPr>
        <w:rPr>
          <w:sz w:val="24"/>
          <w:szCs w:val="24"/>
        </w:rPr>
      </w:pPr>
    </w:p>
    <w:p w:rsidR="006E3AA8" w:rsidRDefault="006E3AA8" w:rsidP="00F81BCC">
      <w:pPr>
        <w:rPr>
          <w:sz w:val="24"/>
          <w:szCs w:val="24"/>
        </w:rPr>
      </w:pPr>
    </w:p>
    <w:p w:rsidR="00F81BCC" w:rsidRDefault="00F81BCC" w:rsidP="00F81BCC">
      <w:r w:rsidRPr="00F81BCC">
        <w:rPr>
          <w:sz w:val="24"/>
          <w:szCs w:val="24"/>
        </w:rPr>
        <w:lastRenderedPageBreak/>
        <w:t>Males' results suggest that 60% of them have no bacteria growth and 40% have no statistical significance for bacterial growth. Females' results suggest that 39% have no statistical significance, while just 9% have statistical significance. The result: All of these antibiotics have resistances to E.coli except polymyxin and imipenem, according to the lab microbiology section, which means no growth in blood agar and macCKonKey agar, which means no bacteria in urine</w:t>
      </w:r>
      <w:r>
        <w:t>.</w:t>
      </w:r>
    </w:p>
    <w:p w:rsidR="006E3AA8" w:rsidRDefault="00F81BCC" w:rsidP="006E3AA8">
      <w:pPr>
        <w:rPr>
          <w:sz w:val="24"/>
          <w:szCs w:val="24"/>
        </w:rPr>
      </w:pPr>
      <w:proofErr w:type="gramStart"/>
      <w:r w:rsidRPr="00F81BCC">
        <w:rPr>
          <w:sz w:val="24"/>
          <w:szCs w:val="24"/>
        </w:rPr>
        <w:t>section</w:t>
      </w:r>
      <w:proofErr w:type="gramEnd"/>
      <w:r w:rsidRPr="00F81BCC">
        <w:rPr>
          <w:sz w:val="24"/>
          <w:szCs w:val="24"/>
        </w:rPr>
        <w:t xml:space="preserve"> on pharmacology</w:t>
      </w:r>
    </w:p>
    <w:p w:rsidR="00F81BCC" w:rsidRPr="00F81BCC" w:rsidRDefault="00F81BCC" w:rsidP="006E3AA8">
      <w:pPr>
        <w:rPr>
          <w:sz w:val="24"/>
          <w:szCs w:val="24"/>
        </w:rPr>
      </w:pPr>
      <w:r w:rsidRPr="00F81BCC">
        <w:rPr>
          <w:sz w:val="24"/>
          <w:szCs w:val="24"/>
        </w:rPr>
        <w:t>Prior to prescribing antibiotics, further study is required.</w:t>
      </w:r>
    </w:p>
    <w:p w:rsidR="00F81BCC" w:rsidRPr="00F81BCC" w:rsidRDefault="00F81BCC" w:rsidP="00F81BCC">
      <w:pPr>
        <w:rPr>
          <w:sz w:val="24"/>
          <w:szCs w:val="24"/>
        </w:rPr>
      </w:pPr>
      <w:proofErr w:type="gramStart"/>
      <w:r w:rsidRPr="00F81BCC">
        <w:rPr>
          <w:sz w:val="24"/>
          <w:szCs w:val="24"/>
        </w:rPr>
        <w:t>investigaton</w:t>
      </w:r>
      <w:proofErr w:type="gramEnd"/>
    </w:p>
    <w:p w:rsidR="00F81BCC" w:rsidRPr="00F81BCC" w:rsidRDefault="00F81BCC" w:rsidP="00F81BCC">
      <w:pPr>
        <w:rPr>
          <w:sz w:val="24"/>
          <w:szCs w:val="24"/>
        </w:rPr>
      </w:pPr>
      <w:proofErr w:type="gramStart"/>
      <w:r w:rsidRPr="00F81BCC">
        <w:rPr>
          <w:sz w:val="24"/>
          <w:szCs w:val="24"/>
        </w:rPr>
        <w:t>routine</w:t>
      </w:r>
      <w:proofErr w:type="gramEnd"/>
      <w:r w:rsidRPr="00F81BCC">
        <w:rPr>
          <w:sz w:val="24"/>
          <w:szCs w:val="24"/>
        </w:rPr>
        <w:t xml:space="preserve"> examination (RBC)</w:t>
      </w:r>
    </w:p>
    <w:p w:rsidR="00F81BCC" w:rsidRPr="00F81BCC" w:rsidRDefault="00F81BCC" w:rsidP="00F81BCC">
      <w:pPr>
        <w:rPr>
          <w:sz w:val="24"/>
          <w:szCs w:val="24"/>
        </w:rPr>
      </w:pPr>
      <w:proofErr w:type="gramStart"/>
      <w:r w:rsidRPr="00F81BCC">
        <w:rPr>
          <w:sz w:val="24"/>
          <w:szCs w:val="24"/>
        </w:rPr>
        <w:t>special</w:t>
      </w:r>
      <w:proofErr w:type="gramEnd"/>
      <w:r w:rsidRPr="00F81BCC">
        <w:rPr>
          <w:sz w:val="24"/>
          <w:szCs w:val="24"/>
        </w:rPr>
        <w:t xml:space="preserve"> investigation (when RBC elevated and to know if bacteria recurrent )</w:t>
      </w:r>
    </w:p>
    <w:p w:rsidR="00F81BCC" w:rsidRPr="00F81BCC" w:rsidRDefault="00F81BCC" w:rsidP="00F81BCC">
      <w:pPr>
        <w:rPr>
          <w:sz w:val="24"/>
          <w:szCs w:val="24"/>
        </w:rPr>
      </w:pPr>
      <w:r w:rsidRPr="00F81BCC">
        <w:rPr>
          <w:sz w:val="24"/>
          <w:szCs w:val="24"/>
        </w:rPr>
        <w:t>Abdominal ultrasound and X-ray</w:t>
      </w:r>
    </w:p>
    <w:p w:rsidR="00F81BCC" w:rsidRPr="00F81BCC" w:rsidRDefault="00F81BCC" w:rsidP="00F81BCC">
      <w:pPr>
        <w:rPr>
          <w:sz w:val="24"/>
          <w:szCs w:val="24"/>
        </w:rPr>
      </w:pPr>
      <w:r w:rsidRPr="00F81BCC">
        <w:rPr>
          <w:sz w:val="24"/>
          <w:szCs w:val="24"/>
        </w:rPr>
        <w:t>Creatinine in the blood</w:t>
      </w:r>
    </w:p>
    <w:p w:rsidR="006E3AA8" w:rsidRDefault="00F81BCC" w:rsidP="006E3AA8">
      <w:pPr>
        <w:pBdr>
          <w:bottom w:val="single" w:sz="12" w:space="1" w:color="auto"/>
        </w:pBdr>
        <w:rPr>
          <w:sz w:val="24"/>
          <w:szCs w:val="24"/>
        </w:rPr>
      </w:pPr>
      <w:r w:rsidRPr="00F81BCC">
        <w:rPr>
          <w:sz w:val="24"/>
          <w:szCs w:val="24"/>
        </w:rPr>
        <w:t>Test for antibiotic sensitivity</w:t>
      </w:r>
      <w:r w:rsidR="006E3AA8">
        <w:rPr>
          <w:sz w:val="24"/>
          <w:szCs w:val="24"/>
        </w:rPr>
        <w:t xml:space="preserve"> </w:t>
      </w:r>
    </w:p>
    <w:p w:rsidR="00D0784F" w:rsidRDefault="00D0784F" w:rsidP="006E3AA8">
      <w:pPr>
        <w:pBdr>
          <w:bottom w:val="single" w:sz="12" w:space="1" w:color="auto"/>
        </w:pBdr>
        <w:rPr>
          <w:sz w:val="24"/>
          <w:szCs w:val="24"/>
        </w:rPr>
      </w:pPr>
      <w:r w:rsidRPr="00D0784F">
        <w:rPr>
          <w:sz w:val="24"/>
          <w:szCs w:val="24"/>
        </w:rPr>
        <w:t xml:space="preserve">Asymptomatic bacteriuria is the presence of bacteria in the properly collected urine of a patient that has no signs or symptoms of a urinary tract infection. Asymptomatic bacteriuria is very common in clinical practice. </w:t>
      </w:r>
    </w:p>
    <w:p w:rsidR="00D0784F" w:rsidRDefault="00D0784F" w:rsidP="006E3AA8">
      <w:pPr>
        <w:pBdr>
          <w:bottom w:val="single" w:sz="12" w:space="1" w:color="auto"/>
        </w:pBdr>
        <w:rPr>
          <w:sz w:val="24"/>
          <w:szCs w:val="24"/>
        </w:rPr>
      </w:pPr>
      <w:r w:rsidRPr="00D0784F">
        <w:rPr>
          <w:sz w:val="24"/>
          <w:szCs w:val="24"/>
        </w:rPr>
        <w:t xml:space="preserve">While few infants and toddlers have asymptomatic bacteriuria, the incidence increases with age. The incidence is up to 15% or greater in women and men age 65 to 80 </w:t>
      </w:r>
      <w:proofErr w:type="gramStart"/>
      <w:r w:rsidRPr="00D0784F">
        <w:rPr>
          <w:sz w:val="24"/>
          <w:szCs w:val="24"/>
        </w:rPr>
        <w:t>years and</w:t>
      </w:r>
      <w:proofErr w:type="gramEnd"/>
      <w:r w:rsidRPr="00D0784F">
        <w:rPr>
          <w:sz w:val="24"/>
          <w:szCs w:val="24"/>
        </w:rPr>
        <w:t xml:space="preserve"> as high as 40% to 50% after age 80.  Most patients with asymptomatic bacteriuria will never develop symptomatic urinary tract infections and will have no adverse consequences from asymptomatic bacteriuria.  In an age when decreasing unnecessary antibiotic use is emphasized, the important clinical question is this:  Which patients with asymptomatic bacteriuria benefit from treatment? The answer is that most patients with asymptomatic bacteriuria do not benefit from treatment. There are, however, a few exceptions. There is sufficient evidence that a pregnant woman with asymptomatic bacteriuria should be treated</w:t>
      </w:r>
    </w:p>
    <w:p w:rsidR="00D0784F" w:rsidRPr="00D0784F" w:rsidRDefault="00D0784F" w:rsidP="00D0784F">
      <w:pPr>
        <w:pBdr>
          <w:bottom w:val="single" w:sz="12" w:space="1" w:color="auto"/>
        </w:pBdr>
        <w:rPr>
          <w:sz w:val="24"/>
          <w:szCs w:val="24"/>
        </w:rPr>
      </w:pPr>
      <w:r w:rsidRPr="00D0784F">
        <w:rPr>
          <w:sz w:val="24"/>
          <w:szCs w:val="24"/>
        </w:rPr>
        <w:t>UTI can also harm a donated kidney. In persons whose immune systems are impaired by drugs or disorders, a UTI can lead to a potentially lethal bloodstream infection. The immune system can be weakened as a result of cancer chemotherapy. Asymptomatic bacteriuria is also sometimes treated in persons who have specific types of kidney stones that can't be removed (and thus cause recurrent UTIs) or in those who are having a urinary tract surgical operation.</w:t>
      </w:r>
    </w:p>
    <w:p w:rsidR="00D0784F" w:rsidRDefault="00D0784F" w:rsidP="00D0784F">
      <w:pPr>
        <w:pBdr>
          <w:bottom w:val="single" w:sz="12" w:space="1" w:color="auto"/>
        </w:pBdr>
        <w:rPr>
          <w:sz w:val="24"/>
          <w:szCs w:val="24"/>
        </w:rPr>
      </w:pPr>
      <w:r w:rsidRPr="00D0784F">
        <w:rPr>
          <w:sz w:val="24"/>
          <w:szCs w:val="24"/>
        </w:rPr>
        <w:t>Doctors don't normally treat asymptomatic bacteriuria because it isn't frequently treated.</w:t>
      </w:r>
    </w:p>
    <w:p w:rsidR="006E3AA8" w:rsidRDefault="006E3AA8" w:rsidP="00F81BCC">
      <w:pPr>
        <w:pBdr>
          <w:bottom w:val="single" w:sz="12" w:space="1" w:color="auto"/>
        </w:pBdr>
        <w:rPr>
          <w:sz w:val="24"/>
          <w:szCs w:val="24"/>
        </w:rPr>
      </w:pPr>
    </w:p>
    <w:p w:rsidR="00D0784F" w:rsidRDefault="00D0784F" w:rsidP="00F81BCC">
      <w:pPr>
        <w:rPr>
          <w:b/>
          <w:bCs/>
          <w:sz w:val="28"/>
          <w:szCs w:val="28"/>
        </w:rPr>
      </w:pPr>
    </w:p>
    <w:p w:rsidR="00F81BCC" w:rsidRPr="005C1CC0" w:rsidRDefault="005C1CC0" w:rsidP="00F81BCC">
      <w:pPr>
        <w:rPr>
          <w:b/>
          <w:bCs/>
          <w:sz w:val="28"/>
          <w:szCs w:val="28"/>
        </w:rPr>
      </w:pPr>
      <w:r w:rsidRPr="005C1CC0">
        <w:rPr>
          <w:b/>
          <w:bCs/>
          <w:sz w:val="28"/>
          <w:szCs w:val="28"/>
        </w:rPr>
        <w:lastRenderedPageBreak/>
        <w:t xml:space="preserve">Conclusion </w:t>
      </w:r>
    </w:p>
    <w:p w:rsidR="005C1CC0" w:rsidRDefault="005C1CC0" w:rsidP="00F81BCC">
      <w:pPr>
        <w:pBdr>
          <w:bottom w:val="single" w:sz="12" w:space="1" w:color="auto"/>
        </w:pBdr>
        <w:rPr>
          <w:sz w:val="24"/>
          <w:szCs w:val="24"/>
        </w:rPr>
      </w:pPr>
      <w:r w:rsidRPr="005C1CC0">
        <w:rPr>
          <w:sz w:val="24"/>
          <w:szCs w:val="24"/>
        </w:rPr>
        <w:t xml:space="preserve">In women, </w:t>
      </w:r>
      <w:r>
        <w:rPr>
          <w:sz w:val="24"/>
          <w:szCs w:val="24"/>
        </w:rPr>
        <w:t>U</w:t>
      </w:r>
      <w:r w:rsidRPr="005C1CC0">
        <w:rPr>
          <w:sz w:val="24"/>
          <w:szCs w:val="24"/>
        </w:rPr>
        <w:t xml:space="preserve">TIs are among the most common </w:t>
      </w:r>
      <w:r w:rsidR="006E3AA8">
        <w:rPr>
          <w:sz w:val="24"/>
          <w:szCs w:val="24"/>
        </w:rPr>
        <w:t xml:space="preserve">clinical bacterial infections. </w:t>
      </w:r>
      <w:r w:rsidRPr="005C1CC0">
        <w:rPr>
          <w:sz w:val="24"/>
          <w:szCs w:val="24"/>
        </w:rPr>
        <w:t>UTIs are less prevalent and are usually caused by the same disease reinfecting the body. Urinalysis, urine cultures, and other radiological techniques should be used to rule out reasons of recurrence and assess probable anatomical or functional urinary tract abnormalities in women who have RUTIs. Although antimicrobial medication is the standard of care for UTIs, there are other options for reducing antibiotic exposure, such as methenamine salts, probiotics, cranberry juice, immunoprophylaxis, and vaginal estrogens in postmenopausal women. In some patients, continuous antibiotic prophylaxis, postcoital prophylaxis, and acute self-treatment are cost-effective therapy options</w:t>
      </w:r>
      <w:r>
        <w:rPr>
          <w:sz w:val="24"/>
          <w:szCs w:val="24"/>
        </w:rPr>
        <w:t xml:space="preserve"> for reducing the frequency of </w:t>
      </w:r>
      <w:r w:rsidRPr="005C1CC0">
        <w:rPr>
          <w:sz w:val="24"/>
          <w:szCs w:val="24"/>
        </w:rPr>
        <w:t>UTIs.</w:t>
      </w:r>
    </w:p>
    <w:p w:rsidR="005C1CC0" w:rsidRDefault="005C1CC0" w:rsidP="00F81BCC">
      <w:pPr>
        <w:rPr>
          <w:b/>
          <w:bCs/>
          <w:sz w:val="28"/>
          <w:szCs w:val="28"/>
        </w:rPr>
      </w:pPr>
      <w:r w:rsidRPr="005C1CC0">
        <w:rPr>
          <w:b/>
          <w:bCs/>
          <w:sz w:val="28"/>
          <w:szCs w:val="28"/>
        </w:rPr>
        <w:t xml:space="preserve">Reference </w:t>
      </w:r>
    </w:p>
    <w:p w:rsidR="005C1CC0" w:rsidRDefault="005C1CC0" w:rsidP="00F81BCC">
      <w:pPr>
        <w:rPr>
          <w:sz w:val="28"/>
          <w:szCs w:val="28"/>
        </w:rPr>
      </w:pPr>
      <w:r>
        <w:rPr>
          <w:sz w:val="28"/>
          <w:szCs w:val="28"/>
        </w:rPr>
        <w:t xml:space="preserve">1. </w:t>
      </w:r>
      <w:r w:rsidRPr="005C1CC0">
        <w:rPr>
          <w:sz w:val="28"/>
          <w:szCs w:val="28"/>
        </w:rPr>
        <w:t>Al-</w:t>
      </w:r>
      <w:proofErr w:type="spellStart"/>
      <w:r w:rsidRPr="005C1CC0">
        <w:rPr>
          <w:sz w:val="28"/>
          <w:szCs w:val="28"/>
        </w:rPr>
        <w:t>Badr</w:t>
      </w:r>
      <w:proofErr w:type="spellEnd"/>
      <w:r w:rsidRPr="005C1CC0">
        <w:rPr>
          <w:sz w:val="28"/>
          <w:szCs w:val="28"/>
        </w:rPr>
        <w:t xml:space="preserve"> A, Al-Shaikh G. Recurrent Urinary Tract Infections Management in Women: A review. Sultan </w:t>
      </w:r>
      <w:proofErr w:type="spellStart"/>
      <w:r w:rsidRPr="005C1CC0">
        <w:rPr>
          <w:sz w:val="28"/>
          <w:szCs w:val="28"/>
        </w:rPr>
        <w:t>Qaboos</w:t>
      </w:r>
      <w:proofErr w:type="spellEnd"/>
      <w:r w:rsidRPr="005C1CC0">
        <w:rPr>
          <w:sz w:val="28"/>
          <w:szCs w:val="28"/>
        </w:rPr>
        <w:t xml:space="preserve"> </w:t>
      </w:r>
      <w:proofErr w:type="spellStart"/>
      <w:r w:rsidRPr="005C1CC0">
        <w:rPr>
          <w:sz w:val="28"/>
          <w:szCs w:val="28"/>
        </w:rPr>
        <w:t>Univ</w:t>
      </w:r>
      <w:proofErr w:type="spellEnd"/>
      <w:r w:rsidRPr="005C1CC0">
        <w:rPr>
          <w:sz w:val="28"/>
          <w:szCs w:val="28"/>
        </w:rPr>
        <w:t xml:space="preserve"> Med J. 2013</w:t>
      </w:r>
      <w:proofErr w:type="gramStart"/>
      <w:r w:rsidRPr="005C1CC0">
        <w:rPr>
          <w:sz w:val="28"/>
          <w:szCs w:val="28"/>
        </w:rPr>
        <w:t>;13</w:t>
      </w:r>
      <w:proofErr w:type="gramEnd"/>
      <w:r w:rsidRPr="005C1CC0">
        <w:rPr>
          <w:sz w:val="28"/>
          <w:szCs w:val="28"/>
        </w:rPr>
        <w:t xml:space="preserve">(3):359-367. </w:t>
      </w:r>
      <w:proofErr w:type="gramStart"/>
      <w:r w:rsidRPr="005C1CC0">
        <w:rPr>
          <w:sz w:val="28"/>
          <w:szCs w:val="28"/>
        </w:rPr>
        <w:t>doi:</w:t>
      </w:r>
      <w:proofErr w:type="gramEnd"/>
      <w:r w:rsidRPr="005C1CC0">
        <w:rPr>
          <w:sz w:val="28"/>
          <w:szCs w:val="28"/>
        </w:rPr>
        <w:t>10.12816/0003256</w:t>
      </w:r>
    </w:p>
    <w:p w:rsidR="005C1CC0" w:rsidRDefault="005C1CC0" w:rsidP="00F81BCC">
      <w:pPr>
        <w:rPr>
          <w:sz w:val="28"/>
          <w:szCs w:val="28"/>
        </w:rPr>
      </w:pPr>
      <w:r>
        <w:rPr>
          <w:sz w:val="28"/>
          <w:szCs w:val="28"/>
        </w:rPr>
        <w:t>2</w:t>
      </w:r>
      <w:r w:rsidRPr="005C1CC0">
        <w:rPr>
          <w:sz w:val="28"/>
          <w:szCs w:val="28"/>
        </w:rPr>
        <w:t>. Urinary tract infection (UTI) - Symptoms and causes [Internet]. Mayo Clinic. 2022 [cited 19 June 2022].</w:t>
      </w:r>
    </w:p>
    <w:p w:rsidR="005C1CC0" w:rsidRDefault="005C1CC0" w:rsidP="00F81BCC">
      <w:pPr>
        <w:rPr>
          <w:sz w:val="28"/>
          <w:szCs w:val="28"/>
        </w:rPr>
      </w:pPr>
      <w:r w:rsidRPr="005C1CC0">
        <w:rPr>
          <w:sz w:val="28"/>
          <w:szCs w:val="28"/>
        </w:rPr>
        <w:t>3. Urinary tract infections (UTIs) [Internet]. nhs.uk. 2022 [cited 19 June 2022].</w:t>
      </w:r>
    </w:p>
    <w:p w:rsidR="001B30FA" w:rsidRDefault="001B30FA" w:rsidP="001B30FA">
      <w:pPr>
        <w:rPr>
          <w:sz w:val="28"/>
          <w:szCs w:val="28"/>
        </w:rPr>
      </w:pPr>
      <w:r>
        <w:rPr>
          <w:sz w:val="28"/>
          <w:szCs w:val="28"/>
        </w:rPr>
        <w:t xml:space="preserve">4. </w:t>
      </w:r>
      <w:r w:rsidRPr="001B30FA">
        <w:rPr>
          <w:sz w:val="28"/>
          <w:szCs w:val="28"/>
        </w:rPr>
        <w:t xml:space="preserve">Luu T, Albarillo FS. Asymptomatic Bacteriuria: Prevalence, Diagnosis, Management, and Current Antimicrobial Stewardship Implementations. Am J Med. </w:t>
      </w:r>
    </w:p>
    <w:p w:rsidR="00640328" w:rsidRPr="005C1CC0" w:rsidRDefault="00640328" w:rsidP="00F81BCC">
      <w:pPr>
        <w:rPr>
          <w:sz w:val="28"/>
          <w:szCs w:val="28"/>
        </w:rPr>
      </w:pPr>
    </w:p>
    <w:sectPr w:rsidR="00640328" w:rsidRPr="005C1CC0" w:rsidSect="00E66A84">
      <w:pgSz w:w="12242" w:h="15842"/>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14A"/>
    <w:rsid w:val="000E6FD0"/>
    <w:rsid w:val="001B30FA"/>
    <w:rsid w:val="0021738F"/>
    <w:rsid w:val="005C1CC0"/>
    <w:rsid w:val="00640328"/>
    <w:rsid w:val="006E3AA8"/>
    <w:rsid w:val="00773DA7"/>
    <w:rsid w:val="00951CCE"/>
    <w:rsid w:val="009E382B"/>
    <w:rsid w:val="00B01BB8"/>
    <w:rsid w:val="00D0784F"/>
    <w:rsid w:val="00F0393C"/>
    <w:rsid w:val="00F3014A"/>
    <w:rsid w:val="00F81B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D15D7A-E753-43CB-8163-A9FA44076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8</Pages>
  <Words>1359</Words>
  <Characters>7750</Characters>
  <Application>Microsoft Office Word</Application>
  <DocSecurity>0</DocSecurity>
  <Lines>64</Lines>
  <Paragraphs>18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PIXEL-PC</dc:creator>
  <cp:keywords/>
  <dc:description/>
  <cp:lastModifiedBy>DR.Ahmed Saker 2O14</cp:lastModifiedBy>
  <cp:revision>5</cp:revision>
  <dcterms:created xsi:type="dcterms:W3CDTF">2022-06-20T01:55:00Z</dcterms:created>
  <dcterms:modified xsi:type="dcterms:W3CDTF">2022-06-20T07:10:00Z</dcterms:modified>
</cp:coreProperties>
</file>