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CF445D" w14:textId="3454C672" w:rsidR="003A0284" w:rsidRPr="00967B92" w:rsidRDefault="00C52DB1" w:rsidP="00C52DB1">
      <w:pPr>
        <w:autoSpaceDE w:val="0"/>
        <w:autoSpaceDN w:val="0"/>
        <w:bidi w:val="0"/>
        <w:adjustRightInd w:val="0"/>
        <w:spacing w:after="0" w:line="240" w:lineRule="auto"/>
        <w:rPr>
          <w:rFonts w:asciiTheme="majorBidi" w:hAnsiTheme="majorBidi" w:cstheme="majorBidi"/>
          <w:sz w:val="20"/>
          <w:szCs w:val="20"/>
          <w:rtl/>
        </w:rPr>
      </w:pPr>
      <w:r>
        <w:rPr>
          <w:noProof/>
        </w:rPr>
        <w:drawing>
          <wp:anchor distT="0" distB="0" distL="114300" distR="114300" simplePos="0" relativeHeight="251658240" behindDoc="1" locked="0" layoutInCell="1" allowOverlap="1" wp14:anchorId="08763590" wp14:editId="5830316B">
            <wp:simplePos x="0" y="0"/>
            <wp:positionH relativeFrom="column">
              <wp:posOffset>-594360</wp:posOffset>
            </wp:positionH>
            <wp:positionV relativeFrom="paragraph">
              <wp:posOffset>144780</wp:posOffset>
            </wp:positionV>
            <wp:extent cx="6529705" cy="1889760"/>
            <wp:effectExtent l="0" t="0" r="0" b="0"/>
            <wp:wrapTight wrapText="bothSides">
              <wp:wrapPolygon edited="0">
                <wp:start x="19850" y="1524"/>
                <wp:lineTo x="2647" y="2613"/>
                <wp:lineTo x="2710" y="5444"/>
                <wp:lineTo x="2080" y="8927"/>
                <wp:lineTo x="378" y="15677"/>
                <wp:lineTo x="378" y="17202"/>
                <wp:lineTo x="504" y="19379"/>
                <wp:lineTo x="1134" y="20468"/>
                <wp:lineTo x="6050" y="20468"/>
                <wp:lineTo x="19976" y="19379"/>
                <wp:lineTo x="21363" y="19161"/>
                <wp:lineTo x="21048" y="12411"/>
                <wp:lineTo x="21048" y="4355"/>
                <wp:lineTo x="20606" y="2177"/>
                <wp:lineTo x="20291" y="1524"/>
                <wp:lineTo x="19850" y="1524"/>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29705" cy="1889760"/>
                    </a:xfrm>
                    <a:prstGeom prst="rect">
                      <a:avLst/>
                    </a:prstGeom>
                    <a:noFill/>
                  </pic:spPr>
                </pic:pic>
              </a:graphicData>
            </a:graphic>
            <wp14:sizeRelH relativeFrom="margin">
              <wp14:pctWidth>0</wp14:pctWidth>
            </wp14:sizeRelH>
          </wp:anchor>
        </w:drawing>
      </w:r>
      <w:r w:rsidR="00E14D68">
        <w:rPr>
          <w:rFonts w:asciiTheme="majorHAnsi" w:hAnsiTheme="majorHAnsi" w:cs="TimesNewRomanPS-BoldMT"/>
          <w:sz w:val="52"/>
          <w:szCs w:val="42"/>
        </w:rPr>
        <w:t xml:space="preserve">         </w:t>
      </w:r>
    </w:p>
    <w:p w14:paraId="4C7E5DA1" w14:textId="7BB39B2B" w:rsidR="003A0284" w:rsidRDefault="003A0284" w:rsidP="003A0284">
      <w:pPr>
        <w:jc w:val="right"/>
        <w:rPr>
          <w:rtl/>
        </w:rPr>
      </w:pPr>
    </w:p>
    <w:p w14:paraId="26DACC05" w14:textId="77777777" w:rsidR="003A0284" w:rsidRDefault="003A0284" w:rsidP="003A0284">
      <w:pPr>
        <w:jc w:val="right"/>
      </w:pPr>
      <w:bookmarkStart w:id="0" w:name="_GoBack"/>
      <w:bookmarkEnd w:id="0"/>
    </w:p>
    <w:p w14:paraId="32D1B030" w14:textId="77777777" w:rsidR="003A0284" w:rsidRDefault="003A0284" w:rsidP="003A0284">
      <w:pPr>
        <w:jc w:val="right"/>
      </w:pPr>
    </w:p>
    <w:p w14:paraId="3160E925" w14:textId="77777777" w:rsidR="003A0284" w:rsidRDefault="003A0284" w:rsidP="003A0284">
      <w:pPr>
        <w:jc w:val="right"/>
      </w:pPr>
    </w:p>
    <w:p w14:paraId="1A913509" w14:textId="77777777" w:rsidR="00980F57" w:rsidRPr="00980F57" w:rsidRDefault="003A0284" w:rsidP="00980F57">
      <w:pPr>
        <w:rPr>
          <w:sz w:val="44"/>
          <w:szCs w:val="44"/>
          <w:rtl/>
        </w:rPr>
      </w:pPr>
      <w:r w:rsidRPr="003A0284">
        <w:rPr>
          <w:rFonts w:cstheme="minorHAnsi"/>
          <w:sz w:val="44"/>
          <w:szCs w:val="44"/>
        </w:rPr>
        <w:t xml:space="preserve">   </w:t>
      </w:r>
    </w:p>
    <w:p w14:paraId="52E62914" w14:textId="23E3FE00" w:rsidR="003A0284" w:rsidRDefault="00C72A8D" w:rsidP="00980F57">
      <w:pPr>
        <w:jc w:val="center"/>
        <w:rPr>
          <w:rFonts w:asciiTheme="majorBidi" w:hAnsiTheme="majorBidi" w:cstheme="majorBidi"/>
          <w:sz w:val="48"/>
          <w:szCs w:val="48"/>
          <w:lang w:val="en-GB"/>
        </w:rPr>
      </w:pPr>
      <w:r>
        <w:rPr>
          <w:rFonts w:asciiTheme="majorBidi" w:hAnsiTheme="majorBidi" w:cstheme="majorBidi"/>
          <w:sz w:val="48"/>
          <w:szCs w:val="48"/>
          <w:lang w:val="en-GB"/>
        </w:rPr>
        <w:t>Incidence rate of asymptomatic bacteriuria</w:t>
      </w:r>
    </w:p>
    <w:p w14:paraId="7C941AF7" w14:textId="37FD39E8" w:rsidR="00C72A8D" w:rsidRPr="00980F57" w:rsidRDefault="00C72A8D" w:rsidP="00980F57">
      <w:pPr>
        <w:jc w:val="center"/>
        <w:rPr>
          <w:rFonts w:cstheme="minorHAnsi"/>
          <w:sz w:val="44"/>
          <w:szCs w:val="44"/>
          <w:rtl/>
        </w:rPr>
      </w:pPr>
      <w:r>
        <w:rPr>
          <w:rFonts w:asciiTheme="majorBidi" w:hAnsiTheme="majorBidi" w:cstheme="majorBidi"/>
          <w:sz w:val="48"/>
          <w:szCs w:val="48"/>
          <w:lang w:val="en-GB"/>
        </w:rPr>
        <w:t xml:space="preserve">and urinary tract infection </w:t>
      </w:r>
    </w:p>
    <w:p w14:paraId="62C2CAFE" w14:textId="77777777" w:rsidR="00895DAE" w:rsidRDefault="00895DAE" w:rsidP="00895DAE">
      <w:pPr>
        <w:jc w:val="right"/>
        <w:rPr>
          <w:sz w:val="36"/>
          <w:szCs w:val="36"/>
        </w:rPr>
      </w:pPr>
      <w:r>
        <w:rPr>
          <w:sz w:val="36"/>
          <w:szCs w:val="36"/>
        </w:rPr>
        <w:t xml:space="preserve">                             </w:t>
      </w:r>
    </w:p>
    <w:p w14:paraId="43060952" w14:textId="445CC9D4" w:rsidR="00D96684" w:rsidRDefault="00D96684" w:rsidP="00D96684">
      <w:pPr>
        <w:jc w:val="center"/>
        <w:rPr>
          <w:rFonts w:asciiTheme="majorBidi" w:hAnsiTheme="majorBidi" w:cstheme="majorBidi" w:hint="cs"/>
          <w:sz w:val="28"/>
          <w:szCs w:val="28"/>
          <w:rtl/>
        </w:rPr>
      </w:pPr>
      <w:r>
        <w:rPr>
          <w:rFonts w:asciiTheme="majorBidi" w:hAnsiTheme="majorBidi" w:cstheme="majorBidi" w:hint="cs"/>
          <w:sz w:val="28"/>
          <w:szCs w:val="28"/>
          <w:rtl/>
        </w:rPr>
        <w:t>اسراء عارف بجواري 2151</w:t>
      </w:r>
      <w:r w:rsidRPr="00D96684">
        <w:t xml:space="preserve"> </w:t>
      </w:r>
      <w:r w:rsidRPr="00D96684">
        <w:rPr>
          <w:rFonts w:asciiTheme="majorBidi" w:hAnsiTheme="majorBidi" w:cstheme="majorBidi"/>
          <w:sz w:val="28"/>
          <w:szCs w:val="28"/>
        </w:rPr>
        <w:t>By</w:t>
      </w:r>
      <w:r>
        <w:rPr>
          <w:rFonts w:asciiTheme="majorBidi" w:hAnsiTheme="majorBidi" w:cstheme="majorBidi"/>
          <w:sz w:val="28"/>
          <w:szCs w:val="28"/>
        </w:rPr>
        <w:t>:</w:t>
      </w:r>
    </w:p>
    <w:p w14:paraId="65F24D3C" w14:textId="3DDC5CD1" w:rsidR="00895DAE" w:rsidRPr="00586E04" w:rsidRDefault="00E422BD" w:rsidP="00D96684">
      <w:pPr>
        <w:jc w:val="center"/>
        <w:rPr>
          <w:rFonts w:asciiTheme="majorBidi" w:hAnsiTheme="majorBidi" w:cstheme="majorBidi"/>
          <w:sz w:val="28"/>
          <w:szCs w:val="28"/>
          <w:rtl/>
        </w:rPr>
      </w:pPr>
      <w:r>
        <w:rPr>
          <w:rFonts w:asciiTheme="majorBidi" w:hAnsiTheme="majorBidi" w:cstheme="majorBidi"/>
          <w:sz w:val="28"/>
          <w:szCs w:val="28"/>
        </w:rPr>
        <w:t>2</w:t>
      </w:r>
      <w:r w:rsidR="00FB2AD8">
        <w:rPr>
          <w:rFonts w:asciiTheme="majorBidi" w:hAnsiTheme="majorBidi" w:cstheme="majorBidi"/>
          <w:sz w:val="28"/>
          <w:szCs w:val="28"/>
          <w:vertAlign w:val="superscript"/>
        </w:rPr>
        <w:t>r</w:t>
      </w:r>
      <w:r w:rsidR="00586E04" w:rsidRPr="00586E04">
        <w:rPr>
          <w:rFonts w:asciiTheme="majorBidi" w:hAnsiTheme="majorBidi" w:cstheme="majorBidi"/>
          <w:sz w:val="28"/>
          <w:szCs w:val="28"/>
          <w:vertAlign w:val="superscript"/>
        </w:rPr>
        <w:t>d</w:t>
      </w:r>
      <w:r w:rsidR="00586E04" w:rsidRPr="00586E04">
        <w:rPr>
          <w:rFonts w:asciiTheme="majorBidi" w:hAnsiTheme="majorBidi" w:cstheme="majorBidi"/>
          <w:sz w:val="28"/>
          <w:szCs w:val="28"/>
        </w:rPr>
        <w:t xml:space="preserve"> year medical science</w:t>
      </w:r>
    </w:p>
    <w:p w14:paraId="1AA1A8C7" w14:textId="77777777" w:rsidR="00D96684" w:rsidRDefault="00586E04" w:rsidP="00D96684">
      <w:pPr>
        <w:jc w:val="right"/>
        <w:rPr>
          <w:rFonts w:asciiTheme="majorBidi" w:hAnsiTheme="majorBidi" w:cstheme="majorBidi"/>
          <w:sz w:val="28"/>
          <w:szCs w:val="28"/>
        </w:rPr>
      </w:pPr>
      <w:r w:rsidRPr="00586E04">
        <w:rPr>
          <w:rFonts w:cs="Arial"/>
          <w:sz w:val="28"/>
          <w:szCs w:val="28"/>
        </w:rPr>
        <w:t xml:space="preserve">          </w:t>
      </w:r>
      <w:r>
        <w:rPr>
          <w:rFonts w:cs="Arial"/>
          <w:sz w:val="28"/>
          <w:szCs w:val="28"/>
        </w:rPr>
        <w:t xml:space="preserve">                               </w:t>
      </w:r>
      <w:r w:rsidRPr="00586E04">
        <w:rPr>
          <w:rFonts w:cs="Arial"/>
          <w:sz w:val="28"/>
          <w:szCs w:val="28"/>
        </w:rPr>
        <w:t xml:space="preserve">  </w:t>
      </w:r>
      <w:r w:rsidR="00895DAE" w:rsidRPr="00586E04">
        <w:rPr>
          <w:rFonts w:cs="Arial"/>
          <w:sz w:val="28"/>
          <w:szCs w:val="28"/>
        </w:rPr>
        <w:t xml:space="preserve"> </w:t>
      </w:r>
      <w:r w:rsidR="00895DAE" w:rsidRPr="00586E04">
        <w:rPr>
          <w:rFonts w:asciiTheme="majorBidi" w:hAnsiTheme="majorBidi" w:cstheme="majorBidi"/>
          <w:sz w:val="28"/>
          <w:szCs w:val="28"/>
        </w:rPr>
        <w:t>Supervisor</w:t>
      </w:r>
      <w:r w:rsidRPr="00586E04">
        <w:rPr>
          <w:rFonts w:asciiTheme="majorBidi" w:hAnsiTheme="majorBidi" w:cstheme="majorBidi"/>
          <w:sz w:val="28"/>
          <w:szCs w:val="28"/>
        </w:rPr>
        <w:t>:</w:t>
      </w:r>
    </w:p>
    <w:p w14:paraId="1B89E445" w14:textId="661F00C4" w:rsidR="00586E04" w:rsidRPr="00586E04" w:rsidRDefault="00D96684" w:rsidP="00D96684">
      <w:pPr>
        <w:jc w:val="center"/>
        <w:rPr>
          <w:rFonts w:asciiTheme="majorBidi" w:hAnsiTheme="majorBidi" w:cstheme="majorBidi" w:hint="cs"/>
          <w:sz w:val="28"/>
          <w:szCs w:val="28"/>
          <w:rtl/>
        </w:rPr>
      </w:pPr>
      <w:r>
        <w:rPr>
          <w:rFonts w:asciiTheme="majorBidi" w:hAnsiTheme="majorBidi" w:cstheme="majorBidi" w:hint="cs"/>
          <w:sz w:val="28"/>
          <w:szCs w:val="28"/>
          <w:rtl/>
        </w:rPr>
        <w:t>د. انتصار الناجي</w:t>
      </w:r>
    </w:p>
    <w:p w14:paraId="087B080D" w14:textId="77777777" w:rsidR="00D96684" w:rsidRDefault="00586E04" w:rsidP="00D96684">
      <w:pPr>
        <w:jc w:val="right"/>
        <w:rPr>
          <w:rFonts w:asciiTheme="majorBidi" w:hAnsiTheme="majorBidi" w:cstheme="majorBidi"/>
          <w:sz w:val="28"/>
          <w:szCs w:val="28"/>
        </w:rPr>
      </w:pPr>
      <w:r w:rsidRPr="00586E04">
        <w:rPr>
          <w:rFonts w:asciiTheme="majorBidi" w:hAnsiTheme="majorBidi" w:cstheme="majorBidi"/>
          <w:sz w:val="28"/>
          <w:szCs w:val="28"/>
        </w:rPr>
        <w:t xml:space="preserve">          </w:t>
      </w:r>
      <w:r>
        <w:rPr>
          <w:rFonts w:asciiTheme="majorBidi" w:hAnsiTheme="majorBidi" w:cstheme="majorBidi"/>
          <w:sz w:val="28"/>
          <w:szCs w:val="28"/>
        </w:rPr>
        <w:t xml:space="preserve">                         </w:t>
      </w:r>
      <w:r w:rsidRPr="00586E04">
        <w:rPr>
          <w:rFonts w:asciiTheme="majorBidi" w:hAnsiTheme="majorBidi" w:cstheme="majorBidi"/>
          <w:sz w:val="28"/>
          <w:szCs w:val="28"/>
        </w:rPr>
        <w:t xml:space="preserve">  </w:t>
      </w:r>
      <w:r w:rsidR="00895DAE" w:rsidRPr="00586E04">
        <w:rPr>
          <w:rFonts w:asciiTheme="majorBidi" w:hAnsiTheme="majorBidi" w:cstheme="majorBidi"/>
          <w:sz w:val="28"/>
          <w:szCs w:val="28"/>
        </w:rPr>
        <w:t>assisted by</w:t>
      </w:r>
      <w:r w:rsidRPr="00586E04">
        <w:rPr>
          <w:rFonts w:asciiTheme="majorBidi" w:hAnsiTheme="majorBidi" w:cstheme="majorBidi"/>
          <w:sz w:val="28"/>
          <w:szCs w:val="28"/>
        </w:rPr>
        <w:t>:</w:t>
      </w:r>
    </w:p>
    <w:p w14:paraId="4222349F" w14:textId="77777777" w:rsidR="00D96684" w:rsidRDefault="00D96684" w:rsidP="00D96684">
      <w:pPr>
        <w:pStyle w:val="a7"/>
        <w:jc w:val="center"/>
        <w:rPr>
          <w:rFonts w:asciiTheme="majorBidi" w:hAnsiTheme="majorBidi" w:cstheme="majorBidi" w:hint="cs"/>
          <w:sz w:val="28"/>
          <w:szCs w:val="28"/>
          <w:rtl/>
        </w:rPr>
      </w:pPr>
      <w:proofErr w:type="spellStart"/>
      <w:r>
        <w:rPr>
          <w:rFonts w:asciiTheme="majorBidi" w:hAnsiTheme="majorBidi" w:cstheme="majorBidi" w:hint="cs"/>
          <w:sz w:val="28"/>
          <w:szCs w:val="28"/>
          <w:rtl/>
        </w:rPr>
        <w:t>أ.ناجي</w:t>
      </w:r>
      <w:proofErr w:type="spellEnd"/>
      <w:r>
        <w:rPr>
          <w:rFonts w:asciiTheme="majorBidi" w:hAnsiTheme="majorBidi" w:cstheme="majorBidi" w:hint="cs"/>
          <w:sz w:val="28"/>
          <w:szCs w:val="28"/>
          <w:rtl/>
        </w:rPr>
        <w:t xml:space="preserve"> </w:t>
      </w:r>
      <w:proofErr w:type="spellStart"/>
      <w:r>
        <w:rPr>
          <w:rFonts w:asciiTheme="majorBidi" w:hAnsiTheme="majorBidi" w:cstheme="majorBidi" w:hint="cs"/>
          <w:sz w:val="28"/>
          <w:szCs w:val="28"/>
          <w:rtl/>
        </w:rPr>
        <w:t>الحمري</w:t>
      </w:r>
      <w:proofErr w:type="spellEnd"/>
      <w:r>
        <w:rPr>
          <w:rFonts w:asciiTheme="majorBidi" w:hAnsiTheme="majorBidi" w:cstheme="majorBidi" w:hint="cs"/>
          <w:sz w:val="28"/>
          <w:szCs w:val="28"/>
          <w:rtl/>
        </w:rPr>
        <w:t xml:space="preserve"> </w:t>
      </w:r>
    </w:p>
    <w:p w14:paraId="1406ED02" w14:textId="1922C652" w:rsidR="00586E04" w:rsidRPr="00D96684" w:rsidRDefault="00D96684" w:rsidP="00D96684">
      <w:pPr>
        <w:pStyle w:val="a7"/>
        <w:jc w:val="center"/>
        <w:rPr>
          <w:rFonts w:asciiTheme="majorBidi" w:hAnsiTheme="majorBidi" w:cstheme="majorBidi"/>
          <w:sz w:val="28"/>
          <w:szCs w:val="28"/>
        </w:rPr>
      </w:pPr>
      <w:proofErr w:type="spellStart"/>
      <w:r>
        <w:rPr>
          <w:rFonts w:asciiTheme="majorBidi" w:hAnsiTheme="majorBidi" w:cstheme="majorBidi" w:hint="cs"/>
          <w:sz w:val="28"/>
          <w:szCs w:val="28"/>
          <w:rtl/>
        </w:rPr>
        <w:t>أ.اسماء</w:t>
      </w:r>
      <w:proofErr w:type="spellEnd"/>
      <w:r>
        <w:rPr>
          <w:rFonts w:asciiTheme="majorBidi" w:hAnsiTheme="majorBidi" w:cstheme="majorBidi" w:hint="cs"/>
          <w:sz w:val="28"/>
          <w:szCs w:val="28"/>
          <w:rtl/>
        </w:rPr>
        <w:t xml:space="preserve"> </w:t>
      </w:r>
      <w:proofErr w:type="spellStart"/>
      <w:r>
        <w:rPr>
          <w:rFonts w:asciiTheme="majorBidi" w:hAnsiTheme="majorBidi" w:cstheme="majorBidi" w:hint="cs"/>
          <w:sz w:val="28"/>
          <w:szCs w:val="28"/>
          <w:rtl/>
        </w:rPr>
        <w:t>الكوافي</w:t>
      </w:r>
      <w:proofErr w:type="spellEnd"/>
      <w:r>
        <w:rPr>
          <w:rFonts w:asciiTheme="majorBidi" w:hAnsiTheme="majorBidi" w:cstheme="majorBidi" w:hint="cs"/>
          <w:sz w:val="28"/>
          <w:szCs w:val="28"/>
          <w:rtl/>
        </w:rPr>
        <w:t xml:space="preserve"> </w:t>
      </w:r>
      <w:r w:rsidR="00586E04" w:rsidRPr="00D96684">
        <w:rPr>
          <w:rFonts w:asciiTheme="majorBidi" w:hAnsiTheme="majorBidi" w:cstheme="majorBidi"/>
          <w:sz w:val="28"/>
          <w:szCs w:val="28"/>
        </w:rPr>
        <w:t xml:space="preserve"> </w:t>
      </w:r>
      <w:r w:rsidR="00586E04" w:rsidRPr="00D96684">
        <w:rPr>
          <w:rFonts w:asciiTheme="majorBidi" w:hAnsiTheme="majorBidi" w:cstheme="majorBidi" w:hint="cs"/>
          <w:sz w:val="28"/>
          <w:szCs w:val="28"/>
          <w:rtl/>
        </w:rPr>
        <w:t xml:space="preserve">                                         </w:t>
      </w:r>
    </w:p>
    <w:p w14:paraId="68BF1335" w14:textId="77777777" w:rsidR="00895DAE" w:rsidRPr="00895DAE" w:rsidRDefault="00895DAE" w:rsidP="00895DAE">
      <w:pPr>
        <w:jc w:val="right"/>
        <w:rPr>
          <w:rFonts w:asciiTheme="majorBidi" w:hAnsiTheme="majorBidi" w:cstheme="majorBidi"/>
          <w:sz w:val="32"/>
          <w:szCs w:val="32"/>
          <w:rtl/>
        </w:rPr>
      </w:pPr>
      <w:r>
        <w:rPr>
          <w:rFonts w:asciiTheme="majorBidi" w:hAnsiTheme="majorBidi" w:cstheme="majorBidi" w:hint="cs"/>
          <w:sz w:val="32"/>
          <w:szCs w:val="32"/>
          <w:rtl/>
        </w:rPr>
        <w:t xml:space="preserve">   </w:t>
      </w:r>
    </w:p>
    <w:p w14:paraId="0550BBEA" w14:textId="77777777" w:rsidR="00895DAE" w:rsidRDefault="00895DAE" w:rsidP="00895DAE">
      <w:pPr>
        <w:jc w:val="right"/>
        <w:rPr>
          <w:rFonts w:asciiTheme="majorBidi" w:hAnsiTheme="majorBidi" w:cstheme="majorBidi"/>
          <w:sz w:val="36"/>
          <w:szCs w:val="36"/>
          <w:rtl/>
        </w:rPr>
      </w:pPr>
    </w:p>
    <w:p w14:paraId="0545A374" w14:textId="77777777" w:rsidR="00586E04" w:rsidRDefault="00586E04" w:rsidP="00895DAE">
      <w:pPr>
        <w:jc w:val="right"/>
        <w:rPr>
          <w:rFonts w:asciiTheme="majorBidi" w:hAnsiTheme="majorBidi" w:cstheme="majorBidi"/>
          <w:sz w:val="36"/>
          <w:szCs w:val="36"/>
          <w:rtl/>
        </w:rPr>
      </w:pPr>
    </w:p>
    <w:p w14:paraId="622B91A1" w14:textId="77777777" w:rsidR="00586E04" w:rsidRDefault="00586E04" w:rsidP="00C72A8D">
      <w:pPr>
        <w:rPr>
          <w:rFonts w:asciiTheme="majorBidi" w:hAnsiTheme="majorBidi" w:cstheme="majorBidi"/>
          <w:sz w:val="36"/>
          <w:szCs w:val="36"/>
          <w:rtl/>
        </w:rPr>
      </w:pPr>
    </w:p>
    <w:p w14:paraId="3C7EB1F8" w14:textId="77777777" w:rsidR="00586E04" w:rsidRDefault="00586E04" w:rsidP="00895DAE">
      <w:pPr>
        <w:jc w:val="right"/>
        <w:rPr>
          <w:rFonts w:asciiTheme="majorBidi" w:hAnsiTheme="majorBidi" w:cstheme="majorBidi"/>
          <w:sz w:val="36"/>
          <w:szCs w:val="36"/>
          <w:rtl/>
        </w:rPr>
      </w:pPr>
    </w:p>
    <w:p w14:paraId="637E40D2" w14:textId="77777777" w:rsidR="00586E04" w:rsidRDefault="00586E04" w:rsidP="00895DAE">
      <w:pPr>
        <w:jc w:val="right"/>
        <w:rPr>
          <w:rFonts w:asciiTheme="majorBidi" w:hAnsiTheme="majorBidi" w:cstheme="majorBidi"/>
          <w:sz w:val="36"/>
          <w:szCs w:val="36"/>
        </w:rPr>
      </w:pPr>
    </w:p>
    <w:p w14:paraId="44D1284A" w14:textId="757F9E0F" w:rsidR="00A36748" w:rsidRDefault="00586E04" w:rsidP="00A36748">
      <w:pPr>
        <w:jc w:val="right"/>
        <w:rPr>
          <w:rFonts w:asciiTheme="majorBidi" w:hAnsiTheme="majorBidi" w:cstheme="majorBidi"/>
          <w:sz w:val="28"/>
          <w:szCs w:val="28"/>
        </w:rPr>
      </w:pPr>
      <w:r w:rsidRPr="00586E04">
        <w:rPr>
          <w:rFonts w:asciiTheme="majorBidi" w:hAnsiTheme="majorBidi" w:cstheme="majorBidi"/>
          <w:sz w:val="28"/>
          <w:szCs w:val="28"/>
        </w:rPr>
        <w:t xml:space="preserve">Date of submission:   </w:t>
      </w:r>
      <w:bookmarkStart w:id="1" w:name="_Hlk3030201"/>
    </w:p>
    <w:p w14:paraId="3BDF9EC2" w14:textId="4F6FA74B" w:rsidR="00D52A64" w:rsidRDefault="00D52A64" w:rsidP="00A36748">
      <w:pPr>
        <w:jc w:val="right"/>
        <w:rPr>
          <w:rFonts w:asciiTheme="majorBidi" w:hAnsiTheme="majorBidi" w:cstheme="majorBidi"/>
          <w:sz w:val="28"/>
          <w:szCs w:val="28"/>
        </w:rPr>
      </w:pPr>
    </w:p>
    <w:p w14:paraId="0971C097" w14:textId="77777777" w:rsidR="00D52A64" w:rsidRPr="00DE1C36" w:rsidRDefault="00D52A64" w:rsidP="00A36748">
      <w:pPr>
        <w:jc w:val="right"/>
        <w:rPr>
          <w:rFonts w:asciiTheme="majorBidi" w:hAnsiTheme="majorBidi" w:cstheme="majorBidi"/>
          <w:sz w:val="28"/>
          <w:szCs w:val="28"/>
          <w:rtl/>
        </w:rPr>
      </w:pPr>
    </w:p>
    <w:p w14:paraId="6E546828" w14:textId="2332F20D" w:rsidR="00D52A64" w:rsidRPr="00DE1C36" w:rsidRDefault="00586E04" w:rsidP="00D52A64">
      <w:pPr>
        <w:jc w:val="right"/>
        <w:rPr>
          <w:rFonts w:asciiTheme="majorBidi" w:hAnsiTheme="majorBidi" w:cstheme="majorBidi"/>
          <w:sz w:val="28"/>
          <w:szCs w:val="28"/>
          <w:rtl/>
        </w:rPr>
      </w:pPr>
      <w:r w:rsidRPr="00DE1C36">
        <w:rPr>
          <w:rFonts w:asciiTheme="majorBidi" w:eastAsia="Times New Roman" w:hAnsiTheme="majorBidi" w:cstheme="majorBidi"/>
          <w:b/>
          <w:bCs/>
          <w:sz w:val="28"/>
          <w:szCs w:val="28"/>
        </w:rPr>
        <w:t>Abstract</w:t>
      </w:r>
    </w:p>
    <w:p w14:paraId="15808397" w14:textId="481EEDA1" w:rsidR="005A50B6" w:rsidRDefault="002C1050" w:rsidP="002C1050">
      <w:pPr>
        <w:bidi w:val="0"/>
        <w:spacing w:after="160"/>
        <w:jc w:val="both"/>
        <w:rPr>
          <w:rFonts w:asciiTheme="majorBidi" w:hAnsiTheme="majorBidi" w:cstheme="majorBidi"/>
          <w:color w:val="000000"/>
          <w:sz w:val="24"/>
          <w:szCs w:val="24"/>
          <w:rtl/>
        </w:rPr>
      </w:pPr>
      <w:r w:rsidRPr="002C1050">
        <w:rPr>
          <w:rFonts w:asciiTheme="majorBidi" w:hAnsiTheme="majorBidi" w:cstheme="majorBidi"/>
          <w:color w:val="000000"/>
          <w:sz w:val="24"/>
          <w:szCs w:val="24"/>
        </w:rPr>
        <w:t xml:space="preserve">Asymptomatic bacteriuria, defined as the presence of bacteria in the urine in the absence of urinary symptoms, is a common clinical finding that often warrants a decision about whether to initiate antimicrobial therapy. There are few indications to treat asymptomatic bacteriuria, and inappropriate treatment contributes to the development of antimicrobial resistance. In 2019, the Infectious Diseases Society of America revised its 2005 guidelines on asymptomatic bacteriuria, incorporating new evidence. The updated guidelines recommend screening and appropriate treatment for asymptomatic bacteriuria in pregnant women and in individuals undergoing endourological procedures associated with mucosal trauma. The guidelines recommend against screening and treatment in infants and children; healthy adults, including nonpregnant pre- and postmenopausal women; and patients with diabetes mellitus, long-term indwelling catheters, or spinal cord injuries. </w:t>
      </w:r>
    </w:p>
    <w:p w14:paraId="33B77C8E" w14:textId="77777777" w:rsidR="005A50B6" w:rsidRDefault="005A50B6" w:rsidP="005A50B6">
      <w:pPr>
        <w:bidi w:val="0"/>
        <w:spacing w:after="160"/>
        <w:rPr>
          <w:rFonts w:asciiTheme="majorBidi" w:hAnsiTheme="majorBidi" w:cstheme="majorBidi"/>
          <w:color w:val="000000"/>
          <w:sz w:val="24"/>
          <w:szCs w:val="24"/>
          <w:rtl/>
        </w:rPr>
      </w:pPr>
    </w:p>
    <w:p w14:paraId="19E0A47C" w14:textId="77777777" w:rsidR="005A50B6" w:rsidRDefault="005A50B6" w:rsidP="005A50B6">
      <w:pPr>
        <w:bidi w:val="0"/>
        <w:spacing w:after="160"/>
        <w:rPr>
          <w:rFonts w:asciiTheme="majorBidi" w:hAnsiTheme="majorBidi" w:cstheme="majorBidi"/>
          <w:color w:val="000000"/>
          <w:sz w:val="24"/>
          <w:szCs w:val="24"/>
          <w:rtl/>
        </w:rPr>
      </w:pPr>
    </w:p>
    <w:p w14:paraId="21048DF5" w14:textId="77777777" w:rsidR="005A50B6" w:rsidRDefault="005A50B6" w:rsidP="005A50B6">
      <w:pPr>
        <w:bidi w:val="0"/>
        <w:spacing w:after="160"/>
        <w:rPr>
          <w:rFonts w:asciiTheme="majorBidi" w:hAnsiTheme="majorBidi" w:cstheme="majorBidi"/>
          <w:color w:val="000000"/>
          <w:sz w:val="24"/>
          <w:szCs w:val="24"/>
          <w:rtl/>
        </w:rPr>
      </w:pPr>
    </w:p>
    <w:p w14:paraId="4F68E11C" w14:textId="77777777" w:rsidR="005A50B6" w:rsidRDefault="005A50B6" w:rsidP="005A50B6">
      <w:pPr>
        <w:bidi w:val="0"/>
        <w:spacing w:after="160"/>
        <w:rPr>
          <w:rFonts w:asciiTheme="majorBidi" w:hAnsiTheme="majorBidi" w:cstheme="majorBidi"/>
          <w:color w:val="000000"/>
          <w:sz w:val="24"/>
          <w:szCs w:val="24"/>
          <w:rtl/>
        </w:rPr>
      </w:pPr>
    </w:p>
    <w:p w14:paraId="7F416EE4" w14:textId="04171BA6" w:rsidR="00012EBA" w:rsidRDefault="00012EBA" w:rsidP="00012EBA">
      <w:pPr>
        <w:bidi w:val="0"/>
        <w:spacing w:after="160"/>
        <w:rPr>
          <w:rFonts w:asciiTheme="majorBidi" w:hAnsiTheme="majorBidi" w:cstheme="majorBidi"/>
          <w:color w:val="000000"/>
          <w:sz w:val="24"/>
          <w:szCs w:val="24"/>
        </w:rPr>
      </w:pPr>
    </w:p>
    <w:p w14:paraId="058C4F87" w14:textId="77777777" w:rsidR="002C1050" w:rsidRDefault="002C1050" w:rsidP="002C1050">
      <w:pPr>
        <w:bidi w:val="0"/>
        <w:spacing w:after="160"/>
        <w:rPr>
          <w:rFonts w:asciiTheme="majorBidi" w:eastAsia="Times New Roman" w:hAnsiTheme="majorBidi" w:cstheme="majorBidi"/>
          <w:b/>
          <w:bCs/>
          <w:sz w:val="32"/>
          <w:szCs w:val="32"/>
        </w:rPr>
      </w:pPr>
    </w:p>
    <w:p w14:paraId="472AB603" w14:textId="77777777" w:rsidR="00012EBA" w:rsidRDefault="00012EBA" w:rsidP="00012EBA">
      <w:pPr>
        <w:bidi w:val="0"/>
        <w:spacing w:after="160"/>
        <w:rPr>
          <w:rFonts w:asciiTheme="majorBidi" w:eastAsia="Times New Roman" w:hAnsiTheme="majorBidi" w:cstheme="majorBidi"/>
          <w:b/>
          <w:bCs/>
          <w:sz w:val="32"/>
          <w:szCs w:val="32"/>
        </w:rPr>
      </w:pPr>
    </w:p>
    <w:p w14:paraId="1E16BCE6" w14:textId="77777777" w:rsidR="00012EBA" w:rsidRDefault="00012EBA" w:rsidP="00012EBA">
      <w:pPr>
        <w:bidi w:val="0"/>
        <w:spacing w:after="160"/>
        <w:rPr>
          <w:rFonts w:asciiTheme="majorBidi" w:eastAsia="Times New Roman" w:hAnsiTheme="majorBidi" w:cstheme="majorBidi"/>
          <w:b/>
          <w:bCs/>
          <w:sz w:val="32"/>
          <w:szCs w:val="32"/>
        </w:rPr>
      </w:pPr>
    </w:p>
    <w:p w14:paraId="2A68C65C" w14:textId="77777777" w:rsidR="00012EBA" w:rsidRDefault="00012EBA" w:rsidP="00012EBA">
      <w:pPr>
        <w:bidi w:val="0"/>
        <w:spacing w:after="160"/>
        <w:rPr>
          <w:rFonts w:asciiTheme="majorBidi" w:eastAsia="Times New Roman" w:hAnsiTheme="majorBidi" w:cstheme="majorBidi"/>
          <w:b/>
          <w:bCs/>
          <w:sz w:val="32"/>
          <w:szCs w:val="32"/>
        </w:rPr>
      </w:pPr>
    </w:p>
    <w:p w14:paraId="48A3E64C" w14:textId="77777777" w:rsidR="00012EBA" w:rsidRDefault="00012EBA" w:rsidP="00012EBA">
      <w:pPr>
        <w:bidi w:val="0"/>
        <w:spacing w:after="160"/>
        <w:rPr>
          <w:rFonts w:asciiTheme="majorBidi" w:eastAsia="Times New Roman" w:hAnsiTheme="majorBidi" w:cstheme="majorBidi"/>
          <w:b/>
          <w:bCs/>
          <w:sz w:val="32"/>
          <w:szCs w:val="32"/>
        </w:rPr>
      </w:pPr>
    </w:p>
    <w:p w14:paraId="0B1DB08D" w14:textId="77777777" w:rsidR="009A7C53" w:rsidRDefault="009A7C53" w:rsidP="00DE1C36">
      <w:pPr>
        <w:bidi w:val="0"/>
        <w:spacing w:after="160"/>
        <w:rPr>
          <w:rFonts w:asciiTheme="majorBidi" w:eastAsia="Times New Roman" w:hAnsiTheme="majorBidi" w:cstheme="majorBidi"/>
          <w:b/>
          <w:bCs/>
          <w:sz w:val="32"/>
          <w:szCs w:val="32"/>
        </w:rPr>
      </w:pPr>
    </w:p>
    <w:p w14:paraId="3D5B29E3" w14:textId="77777777" w:rsidR="0056313D" w:rsidRDefault="0056313D" w:rsidP="009A7C53">
      <w:pPr>
        <w:bidi w:val="0"/>
        <w:spacing w:after="160"/>
        <w:rPr>
          <w:rFonts w:asciiTheme="majorBidi" w:eastAsia="Times New Roman" w:hAnsiTheme="majorBidi" w:cstheme="majorBidi"/>
          <w:b/>
          <w:bCs/>
          <w:sz w:val="28"/>
          <w:szCs w:val="28"/>
        </w:rPr>
      </w:pPr>
    </w:p>
    <w:p w14:paraId="7E87148D" w14:textId="77777777" w:rsidR="0056313D" w:rsidRDefault="0056313D" w:rsidP="0056313D">
      <w:pPr>
        <w:bidi w:val="0"/>
        <w:spacing w:after="160"/>
        <w:rPr>
          <w:rFonts w:asciiTheme="majorBidi" w:eastAsia="Times New Roman" w:hAnsiTheme="majorBidi" w:cstheme="majorBidi"/>
          <w:b/>
          <w:bCs/>
          <w:sz w:val="28"/>
          <w:szCs w:val="28"/>
        </w:rPr>
      </w:pPr>
    </w:p>
    <w:p w14:paraId="6AB91B3C" w14:textId="77777777" w:rsidR="0056313D" w:rsidRDefault="0056313D" w:rsidP="0056313D">
      <w:pPr>
        <w:bidi w:val="0"/>
        <w:spacing w:after="160"/>
        <w:rPr>
          <w:rFonts w:asciiTheme="majorBidi" w:eastAsia="Times New Roman" w:hAnsiTheme="majorBidi" w:cstheme="majorBidi"/>
          <w:b/>
          <w:bCs/>
          <w:sz w:val="28"/>
          <w:szCs w:val="28"/>
        </w:rPr>
      </w:pPr>
    </w:p>
    <w:p w14:paraId="42F2CF98" w14:textId="77777777" w:rsidR="0056313D" w:rsidRDefault="0056313D" w:rsidP="0056313D">
      <w:pPr>
        <w:bidi w:val="0"/>
        <w:spacing w:after="160"/>
        <w:rPr>
          <w:rFonts w:asciiTheme="majorBidi" w:eastAsia="Times New Roman" w:hAnsiTheme="majorBidi" w:cstheme="majorBidi"/>
          <w:b/>
          <w:bCs/>
          <w:sz w:val="28"/>
          <w:szCs w:val="28"/>
        </w:rPr>
      </w:pPr>
    </w:p>
    <w:p w14:paraId="43A3DA03" w14:textId="6BEB74F5" w:rsidR="00586E04" w:rsidRPr="00012EBA" w:rsidRDefault="005E168B" w:rsidP="0056313D">
      <w:pPr>
        <w:bidi w:val="0"/>
        <w:spacing w:after="160"/>
        <w:rPr>
          <w:rFonts w:asciiTheme="majorBidi" w:eastAsia="Times New Roman" w:hAnsiTheme="majorBidi" w:cstheme="majorBidi"/>
          <w:b/>
          <w:bCs/>
          <w:color w:val="44546A" w:themeColor="text2"/>
          <w:sz w:val="28"/>
          <w:szCs w:val="28"/>
        </w:rPr>
      </w:pPr>
      <w:r w:rsidRPr="00012EBA">
        <w:rPr>
          <w:rFonts w:asciiTheme="majorBidi" w:eastAsia="Times New Roman" w:hAnsiTheme="majorBidi" w:cstheme="majorBidi"/>
          <w:b/>
          <w:bCs/>
          <w:sz w:val="28"/>
          <w:szCs w:val="28"/>
        </w:rPr>
        <w:t>I</w:t>
      </w:r>
      <w:r w:rsidR="00586E04" w:rsidRPr="00012EBA">
        <w:rPr>
          <w:rFonts w:asciiTheme="majorBidi" w:eastAsia="Times New Roman" w:hAnsiTheme="majorBidi" w:cstheme="majorBidi"/>
          <w:b/>
          <w:bCs/>
          <w:sz w:val="28"/>
          <w:szCs w:val="28"/>
        </w:rPr>
        <w:t>ntroduction</w:t>
      </w:r>
    </w:p>
    <w:p w14:paraId="1F7E17FC" w14:textId="4AEA9467" w:rsidR="00D74B4F" w:rsidRDefault="00BB6732" w:rsidP="00C52DB1">
      <w:pPr>
        <w:bidi w:val="0"/>
        <w:spacing w:after="160"/>
        <w:jc w:val="both"/>
        <w:rPr>
          <w:rFonts w:asciiTheme="majorBidi" w:hAnsiTheme="majorBidi" w:cstheme="majorBidi"/>
          <w:color w:val="000000"/>
          <w:sz w:val="24"/>
          <w:szCs w:val="24"/>
          <w:shd w:val="clear" w:color="auto" w:fill="FFFFFF"/>
        </w:rPr>
      </w:pPr>
      <w:bookmarkStart w:id="2" w:name="_Hlk3030246"/>
      <w:r w:rsidRPr="00BB6732">
        <w:rPr>
          <w:rFonts w:asciiTheme="majorBidi" w:hAnsiTheme="majorBidi" w:cstheme="majorBidi"/>
          <w:color w:val="000000"/>
          <w:sz w:val="24"/>
          <w:szCs w:val="24"/>
          <w:shd w:val="clear" w:color="auto" w:fill="FFFFFF"/>
        </w:rPr>
        <w:t xml:space="preserve">Asymptomatic bacteriuria, defined as the presence of bacteria in the urine in the absence of urinary symptoms, is a common clinical finding that often warrants a decision about whether to initiate antimicrobial therapy. There are few indications to treat asymptomatic bacteriuria, and inappropriate treatment contributes to the development of antimicrobial resistance. In 2019, the Infectious Diseases Society of America revised its 2005 guidelines on asymptomatic bacteriuria, incorporating new evidence. The updated guidelines recommend screening and appropriate treatment for asymptomatic bacteriuria in pregnant women and in individuals undergoing endourological procedures associated with mucosal trauma. </w:t>
      </w:r>
      <w:r w:rsidR="00981778" w:rsidRPr="00981778">
        <w:rPr>
          <w:rFonts w:asciiTheme="majorBidi" w:hAnsiTheme="majorBidi" w:cstheme="majorBidi"/>
          <w:color w:val="000000"/>
          <w:sz w:val="24"/>
          <w:szCs w:val="24"/>
          <w:shd w:val="clear" w:color="auto" w:fill="FFFFFF"/>
          <w:vertAlign w:val="superscript"/>
        </w:rPr>
        <w:t>(1)</w:t>
      </w:r>
    </w:p>
    <w:p w14:paraId="758090E8" w14:textId="737DE30D" w:rsidR="00D74B4F" w:rsidRDefault="00BB6732" w:rsidP="00D74B4F">
      <w:pPr>
        <w:bidi w:val="0"/>
        <w:spacing w:after="160"/>
        <w:jc w:val="both"/>
        <w:rPr>
          <w:rFonts w:asciiTheme="majorBidi" w:hAnsiTheme="majorBidi" w:cstheme="majorBidi"/>
          <w:color w:val="000000"/>
          <w:sz w:val="24"/>
          <w:szCs w:val="24"/>
          <w:shd w:val="clear" w:color="auto" w:fill="FFFFFF"/>
        </w:rPr>
      </w:pPr>
      <w:r w:rsidRPr="00BB6732">
        <w:rPr>
          <w:rFonts w:asciiTheme="majorBidi" w:hAnsiTheme="majorBidi" w:cstheme="majorBidi"/>
          <w:color w:val="000000"/>
          <w:sz w:val="24"/>
          <w:szCs w:val="24"/>
          <w:shd w:val="clear" w:color="auto" w:fill="FFFFFF"/>
        </w:rPr>
        <w:t xml:space="preserve">The guidelines recommend against screening and treatment in infants and children; healthy adults, including nonpregnant pre- and postmenopausal women; and patients with diabetes mellitus, long-term indwelling catheters, or spinal cord injuries. </w:t>
      </w:r>
      <w:r w:rsidR="00981778" w:rsidRPr="00981778">
        <w:rPr>
          <w:rFonts w:asciiTheme="majorBidi" w:hAnsiTheme="majorBidi" w:cstheme="majorBidi"/>
          <w:color w:val="000000"/>
          <w:sz w:val="24"/>
          <w:szCs w:val="24"/>
          <w:shd w:val="clear" w:color="auto" w:fill="FFFFFF"/>
          <w:vertAlign w:val="superscript"/>
        </w:rPr>
        <w:t>(1-2)</w:t>
      </w:r>
    </w:p>
    <w:p w14:paraId="036FB446" w14:textId="754E4EC2" w:rsidR="00C52DB1" w:rsidRDefault="00BB6732" w:rsidP="00D74B4F">
      <w:pPr>
        <w:bidi w:val="0"/>
        <w:spacing w:after="160"/>
        <w:jc w:val="both"/>
        <w:rPr>
          <w:rFonts w:asciiTheme="majorBidi" w:eastAsia="Times New Roman" w:hAnsiTheme="majorBidi" w:cstheme="majorBidi"/>
          <w:sz w:val="24"/>
          <w:szCs w:val="24"/>
        </w:rPr>
      </w:pPr>
      <w:r w:rsidRPr="00BB6732">
        <w:rPr>
          <w:rFonts w:asciiTheme="majorBidi" w:hAnsiTheme="majorBidi" w:cstheme="majorBidi"/>
          <w:color w:val="000000"/>
          <w:sz w:val="24"/>
          <w:szCs w:val="24"/>
          <w:shd w:val="clear" w:color="auto" w:fill="FFFFFF"/>
        </w:rPr>
        <w:t>The guidelines also recommend against screening and treatment in patients undergoing nonurological surgery, patients who have had a kidney transplant more than one month prior, recipients of other solid organ transplants, or those with impaired voiding following spinal cord injury. Although delirium in older adults can be caused by a urinary tract infection, the guidelines recommend that patients with delirium and no urinary or systemic symptoms be assessed for other causes of delirium, rather than initiating treatment for asymptomatic bacteriuria, because treatment has not been shown to have any beneficial effect on clinical outcomes.</w:t>
      </w:r>
      <w:r w:rsidR="00981778">
        <w:rPr>
          <w:rFonts w:asciiTheme="majorBidi" w:hAnsiTheme="majorBidi" w:cstheme="majorBidi"/>
          <w:color w:val="000000"/>
          <w:sz w:val="24"/>
          <w:szCs w:val="24"/>
          <w:shd w:val="clear" w:color="auto" w:fill="FFFFFF"/>
        </w:rPr>
        <w:t xml:space="preserve"> </w:t>
      </w:r>
      <w:r w:rsidR="00981778" w:rsidRPr="00981778">
        <w:rPr>
          <w:rFonts w:asciiTheme="majorBidi" w:hAnsiTheme="majorBidi" w:cstheme="majorBidi"/>
          <w:color w:val="000000"/>
          <w:sz w:val="24"/>
          <w:szCs w:val="24"/>
          <w:shd w:val="clear" w:color="auto" w:fill="FFFFFF"/>
          <w:vertAlign w:val="superscript"/>
        </w:rPr>
        <w:t xml:space="preserve">(3) </w:t>
      </w:r>
    </w:p>
    <w:p w14:paraId="1711E0E9" w14:textId="346841DB" w:rsidR="00227AB5" w:rsidRDefault="00BB6732" w:rsidP="00227AB5">
      <w:pPr>
        <w:bidi w:val="0"/>
        <w:spacing w:after="160"/>
        <w:jc w:val="both"/>
        <w:rPr>
          <w:rFonts w:asciiTheme="majorBidi" w:hAnsiTheme="majorBidi" w:cstheme="majorBidi"/>
          <w:color w:val="000000"/>
          <w:sz w:val="24"/>
          <w:szCs w:val="24"/>
          <w:shd w:val="clear" w:color="auto" w:fill="FFFFFF"/>
        </w:rPr>
      </w:pPr>
      <w:r w:rsidRPr="00BB6732">
        <w:rPr>
          <w:rFonts w:asciiTheme="majorBidi" w:eastAsia="Times New Roman" w:hAnsiTheme="majorBidi" w:cstheme="majorBidi"/>
          <w:sz w:val="24"/>
          <w:szCs w:val="24"/>
        </w:rPr>
        <w:t>Urinary tract infections (UTIs) are among the most common reasons antimicrobials are prescribed. Often, however, clinicians prescribe antimicrobials for asymptomatic bacteriuria, which is defined as the presence of bacteria in the urine in the absence of urinary symptoms. Treating asymptomatic bacteriuria is not beneficial for most patients and may be detrimental. For example, a retrospective study of more than 2,700 patients with asymptomatic bacteriuria at 46 hospitals showed that antimicrobial treatment did not improve outcomes and was associated with longer hospitalization</w:t>
      </w:r>
      <w:r w:rsidR="00981778">
        <w:rPr>
          <w:rFonts w:asciiTheme="majorBidi" w:eastAsia="Times New Roman" w:hAnsiTheme="majorBidi" w:cstheme="majorBidi"/>
          <w:sz w:val="24"/>
          <w:szCs w:val="24"/>
        </w:rPr>
        <w:t xml:space="preserve">. </w:t>
      </w:r>
      <w:r w:rsidR="00981778" w:rsidRPr="00981778">
        <w:rPr>
          <w:rFonts w:asciiTheme="majorBidi" w:eastAsia="Times New Roman" w:hAnsiTheme="majorBidi" w:cstheme="majorBidi"/>
          <w:sz w:val="24"/>
          <w:szCs w:val="24"/>
          <w:vertAlign w:val="superscript"/>
        </w:rPr>
        <w:t>(2-3)</w:t>
      </w:r>
    </w:p>
    <w:p w14:paraId="7DBECB79" w14:textId="0FE95D95" w:rsidR="00227AB5" w:rsidRDefault="00227AB5" w:rsidP="00227AB5">
      <w:pPr>
        <w:bidi w:val="0"/>
        <w:spacing w:after="160"/>
        <w:jc w:val="both"/>
        <w:rPr>
          <w:rFonts w:asciiTheme="majorBidi" w:hAnsiTheme="majorBidi" w:cstheme="majorBidi"/>
          <w:color w:val="000000"/>
          <w:sz w:val="24"/>
          <w:szCs w:val="24"/>
          <w:shd w:val="clear" w:color="auto" w:fill="FFFFFF"/>
        </w:rPr>
      </w:pPr>
      <w:r w:rsidRPr="00227AB5">
        <w:rPr>
          <w:rFonts w:asciiTheme="majorBidi" w:hAnsiTheme="majorBidi" w:cstheme="majorBidi"/>
          <w:color w:val="000000"/>
          <w:sz w:val="24"/>
          <w:szCs w:val="24"/>
          <w:shd w:val="clear" w:color="auto" w:fill="FFFFFF"/>
        </w:rPr>
        <w:t>Aim of study to show incident rate of asymptomatic bacterial infection among Libyan students</w:t>
      </w:r>
    </w:p>
    <w:p w14:paraId="01082D18" w14:textId="77777777" w:rsidR="00227AB5" w:rsidRDefault="00227AB5" w:rsidP="00227AB5">
      <w:pPr>
        <w:autoSpaceDE w:val="0"/>
        <w:autoSpaceDN w:val="0"/>
        <w:bidi w:val="0"/>
        <w:adjustRightInd w:val="0"/>
        <w:spacing w:after="0"/>
        <w:jc w:val="both"/>
        <w:rPr>
          <w:rFonts w:asciiTheme="majorBidi" w:eastAsia="Times New Roman" w:hAnsiTheme="majorBidi" w:cstheme="majorBidi"/>
          <w:b/>
          <w:bCs/>
          <w:sz w:val="28"/>
          <w:szCs w:val="28"/>
        </w:rPr>
      </w:pPr>
    </w:p>
    <w:p w14:paraId="7648335C" w14:textId="77777777" w:rsidR="00583C9B" w:rsidRDefault="00583C9B" w:rsidP="00583C9B">
      <w:pPr>
        <w:autoSpaceDE w:val="0"/>
        <w:autoSpaceDN w:val="0"/>
        <w:bidi w:val="0"/>
        <w:adjustRightInd w:val="0"/>
        <w:spacing w:after="0"/>
        <w:jc w:val="both"/>
        <w:rPr>
          <w:rFonts w:asciiTheme="majorBidi" w:eastAsia="Times New Roman" w:hAnsiTheme="majorBidi" w:cstheme="majorBidi"/>
          <w:b/>
          <w:bCs/>
          <w:sz w:val="28"/>
          <w:szCs w:val="28"/>
        </w:rPr>
      </w:pPr>
    </w:p>
    <w:p w14:paraId="1C7BA0E0" w14:textId="1A819FAF" w:rsidR="00107145" w:rsidRDefault="005D4AE9" w:rsidP="00583C9B">
      <w:pPr>
        <w:autoSpaceDE w:val="0"/>
        <w:autoSpaceDN w:val="0"/>
        <w:bidi w:val="0"/>
        <w:adjustRightInd w:val="0"/>
        <w:spacing w:after="0"/>
        <w:jc w:val="both"/>
        <w:rPr>
          <w:rFonts w:asciiTheme="majorBidi" w:eastAsia="Times New Roman" w:hAnsiTheme="majorBidi" w:cstheme="majorBidi"/>
          <w:b/>
          <w:bCs/>
          <w:sz w:val="28"/>
          <w:szCs w:val="28"/>
        </w:rPr>
      </w:pPr>
      <w:r w:rsidRPr="00DE1C36">
        <w:rPr>
          <w:rFonts w:asciiTheme="majorBidi" w:eastAsia="Times New Roman" w:hAnsiTheme="majorBidi" w:cstheme="majorBidi"/>
          <w:b/>
          <w:bCs/>
          <w:sz w:val="28"/>
          <w:szCs w:val="28"/>
        </w:rPr>
        <w:lastRenderedPageBreak/>
        <w:t xml:space="preserve">Methods and material </w:t>
      </w:r>
    </w:p>
    <w:p w14:paraId="79D7CE51" w14:textId="77777777" w:rsidR="00583C9B" w:rsidRPr="00583C9B" w:rsidRDefault="00583C9B" w:rsidP="00583C9B">
      <w:pPr>
        <w:autoSpaceDE w:val="0"/>
        <w:autoSpaceDN w:val="0"/>
        <w:bidi w:val="0"/>
        <w:adjustRightInd w:val="0"/>
        <w:spacing w:after="0"/>
        <w:jc w:val="both"/>
        <w:rPr>
          <w:rFonts w:asciiTheme="majorBidi" w:eastAsia="Times New Roman" w:hAnsiTheme="majorBidi" w:cstheme="majorBidi"/>
          <w:b/>
          <w:bCs/>
          <w:sz w:val="28"/>
          <w:szCs w:val="28"/>
        </w:rPr>
      </w:pPr>
    </w:p>
    <w:p w14:paraId="73F35678" w14:textId="7456C231" w:rsidR="009411DF" w:rsidRPr="00C52DB1" w:rsidRDefault="009411DF" w:rsidP="00583C9B">
      <w:pPr>
        <w:bidi w:val="0"/>
        <w:jc w:val="both"/>
        <w:rPr>
          <w:rFonts w:asciiTheme="majorBidi" w:hAnsiTheme="majorBidi" w:cstheme="majorBidi"/>
          <w:sz w:val="24"/>
          <w:szCs w:val="24"/>
        </w:rPr>
      </w:pPr>
      <w:bookmarkStart w:id="3" w:name="_Hlk106282342"/>
      <w:r w:rsidRPr="00C52DB1">
        <w:rPr>
          <w:rFonts w:asciiTheme="majorBidi" w:hAnsiTheme="majorBidi" w:cstheme="majorBidi"/>
          <w:sz w:val="24"/>
          <w:szCs w:val="24"/>
        </w:rPr>
        <w:t>We take a sample of urine from 63 participant (33 females and 30 mal</w:t>
      </w:r>
      <w:r w:rsidR="00D7585D" w:rsidRPr="00C52DB1">
        <w:rPr>
          <w:rFonts w:asciiTheme="majorBidi" w:hAnsiTheme="majorBidi" w:cstheme="majorBidi"/>
          <w:sz w:val="24"/>
          <w:szCs w:val="24"/>
        </w:rPr>
        <w:t>e)</w:t>
      </w:r>
      <w:r w:rsidR="00D7585D" w:rsidRPr="00C52DB1">
        <w:rPr>
          <w:rFonts w:asciiTheme="majorBidi" w:eastAsia="Times New Roman" w:hAnsiTheme="majorBidi" w:cstheme="majorBidi"/>
          <w:sz w:val="24"/>
          <w:szCs w:val="24"/>
        </w:rPr>
        <w:t xml:space="preserve"> then we </w:t>
      </w:r>
      <w:r w:rsidRPr="00C52DB1">
        <w:rPr>
          <w:rFonts w:asciiTheme="majorBidi" w:eastAsia="Times New Roman" w:hAnsiTheme="majorBidi" w:cstheme="majorBidi"/>
          <w:sz w:val="24"/>
          <w:szCs w:val="24"/>
        </w:rPr>
        <w:t xml:space="preserve">flame a calibrated wire </w:t>
      </w:r>
      <w:r w:rsidR="00D7585D" w:rsidRPr="00C52DB1">
        <w:rPr>
          <w:rFonts w:asciiTheme="majorBidi" w:eastAsia="Times New Roman" w:hAnsiTheme="majorBidi" w:cstheme="majorBidi"/>
          <w:sz w:val="24"/>
          <w:szCs w:val="24"/>
        </w:rPr>
        <w:t xml:space="preserve">loop, </w:t>
      </w:r>
      <w:r w:rsidR="00D7585D" w:rsidRPr="00C52DB1">
        <w:rPr>
          <w:rFonts w:asciiTheme="majorBidi" w:hAnsiTheme="majorBidi" w:cstheme="majorBidi"/>
          <w:sz w:val="24"/>
          <w:szCs w:val="24"/>
        </w:rPr>
        <w:t xml:space="preserve">and we </w:t>
      </w:r>
      <w:r w:rsidRPr="00C52DB1">
        <w:rPr>
          <w:rFonts w:asciiTheme="majorBidi" w:eastAsia="Times New Roman" w:hAnsiTheme="majorBidi" w:cstheme="majorBidi"/>
          <w:sz w:val="24"/>
          <w:szCs w:val="24"/>
        </w:rPr>
        <w:t>Mix the urine</w:t>
      </w:r>
      <w:r w:rsidR="00D7585D" w:rsidRPr="00C52DB1">
        <w:rPr>
          <w:rFonts w:asciiTheme="majorBidi" w:hAnsiTheme="majorBidi" w:cstheme="majorBidi"/>
          <w:sz w:val="24"/>
          <w:szCs w:val="24"/>
        </w:rPr>
        <w:t xml:space="preserve"> with</w:t>
      </w:r>
      <w:r w:rsidR="00D7585D" w:rsidRPr="00C52DB1">
        <w:rPr>
          <w:rFonts w:asciiTheme="majorBidi" w:eastAsia="Times New Roman" w:hAnsiTheme="majorBidi" w:cstheme="majorBidi"/>
          <w:sz w:val="24"/>
          <w:szCs w:val="24"/>
        </w:rPr>
        <w:t xml:space="preserve"> </w:t>
      </w:r>
      <w:r w:rsidRPr="00C52DB1">
        <w:rPr>
          <w:rFonts w:asciiTheme="majorBidi" w:eastAsia="Times New Roman" w:hAnsiTheme="majorBidi" w:cstheme="majorBidi"/>
          <w:sz w:val="24"/>
          <w:szCs w:val="24"/>
        </w:rPr>
        <w:t>insert the loop vertically into the</w:t>
      </w:r>
      <w:r w:rsidRPr="00C52DB1">
        <w:rPr>
          <w:rFonts w:asciiTheme="majorBidi" w:eastAsia="Times New Roman" w:hAnsiTheme="majorBidi" w:cstheme="majorBidi"/>
          <w:sz w:val="24"/>
          <w:szCs w:val="24"/>
          <w:rtl/>
        </w:rPr>
        <w:t xml:space="preserve"> </w:t>
      </w:r>
      <w:r w:rsidRPr="00C52DB1">
        <w:rPr>
          <w:rFonts w:asciiTheme="majorBidi" w:eastAsia="Times New Roman" w:hAnsiTheme="majorBidi" w:cstheme="majorBidi"/>
          <w:sz w:val="24"/>
          <w:szCs w:val="24"/>
        </w:rPr>
        <w:t xml:space="preserve">urine to allow the urine </w:t>
      </w:r>
      <w:r w:rsidR="00D7585D" w:rsidRPr="00C52DB1">
        <w:rPr>
          <w:rFonts w:asciiTheme="majorBidi" w:eastAsia="Times New Roman" w:hAnsiTheme="majorBidi" w:cstheme="majorBidi"/>
          <w:sz w:val="24"/>
          <w:szCs w:val="24"/>
        </w:rPr>
        <w:t>to adhere</w:t>
      </w:r>
      <w:r w:rsidRPr="00C52DB1">
        <w:rPr>
          <w:rFonts w:asciiTheme="majorBidi" w:eastAsia="Times New Roman" w:hAnsiTheme="majorBidi" w:cstheme="majorBidi"/>
          <w:sz w:val="24"/>
          <w:szCs w:val="24"/>
        </w:rPr>
        <w:t xml:space="preserve"> to the</w:t>
      </w:r>
      <w:r w:rsidRPr="00C52DB1">
        <w:rPr>
          <w:rFonts w:asciiTheme="majorBidi" w:eastAsia="Times New Roman" w:hAnsiTheme="majorBidi" w:cstheme="majorBidi"/>
          <w:sz w:val="24"/>
          <w:szCs w:val="24"/>
          <w:rtl/>
        </w:rPr>
        <w:t xml:space="preserve"> </w:t>
      </w:r>
      <w:r w:rsidRPr="00C52DB1">
        <w:rPr>
          <w:rFonts w:asciiTheme="majorBidi" w:eastAsia="Times New Roman" w:hAnsiTheme="majorBidi" w:cstheme="majorBidi"/>
          <w:sz w:val="24"/>
          <w:szCs w:val="24"/>
        </w:rPr>
        <w:t>loop</w:t>
      </w:r>
      <w:r w:rsidRPr="00C52DB1">
        <w:rPr>
          <w:rFonts w:asciiTheme="majorBidi" w:eastAsia="Times New Roman" w:hAnsiTheme="majorBidi" w:cstheme="majorBidi"/>
          <w:sz w:val="24"/>
          <w:szCs w:val="24"/>
          <w:rtl/>
        </w:rPr>
        <w:t>.</w:t>
      </w:r>
      <w:r w:rsidR="00583C9B">
        <w:rPr>
          <w:rFonts w:asciiTheme="majorBidi" w:eastAsia="Times New Roman" w:hAnsiTheme="majorBidi" w:cstheme="majorBidi"/>
          <w:sz w:val="24"/>
          <w:szCs w:val="24"/>
        </w:rPr>
        <w:t xml:space="preserve"> Then we </w:t>
      </w:r>
      <w:r w:rsidRPr="00C52DB1">
        <w:rPr>
          <w:rFonts w:asciiTheme="majorBidi" w:eastAsia="Times New Roman" w:hAnsiTheme="majorBidi" w:cstheme="majorBidi"/>
          <w:sz w:val="24"/>
          <w:szCs w:val="24"/>
        </w:rPr>
        <w:t>spread the urine over the surface of</w:t>
      </w:r>
      <w:r w:rsidRPr="00C52DB1">
        <w:rPr>
          <w:rFonts w:asciiTheme="majorBidi" w:eastAsia="Times New Roman" w:hAnsiTheme="majorBidi" w:cstheme="majorBidi"/>
          <w:sz w:val="24"/>
          <w:szCs w:val="24"/>
          <w:rtl/>
        </w:rPr>
        <w:t xml:space="preserve"> </w:t>
      </w:r>
      <w:r w:rsidRPr="00C52DB1">
        <w:rPr>
          <w:rFonts w:asciiTheme="majorBidi" w:eastAsia="Times New Roman" w:hAnsiTheme="majorBidi" w:cstheme="majorBidi"/>
          <w:sz w:val="24"/>
          <w:szCs w:val="24"/>
        </w:rPr>
        <w:t>the agar plate</w:t>
      </w:r>
      <w:r w:rsidRPr="00C52DB1">
        <w:rPr>
          <w:rFonts w:asciiTheme="majorBidi" w:eastAsia="Times New Roman" w:hAnsiTheme="majorBidi" w:cstheme="majorBidi"/>
          <w:sz w:val="24"/>
          <w:szCs w:val="24"/>
          <w:rtl/>
        </w:rPr>
        <w:t xml:space="preserve"> </w:t>
      </w:r>
      <w:r w:rsidRPr="00C52DB1">
        <w:rPr>
          <w:rFonts w:asciiTheme="majorBidi" w:eastAsia="Times New Roman" w:hAnsiTheme="majorBidi" w:cstheme="majorBidi"/>
          <w:sz w:val="24"/>
          <w:szCs w:val="24"/>
        </w:rPr>
        <w:t>without flaming insert the</w:t>
      </w:r>
      <w:r w:rsidR="00D7585D" w:rsidRPr="00C52DB1">
        <w:rPr>
          <w:rFonts w:asciiTheme="majorBidi" w:eastAsia="Times New Roman" w:hAnsiTheme="majorBidi" w:cstheme="majorBidi"/>
          <w:sz w:val="24"/>
          <w:szCs w:val="24"/>
        </w:rPr>
        <w:t xml:space="preserve"> </w:t>
      </w:r>
      <w:r w:rsidRPr="00C52DB1">
        <w:rPr>
          <w:rFonts w:asciiTheme="majorBidi" w:eastAsia="Times New Roman" w:hAnsiTheme="majorBidi" w:cstheme="majorBidi"/>
          <w:sz w:val="24"/>
          <w:szCs w:val="24"/>
        </w:rPr>
        <w:t>loop</w:t>
      </w:r>
      <w:r w:rsidR="00D7585D" w:rsidRPr="00C52DB1">
        <w:rPr>
          <w:rFonts w:asciiTheme="majorBidi" w:eastAsia="Times New Roman" w:hAnsiTheme="majorBidi" w:cstheme="majorBidi"/>
          <w:sz w:val="24"/>
          <w:szCs w:val="24"/>
        </w:rPr>
        <w:t xml:space="preserve"> </w:t>
      </w:r>
      <w:r w:rsidRPr="00C52DB1">
        <w:rPr>
          <w:rFonts w:asciiTheme="majorBidi" w:eastAsia="Times New Roman" w:hAnsiTheme="majorBidi" w:cstheme="majorBidi"/>
          <w:sz w:val="24"/>
          <w:szCs w:val="24"/>
        </w:rPr>
        <w:t>vertically into the urine again to</w:t>
      </w:r>
      <w:r w:rsidRPr="00C52DB1">
        <w:rPr>
          <w:rFonts w:asciiTheme="majorBidi" w:eastAsia="Times New Roman" w:hAnsiTheme="majorBidi" w:cstheme="majorBidi"/>
          <w:sz w:val="24"/>
          <w:szCs w:val="24"/>
          <w:rtl/>
        </w:rPr>
        <w:t xml:space="preserve"> </w:t>
      </w:r>
      <w:r w:rsidRPr="00C52DB1">
        <w:rPr>
          <w:rFonts w:asciiTheme="majorBidi" w:eastAsia="Times New Roman" w:hAnsiTheme="majorBidi" w:cstheme="majorBidi"/>
          <w:sz w:val="24"/>
          <w:szCs w:val="24"/>
        </w:rPr>
        <w:t>transfer of loopful to a second plate</w:t>
      </w:r>
      <w:r w:rsidRPr="00C52DB1">
        <w:rPr>
          <w:rFonts w:asciiTheme="majorBidi" w:eastAsia="Times New Roman" w:hAnsiTheme="majorBidi" w:cstheme="majorBidi"/>
          <w:sz w:val="24"/>
          <w:szCs w:val="24"/>
          <w:rtl/>
        </w:rPr>
        <w:t xml:space="preserve">. </w:t>
      </w:r>
    </w:p>
    <w:p w14:paraId="3B333CAC" w14:textId="188E198A" w:rsidR="00D52A64" w:rsidRDefault="00D7585D" w:rsidP="00C52DB1">
      <w:pPr>
        <w:autoSpaceDE w:val="0"/>
        <w:autoSpaceDN w:val="0"/>
        <w:bidi w:val="0"/>
        <w:adjustRightInd w:val="0"/>
        <w:spacing w:after="0"/>
        <w:jc w:val="both"/>
        <w:rPr>
          <w:rFonts w:asciiTheme="majorBidi" w:eastAsia="Times New Roman" w:hAnsiTheme="majorBidi" w:cstheme="majorBidi"/>
          <w:sz w:val="24"/>
          <w:szCs w:val="24"/>
        </w:rPr>
      </w:pPr>
      <w:bookmarkStart w:id="4" w:name="_Hlk105453488"/>
      <w:r w:rsidRPr="00C52DB1">
        <w:rPr>
          <w:rFonts w:asciiTheme="majorBidi" w:eastAsia="Times New Roman" w:hAnsiTheme="majorBidi" w:cstheme="majorBidi"/>
          <w:sz w:val="24"/>
          <w:szCs w:val="24"/>
        </w:rPr>
        <w:t>Then incubate for 24hr at 37 C in air</w:t>
      </w:r>
      <w:r w:rsidRPr="00C52DB1">
        <w:rPr>
          <w:rFonts w:asciiTheme="majorBidi" w:eastAsia="Times New Roman" w:hAnsiTheme="majorBidi" w:cs="Times New Roman" w:hint="cs"/>
          <w:sz w:val="24"/>
          <w:szCs w:val="24"/>
          <w:rtl/>
        </w:rPr>
        <w:t xml:space="preserve"> </w:t>
      </w:r>
      <w:r w:rsidRPr="00C52DB1">
        <w:rPr>
          <w:rFonts w:asciiTheme="majorBidi" w:eastAsia="Times New Roman" w:hAnsiTheme="majorBidi" w:cstheme="majorBidi"/>
          <w:sz w:val="24"/>
          <w:szCs w:val="24"/>
        </w:rPr>
        <w:t>Colonies are counted on each plate</w:t>
      </w:r>
      <w:r w:rsidRPr="00C52DB1">
        <w:rPr>
          <w:rFonts w:asciiTheme="majorBidi" w:eastAsia="Times New Roman" w:hAnsiTheme="majorBidi" w:cs="Times New Roman"/>
          <w:sz w:val="24"/>
          <w:szCs w:val="24"/>
          <w:rtl/>
        </w:rPr>
        <w:t>.</w:t>
      </w:r>
      <w:r w:rsidRPr="00C52DB1">
        <w:rPr>
          <w:rFonts w:asciiTheme="majorBidi" w:eastAsia="Times New Roman" w:hAnsiTheme="majorBidi" w:cstheme="majorBidi"/>
          <w:sz w:val="24"/>
          <w:szCs w:val="24"/>
        </w:rPr>
        <w:t xml:space="preserve"> The number of CFUs is multiplied by 1000</w:t>
      </w:r>
      <w:r w:rsidR="009A7C53">
        <w:rPr>
          <w:rFonts w:asciiTheme="majorBidi" w:eastAsia="Times New Roman" w:hAnsiTheme="majorBidi" w:cstheme="majorBidi"/>
          <w:sz w:val="24"/>
          <w:szCs w:val="24"/>
        </w:rPr>
        <w:t xml:space="preserve"> </w:t>
      </w:r>
      <w:r w:rsidRPr="00C52DB1">
        <w:rPr>
          <w:rFonts w:asciiTheme="majorBidi" w:eastAsia="Times New Roman" w:hAnsiTheme="majorBidi" w:cstheme="majorBidi"/>
          <w:sz w:val="24"/>
          <w:szCs w:val="24"/>
        </w:rPr>
        <w:t>(if a</w:t>
      </w:r>
      <w:r w:rsidRPr="00C52DB1">
        <w:rPr>
          <w:rFonts w:asciiTheme="majorBidi" w:eastAsia="Times New Roman" w:hAnsiTheme="majorBidi" w:cs="Times New Roman"/>
          <w:sz w:val="24"/>
          <w:szCs w:val="24"/>
          <w:rtl/>
        </w:rPr>
        <w:t xml:space="preserve"> </w:t>
      </w:r>
      <w:r w:rsidRPr="00C52DB1">
        <w:rPr>
          <w:rFonts w:asciiTheme="majorBidi" w:eastAsia="Times New Roman" w:hAnsiTheme="majorBidi" w:cstheme="majorBidi"/>
          <w:sz w:val="24"/>
          <w:szCs w:val="24"/>
        </w:rPr>
        <w:t>0.001</w:t>
      </w:r>
      <w:r w:rsidRPr="00C52DB1">
        <w:rPr>
          <w:rFonts w:asciiTheme="majorBidi" w:eastAsia="Times New Roman" w:hAnsiTheme="majorBidi" w:cs="Times New Roman"/>
          <w:sz w:val="24"/>
          <w:szCs w:val="24"/>
          <w:rtl/>
        </w:rPr>
        <w:t xml:space="preserve"> </w:t>
      </w:r>
      <w:r w:rsidRPr="00C52DB1">
        <w:rPr>
          <w:rFonts w:asciiTheme="majorBidi" w:eastAsia="Times New Roman" w:hAnsiTheme="majorBidi" w:cstheme="majorBidi"/>
          <w:sz w:val="24"/>
          <w:szCs w:val="24"/>
        </w:rPr>
        <w:t>ml loop used) or by 100 (if a 0.01 ml loop</w:t>
      </w:r>
      <w:r w:rsidRPr="00C52DB1">
        <w:rPr>
          <w:rFonts w:asciiTheme="majorBidi" w:eastAsia="Times New Roman" w:hAnsiTheme="majorBidi" w:cs="Times New Roman"/>
          <w:sz w:val="24"/>
          <w:szCs w:val="24"/>
          <w:rtl/>
        </w:rPr>
        <w:t xml:space="preserve"> </w:t>
      </w:r>
      <w:r w:rsidRPr="00C52DB1">
        <w:rPr>
          <w:rFonts w:asciiTheme="majorBidi" w:eastAsia="Times New Roman" w:hAnsiTheme="majorBidi" w:cstheme="majorBidi"/>
          <w:sz w:val="24"/>
          <w:szCs w:val="24"/>
        </w:rPr>
        <w:t>was used) to determine the number of</w:t>
      </w:r>
      <w:r w:rsidRPr="00C52DB1">
        <w:rPr>
          <w:rFonts w:asciiTheme="majorBidi" w:eastAsia="Times New Roman" w:hAnsiTheme="majorBidi" w:cs="Times New Roman"/>
          <w:sz w:val="24"/>
          <w:szCs w:val="24"/>
          <w:rtl/>
        </w:rPr>
        <w:t xml:space="preserve"> </w:t>
      </w:r>
      <w:r w:rsidRPr="00C52DB1">
        <w:rPr>
          <w:rFonts w:asciiTheme="majorBidi" w:eastAsia="Times New Roman" w:hAnsiTheme="majorBidi" w:cstheme="majorBidi"/>
          <w:sz w:val="24"/>
          <w:szCs w:val="24"/>
        </w:rPr>
        <w:t>microorganisms per ml in the original specimen.</w:t>
      </w:r>
      <w:bookmarkEnd w:id="3"/>
      <w:bookmarkEnd w:id="4"/>
    </w:p>
    <w:p w14:paraId="1E76709E" w14:textId="03018E58" w:rsidR="00815B12" w:rsidRDefault="00815B12" w:rsidP="00815B12">
      <w:pPr>
        <w:autoSpaceDE w:val="0"/>
        <w:autoSpaceDN w:val="0"/>
        <w:bidi w:val="0"/>
        <w:adjustRightInd w:val="0"/>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Data analysis by using SPSS Chi square test. </w:t>
      </w:r>
    </w:p>
    <w:p w14:paraId="40D24A68" w14:textId="5E7D416F" w:rsidR="00C52DB1" w:rsidRDefault="00C52DB1" w:rsidP="00C52DB1">
      <w:pPr>
        <w:autoSpaceDE w:val="0"/>
        <w:autoSpaceDN w:val="0"/>
        <w:bidi w:val="0"/>
        <w:adjustRightInd w:val="0"/>
        <w:spacing w:after="0"/>
        <w:jc w:val="both"/>
        <w:rPr>
          <w:rFonts w:asciiTheme="majorBidi" w:eastAsia="Times New Roman" w:hAnsiTheme="majorBidi" w:cstheme="majorBidi"/>
          <w:sz w:val="24"/>
          <w:szCs w:val="24"/>
        </w:rPr>
      </w:pPr>
    </w:p>
    <w:p w14:paraId="06442E5F" w14:textId="77777777" w:rsidR="00C52DB1" w:rsidRPr="00C52DB1" w:rsidRDefault="00C52DB1" w:rsidP="00C52DB1">
      <w:pPr>
        <w:autoSpaceDE w:val="0"/>
        <w:autoSpaceDN w:val="0"/>
        <w:bidi w:val="0"/>
        <w:adjustRightInd w:val="0"/>
        <w:spacing w:after="0"/>
        <w:jc w:val="both"/>
        <w:rPr>
          <w:rFonts w:asciiTheme="majorBidi" w:eastAsia="Times New Roman" w:hAnsiTheme="majorBidi" w:cstheme="majorBidi"/>
          <w:sz w:val="24"/>
          <w:szCs w:val="24"/>
        </w:rPr>
      </w:pPr>
    </w:p>
    <w:p w14:paraId="24EEC2B0" w14:textId="76AFB26D" w:rsidR="00227AB5" w:rsidRPr="00DE1C36" w:rsidRDefault="00572928" w:rsidP="00227AB5">
      <w:pPr>
        <w:spacing w:after="160" w:line="240" w:lineRule="auto"/>
        <w:jc w:val="right"/>
        <w:rPr>
          <w:rFonts w:asciiTheme="majorBidi" w:eastAsia="Times New Roman" w:hAnsiTheme="majorBidi" w:cstheme="majorBidi"/>
          <w:b/>
          <w:bCs/>
          <w:sz w:val="28"/>
          <w:szCs w:val="28"/>
        </w:rPr>
      </w:pPr>
      <w:r w:rsidRPr="00DE1C36">
        <w:rPr>
          <w:rFonts w:asciiTheme="majorBidi" w:eastAsia="Times New Roman" w:hAnsiTheme="majorBidi" w:cstheme="majorBidi"/>
          <w:b/>
          <w:bCs/>
          <w:sz w:val="28"/>
          <w:szCs w:val="28"/>
        </w:rPr>
        <w:t>Resul</w:t>
      </w:r>
      <w:r w:rsidR="007506CF" w:rsidRPr="00DE1C36">
        <w:rPr>
          <w:rFonts w:asciiTheme="majorBidi" w:eastAsia="Times New Roman" w:hAnsiTheme="majorBidi" w:cstheme="majorBidi"/>
          <w:b/>
          <w:bCs/>
          <w:sz w:val="28"/>
          <w:szCs w:val="28"/>
        </w:rPr>
        <w:t>t</w:t>
      </w:r>
    </w:p>
    <w:p w14:paraId="18843F56" w14:textId="74367A24" w:rsidR="00D7585D" w:rsidRDefault="00177569" w:rsidP="00C47CAB">
      <w:pPr>
        <w:spacing w:after="160" w:line="240" w:lineRule="auto"/>
        <w:jc w:val="right"/>
        <w:rPr>
          <w:rFonts w:asciiTheme="majorBidi" w:eastAsia="Times New Roman" w:hAnsiTheme="majorBidi" w:cstheme="majorBidi"/>
          <w:b/>
          <w:bCs/>
          <w:sz w:val="32"/>
          <w:szCs w:val="32"/>
          <w:rtl/>
        </w:rPr>
      </w:pPr>
      <w:r w:rsidRPr="00177569">
        <w:rPr>
          <w:rFonts w:asciiTheme="majorBidi" w:eastAsia="Times New Roman" w:hAnsiTheme="majorBidi" w:cs="Times New Roman"/>
          <w:b/>
          <w:bCs/>
          <w:noProof/>
          <w:sz w:val="32"/>
          <w:szCs w:val="32"/>
          <w:rtl/>
        </w:rPr>
        <w:drawing>
          <wp:inline distT="0" distB="0" distL="0" distR="0" wp14:anchorId="68F8A4D9" wp14:editId="56DD43E8">
            <wp:extent cx="5274310" cy="1669415"/>
            <wp:effectExtent l="0" t="0" r="2540" b="6985"/>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10"/>
                    <a:stretch>
                      <a:fillRect/>
                    </a:stretch>
                  </pic:blipFill>
                  <pic:spPr>
                    <a:xfrm>
                      <a:off x="0" y="0"/>
                      <a:ext cx="5274310" cy="1669415"/>
                    </a:xfrm>
                    <a:prstGeom prst="rect">
                      <a:avLst/>
                    </a:prstGeom>
                  </pic:spPr>
                </pic:pic>
              </a:graphicData>
            </a:graphic>
          </wp:inline>
        </w:drawing>
      </w:r>
    </w:p>
    <w:p w14:paraId="176E2C51" w14:textId="1F7CAA58" w:rsidR="00107145" w:rsidRPr="00980F57" w:rsidRDefault="00107145" w:rsidP="00177569">
      <w:pPr>
        <w:spacing w:after="160" w:line="240" w:lineRule="auto"/>
        <w:rPr>
          <w:rFonts w:asciiTheme="majorBidi" w:eastAsia="Times New Roman" w:hAnsiTheme="majorBidi" w:cstheme="majorBidi"/>
          <w:sz w:val="26"/>
          <w:szCs w:val="26"/>
          <w:rtl/>
        </w:rPr>
      </w:pPr>
    </w:p>
    <w:bookmarkEnd w:id="2"/>
    <w:p w14:paraId="0188197A" w14:textId="05636211" w:rsidR="00586E04" w:rsidRPr="00012EBA" w:rsidRDefault="009550AB" w:rsidP="007B6FE6">
      <w:pPr>
        <w:bidi w:val="0"/>
        <w:spacing w:after="160" w:line="300" w:lineRule="auto"/>
        <w:jc w:val="both"/>
        <w:rPr>
          <w:rFonts w:asciiTheme="majorBidi" w:eastAsia="Times New Roman" w:hAnsiTheme="majorBidi" w:cstheme="majorBidi"/>
          <w:b/>
          <w:bCs/>
          <w:sz w:val="28"/>
          <w:szCs w:val="28"/>
        </w:rPr>
      </w:pPr>
      <w:r w:rsidRPr="00012EBA">
        <w:rPr>
          <w:rFonts w:asciiTheme="majorBidi" w:eastAsia="Times New Roman" w:hAnsiTheme="majorBidi" w:cstheme="majorBidi"/>
          <w:b/>
          <w:bCs/>
          <w:sz w:val="28"/>
          <w:szCs w:val="28"/>
        </w:rPr>
        <w:t xml:space="preserve">Discussion </w:t>
      </w:r>
      <w:r w:rsidR="00586E04" w:rsidRPr="00012EBA">
        <w:rPr>
          <w:rFonts w:asciiTheme="majorBidi" w:eastAsia="Times New Roman" w:hAnsiTheme="majorBidi" w:cstheme="majorBidi"/>
          <w:b/>
          <w:bCs/>
          <w:sz w:val="28"/>
          <w:szCs w:val="28"/>
        </w:rPr>
        <w:t xml:space="preserve"> </w:t>
      </w:r>
    </w:p>
    <w:p w14:paraId="45B798C6" w14:textId="4C6E1866" w:rsidR="00BB6732" w:rsidRDefault="00815B12" w:rsidP="009A7C53">
      <w:pPr>
        <w:bidi w:val="0"/>
        <w:spacing w:after="160" w:line="24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As shown in this study found there’s significant bacteria overgrowth in urine of college student which means </w:t>
      </w:r>
      <w:r w:rsidR="009A7C53" w:rsidRPr="009A7C53">
        <w:rPr>
          <w:rFonts w:asciiTheme="majorBidi" w:eastAsia="Times New Roman" w:hAnsiTheme="majorBidi" w:cstheme="majorBidi"/>
          <w:sz w:val="24"/>
          <w:szCs w:val="24"/>
        </w:rPr>
        <w:t>Asymptomatic bacteriuria is common, with varying prevalence by age, sex, sexual activity, and the presence of genitourinary abnormalities.</w:t>
      </w:r>
      <w:r w:rsidR="009A7C53">
        <w:rPr>
          <w:rFonts w:asciiTheme="majorBidi" w:eastAsia="Times New Roman" w:hAnsiTheme="majorBidi" w:cstheme="majorBidi"/>
          <w:sz w:val="24"/>
          <w:szCs w:val="24"/>
        </w:rPr>
        <w:t xml:space="preserve"> </w:t>
      </w:r>
      <w:r w:rsidR="00BB6732" w:rsidRPr="00BB6732">
        <w:rPr>
          <w:rFonts w:asciiTheme="majorBidi" w:eastAsia="Times New Roman" w:hAnsiTheme="majorBidi" w:cstheme="majorBidi"/>
          <w:sz w:val="24"/>
          <w:szCs w:val="24"/>
        </w:rPr>
        <w:t xml:space="preserve">Although asymptomatic bacteriuria is uncommon in children (less than 1% in boys and 1% to 2% in girls), it occurs in up to 5% of healthy premenopausal women, 2.8% to 8.6% of postmenopausal women, and 1.9% to 9.5% of pregnant </w:t>
      </w:r>
      <w:r w:rsidR="00D74B4F" w:rsidRPr="00BB6732">
        <w:rPr>
          <w:rFonts w:asciiTheme="majorBidi" w:eastAsia="Times New Roman" w:hAnsiTheme="majorBidi" w:cstheme="majorBidi"/>
          <w:sz w:val="24"/>
          <w:szCs w:val="24"/>
        </w:rPr>
        <w:t>women.</w:t>
      </w:r>
      <w:r w:rsidR="00D74B4F">
        <w:rPr>
          <w:rFonts w:asciiTheme="majorBidi" w:eastAsia="Times New Roman" w:hAnsiTheme="majorBidi" w:cstheme="majorBidi" w:hint="cs"/>
          <w:sz w:val="24"/>
          <w:szCs w:val="24"/>
          <w:rtl/>
        </w:rPr>
        <w:t xml:space="preserve"> </w:t>
      </w:r>
      <w:r w:rsidR="00D74B4F" w:rsidRPr="00D74B4F">
        <w:rPr>
          <w:rFonts w:asciiTheme="majorBidi" w:eastAsia="Times New Roman" w:hAnsiTheme="majorBidi" w:cstheme="majorBidi"/>
          <w:sz w:val="24"/>
          <w:szCs w:val="24"/>
          <w:vertAlign w:val="superscript"/>
          <w:rtl/>
        </w:rPr>
        <w:t>(</w:t>
      </w:r>
      <w:r w:rsidR="00D74B4F" w:rsidRPr="00D74B4F">
        <w:rPr>
          <w:rFonts w:asciiTheme="majorBidi" w:eastAsia="Times New Roman" w:hAnsiTheme="majorBidi" w:cstheme="majorBidi" w:hint="cs"/>
          <w:sz w:val="24"/>
          <w:szCs w:val="24"/>
          <w:vertAlign w:val="superscript"/>
          <w:rtl/>
        </w:rPr>
        <w:t>1)</w:t>
      </w:r>
      <w:r w:rsidR="00D74B4F">
        <w:rPr>
          <w:rFonts w:asciiTheme="majorBidi" w:eastAsia="Times New Roman" w:hAnsiTheme="majorBidi" w:cstheme="majorBidi" w:hint="cs"/>
          <w:sz w:val="24"/>
          <w:szCs w:val="24"/>
          <w:rtl/>
        </w:rPr>
        <w:t xml:space="preserve"> </w:t>
      </w:r>
      <w:r w:rsidR="00BB6732" w:rsidRPr="00BB6732">
        <w:rPr>
          <w:rFonts w:asciiTheme="majorBidi" w:eastAsia="Times New Roman" w:hAnsiTheme="majorBidi" w:cstheme="majorBidi"/>
          <w:sz w:val="24"/>
          <w:szCs w:val="24"/>
        </w:rPr>
        <w:t xml:space="preserve"> Asymptomatic bacteriuria occurs in 100% of patients with long-term indwelling catheters</w:t>
      </w:r>
      <w:r w:rsidR="009A7C53">
        <w:rPr>
          <w:rFonts w:asciiTheme="majorBidi" w:eastAsia="Times New Roman" w:hAnsiTheme="majorBidi" w:cstheme="majorBidi"/>
          <w:sz w:val="24"/>
          <w:szCs w:val="24"/>
        </w:rPr>
        <w:t>.</w:t>
      </w:r>
    </w:p>
    <w:p w14:paraId="05567E51" w14:textId="16DB5904" w:rsidR="00545DC2" w:rsidRDefault="00545DC2" w:rsidP="00D74B4F">
      <w:pPr>
        <w:bidi w:val="0"/>
        <w:spacing w:after="160" w:line="240" w:lineRule="auto"/>
        <w:jc w:val="both"/>
        <w:rPr>
          <w:rFonts w:asciiTheme="majorBidi" w:eastAsia="Times New Roman" w:hAnsiTheme="majorBidi" w:cstheme="majorBidi"/>
          <w:sz w:val="24"/>
          <w:szCs w:val="24"/>
        </w:rPr>
      </w:pPr>
      <w:r w:rsidRPr="00545DC2">
        <w:rPr>
          <w:rFonts w:asciiTheme="majorBidi" w:eastAsia="Times New Roman" w:hAnsiTheme="majorBidi" w:cstheme="majorBidi"/>
          <w:sz w:val="24"/>
          <w:szCs w:val="24"/>
        </w:rPr>
        <w:t>In healthy women, the prevalence of bacteriuria increases with age, from about 1 percent in females five to 14 years of age to more than 20 percent in women at least 80 years of age living in the community</w:t>
      </w:r>
      <w:bookmarkStart w:id="5" w:name="_Hlk106657659"/>
      <w:r w:rsidRPr="00545DC2">
        <w:rPr>
          <w:rFonts w:asciiTheme="majorBidi" w:eastAsia="Times New Roman" w:hAnsiTheme="majorBidi" w:cstheme="majorBidi"/>
          <w:sz w:val="24"/>
          <w:szCs w:val="24"/>
        </w:rPr>
        <w:t xml:space="preserve">. Escherichia coli </w:t>
      </w:r>
      <w:bookmarkEnd w:id="5"/>
      <w:r w:rsidRPr="00545DC2">
        <w:rPr>
          <w:rFonts w:asciiTheme="majorBidi" w:eastAsia="Times New Roman" w:hAnsiTheme="majorBidi" w:cstheme="majorBidi"/>
          <w:sz w:val="24"/>
          <w:szCs w:val="24"/>
        </w:rPr>
        <w:t>is the most common organism isolated from patients with asymptomatic bacteriuri</w:t>
      </w:r>
      <w:r w:rsidR="00D74B4F">
        <w:rPr>
          <w:rFonts w:asciiTheme="majorBidi" w:eastAsia="Times New Roman" w:hAnsiTheme="majorBidi" w:cstheme="majorBidi"/>
          <w:sz w:val="24"/>
          <w:szCs w:val="24"/>
        </w:rPr>
        <w:t>a.</w:t>
      </w:r>
      <w:r w:rsidR="00D74B4F">
        <w:rPr>
          <w:rFonts w:asciiTheme="majorBidi" w:eastAsia="Times New Roman" w:hAnsiTheme="majorBidi" w:cstheme="majorBidi" w:hint="cs"/>
          <w:sz w:val="24"/>
          <w:szCs w:val="24"/>
          <w:rtl/>
        </w:rPr>
        <w:t xml:space="preserve">   </w:t>
      </w:r>
      <w:r w:rsidR="00D74B4F" w:rsidRPr="00D74B4F">
        <w:rPr>
          <w:rFonts w:asciiTheme="majorBidi" w:eastAsia="Times New Roman" w:hAnsiTheme="majorBidi" w:cstheme="majorBidi"/>
          <w:sz w:val="24"/>
          <w:szCs w:val="24"/>
          <w:vertAlign w:val="superscript"/>
        </w:rPr>
        <w:t>(2)</w:t>
      </w:r>
      <w:r w:rsidR="00D74B4F">
        <w:rPr>
          <w:rFonts w:asciiTheme="majorBidi" w:eastAsia="Times New Roman" w:hAnsiTheme="majorBidi" w:cstheme="majorBidi" w:hint="cs"/>
          <w:sz w:val="24"/>
          <w:szCs w:val="24"/>
          <w:rtl/>
        </w:rPr>
        <w:t xml:space="preserve">  </w:t>
      </w:r>
    </w:p>
    <w:p w14:paraId="3DFAA8E4" w14:textId="7B732010" w:rsidR="000C4B5A" w:rsidRDefault="009A7C53" w:rsidP="0027078D">
      <w:pPr>
        <w:bidi w:val="0"/>
        <w:spacing w:after="160" w:line="240" w:lineRule="auto"/>
        <w:jc w:val="both"/>
        <w:rPr>
          <w:rFonts w:asciiTheme="majorBidi" w:eastAsia="Times New Roman" w:hAnsiTheme="majorBidi" w:cstheme="majorBidi"/>
          <w:sz w:val="24"/>
          <w:szCs w:val="24"/>
        </w:rPr>
      </w:pPr>
      <w:r w:rsidRPr="009A7C53">
        <w:rPr>
          <w:rFonts w:asciiTheme="majorBidi" w:eastAsia="Times New Roman" w:hAnsiTheme="majorBidi" w:cstheme="majorBidi"/>
          <w:sz w:val="24"/>
          <w:szCs w:val="24"/>
        </w:rPr>
        <w:t>Asymptomatic bacteriuria is diagnosed when one bacterial species grows in the urine with at least 100,000 colony-forming units (CFUs) per mL, with or without pyuria, in a patient with no signs or symptoms of UTI.</w:t>
      </w:r>
      <w:r w:rsidR="00F6658D">
        <w:rPr>
          <w:rFonts w:asciiTheme="majorBidi" w:eastAsia="Times New Roman" w:hAnsiTheme="majorBidi" w:cstheme="majorBidi"/>
          <w:sz w:val="24"/>
          <w:szCs w:val="24"/>
        </w:rPr>
        <w:t xml:space="preserve"> </w:t>
      </w:r>
      <w:r w:rsidRPr="009A7C53">
        <w:rPr>
          <w:rFonts w:asciiTheme="majorBidi" w:eastAsia="Times New Roman" w:hAnsiTheme="majorBidi" w:cstheme="majorBidi"/>
          <w:sz w:val="24"/>
          <w:szCs w:val="24"/>
        </w:rPr>
        <w:t xml:space="preserve">In asymptomatic patients with a newly inserted catheter or for specimens collected through in-and-out catheterization, a </w:t>
      </w:r>
      <w:r w:rsidRPr="009A7C53">
        <w:rPr>
          <w:rFonts w:asciiTheme="majorBidi" w:eastAsia="Times New Roman" w:hAnsiTheme="majorBidi" w:cstheme="majorBidi"/>
          <w:sz w:val="24"/>
          <w:szCs w:val="24"/>
        </w:rPr>
        <w:lastRenderedPageBreak/>
        <w:t>colony count of at least 100 CFUs per mL indicates asymptomatic bacteriuria</w:t>
      </w:r>
      <w:r>
        <w:rPr>
          <w:rFonts w:asciiTheme="majorBidi" w:eastAsia="Times New Roman" w:hAnsiTheme="majorBidi" w:cstheme="majorBidi"/>
          <w:sz w:val="24"/>
          <w:szCs w:val="24"/>
        </w:rPr>
        <w:t xml:space="preserve"> </w:t>
      </w:r>
      <w:r w:rsidR="000C4B5A" w:rsidRPr="000C4B5A">
        <w:rPr>
          <w:rFonts w:asciiTheme="majorBidi" w:eastAsia="Times New Roman" w:hAnsiTheme="majorBidi" w:cstheme="majorBidi"/>
          <w:sz w:val="24"/>
          <w:szCs w:val="24"/>
        </w:rPr>
        <w:t>ASB occurs in 0.8% of preschool girls and even fewer preschool boys. Children in this age group who are without genitourinary abnormalities do not require antibiotics to clear their bacteria because they do not appear to be at any risk for recurrent</w:t>
      </w:r>
      <w:r w:rsidR="000C4B5A">
        <w:rPr>
          <w:rFonts w:asciiTheme="majorBidi" w:eastAsia="Times New Roman" w:hAnsiTheme="majorBidi" w:cstheme="majorBidi"/>
          <w:sz w:val="24"/>
          <w:szCs w:val="24"/>
        </w:rPr>
        <w:t xml:space="preserve"> </w:t>
      </w:r>
      <w:r w:rsidR="000C4B5A" w:rsidRPr="000C4B5A">
        <w:rPr>
          <w:rFonts w:asciiTheme="majorBidi" w:eastAsia="Times New Roman" w:hAnsiTheme="majorBidi" w:cstheme="majorBidi"/>
          <w:sz w:val="24"/>
          <w:szCs w:val="24"/>
        </w:rPr>
        <w:t>symptomatic infections, renal damage, or impaired renal growth</w:t>
      </w:r>
      <w:r w:rsidR="000C4B5A">
        <w:rPr>
          <w:rFonts w:asciiTheme="majorBidi" w:eastAsia="Times New Roman" w:hAnsiTheme="majorBidi" w:cstheme="majorBidi"/>
          <w:sz w:val="24"/>
          <w:szCs w:val="24"/>
        </w:rPr>
        <w:t>.</w:t>
      </w:r>
      <w:r w:rsidR="00815B12">
        <w:rPr>
          <w:rFonts w:asciiTheme="majorBidi" w:eastAsia="Times New Roman" w:hAnsiTheme="majorBidi" w:cstheme="majorBidi"/>
          <w:sz w:val="24"/>
          <w:szCs w:val="24"/>
        </w:rPr>
        <w:t xml:space="preserve"> </w:t>
      </w:r>
      <w:r w:rsidR="00D74B4F" w:rsidRPr="00815B12">
        <w:rPr>
          <w:rFonts w:asciiTheme="majorBidi" w:eastAsia="Times New Roman" w:hAnsiTheme="majorBidi" w:cstheme="majorBidi"/>
          <w:sz w:val="24"/>
          <w:szCs w:val="24"/>
          <w:vertAlign w:val="superscript"/>
        </w:rPr>
        <w:t>(3)</w:t>
      </w:r>
      <w:r w:rsidR="00D74B4F">
        <w:rPr>
          <w:rFonts w:asciiTheme="majorBidi" w:eastAsia="Times New Roman" w:hAnsiTheme="majorBidi" w:cstheme="majorBidi"/>
          <w:sz w:val="24"/>
          <w:szCs w:val="24"/>
        </w:rPr>
        <w:t xml:space="preserve"> </w:t>
      </w:r>
    </w:p>
    <w:p w14:paraId="4B4C7A29" w14:textId="4FF7651D" w:rsidR="009A7C53" w:rsidRDefault="009A7C53" w:rsidP="009A7C53">
      <w:pPr>
        <w:bidi w:val="0"/>
        <w:spacing w:after="160" w:line="240" w:lineRule="auto"/>
        <w:jc w:val="both"/>
        <w:rPr>
          <w:rFonts w:asciiTheme="majorBidi" w:eastAsia="Times New Roman" w:hAnsiTheme="majorBidi" w:cstheme="majorBidi"/>
          <w:sz w:val="24"/>
          <w:szCs w:val="24"/>
        </w:rPr>
      </w:pPr>
    </w:p>
    <w:p w14:paraId="60EEEACA" w14:textId="72D3A590" w:rsidR="009A7C53" w:rsidRDefault="009A7C53" w:rsidP="009A7C53">
      <w:pPr>
        <w:bidi w:val="0"/>
        <w:spacing w:after="160" w:line="240" w:lineRule="auto"/>
        <w:jc w:val="both"/>
        <w:rPr>
          <w:rFonts w:asciiTheme="majorBidi" w:eastAsia="Times New Roman" w:hAnsiTheme="majorBidi" w:cstheme="majorBidi"/>
          <w:sz w:val="24"/>
          <w:szCs w:val="24"/>
        </w:rPr>
      </w:pPr>
    </w:p>
    <w:p w14:paraId="3C837601" w14:textId="1A52E566" w:rsidR="002C1050" w:rsidRDefault="002C1050" w:rsidP="002C1050">
      <w:pPr>
        <w:bidi w:val="0"/>
        <w:spacing w:after="160" w:line="240" w:lineRule="auto"/>
        <w:jc w:val="both"/>
        <w:rPr>
          <w:rFonts w:asciiTheme="majorBidi" w:eastAsia="Times New Roman" w:hAnsiTheme="majorBidi" w:cstheme="majorBidi"/>
          <w:sz w:val="24"/>
          <w:szCs w:val="24"/>
        </w:rPr>
      </w:pPr>
    </w:p>
    <w:p w14:paraId="79373625" w14:textId="56251D34" w:rsidR="002C1050" w:rsidRDefault="002C1050" w:rsidP="002C1050">
      <w:pPr>
        <w:bidi w:val="0"/>
        <w:spacing w:after="160" w:line="240" w:lineRule="auto"/>
        <w:jc w:val="both"/>
        <w:rPr>
          <w:rFonts w:asciiTheme="majorBidi" w:eastAsia="Times New Roman" w:hAnsiTheme="majorBidi" w:cstheme="majorBidi"/>
          <w:sz w:val="24"/>
          <w:szCs w:val="24"/>
        </w:rPr>
      </w:pPr>
    </w:p>
    <w:p w14:paraId="263C9D05" w14:textId="77777777" w:rsidR="00F6658D" w:rsidRDefault="00F6658D" w:rsidP="0027078D">
      <w:pPr>
        <w:bidi w:val="0"/>
        <w:spacing w:after="160" w:line="240" w:lineRule="auto"/>
        <w:jc w:val="both"/>
        <w:rPr>
          <w:rFonts w:asciiTheme="majorBidi" w:eastAsia="Times New Roman" w:hAnsiTheme="majorBidi" w:cstheme="majorBidi"/>
          <w:sz w:val="24"/>
          <w:szCs w:val="24"/>
        </w:rPr>
      </w:pPr>
      <w:bookmarkStart w:id="6" w:name="_Hlk106424369"/>
    </w:p>
    <w:p w14:paraId="426AE712" w14:textId="0FA996A8" w:rsidR="00F6658D" w:rsidRDefault="00F6658D" w:rsidP="00F6658D">
      <w:pPr>
        <w:bidi w:val="0"/>
        <w:spacing w:after="160" w:line="240" w:lineRule="auto"/>
        <w:jc w:val="both"/>
        <w:rPr>
          <w:rFonts w:asciiTheme="majorBidi" w:eastAsia="Times New Roman" w:hAnsiTheme="majorBidi" w:cstheme="majorBidi"/>
          <w:sz w:val="24"/>
          <w:szCs w:val="24"/>
        </w:rPr>
      </w:pPr>
      <w:r w:rsidRPr="00F6658D">
        <w:rPr>
          <w:rFonts w:asciiTheme="majorBidi" w:eastAsia="Times New Roman" w:hAnsiTheme="majorBidi" w:cstheme="majorBidi"/>
          <w:sz w:val="24"/>
          <w:szCs w:val="24"/>
        </w:rPr>
        <w:t xml:space="preserve">The prevalence is very high in residents of long-term–care facilities, from 25% to 50% of women and 15% to 40% of men. Escherichia coli is the most frequent organism isolated, but a wide variety of other organisms may occur. Bacteriuria may be transient or persist for a prolonged period. Pregnant women with asymptomatic bacteriuria identified in early pregnancy and who are untreated have a risk of pyelonephritis later in pregnancy of 20% to 30%. Bacteremia is frequent in bacteriuric subjects following mucosal trauma with bleeding, with 5% to 10% of patients developing severe sepsis or septic shock. These two groups with clear evidence of negative outcomes should be screened for bacteriuria and appropriately treated. </w:t>
      </w:r>
      <w:r w:rsidR="00815B12" w:rsidRPr="00815B12">
        <w:rPr>
          <w:rFonts w:asciiTheme="majorBidi" w:eastAsia="Times New Roman" w:hAnsiTheme="majorBidi" w:cstheme="majorBidi"/>
          <w:sz w:val="24"/>
          <w:szCs w:val="24"/>
          <w:vertAlign w:val="superscript"/>
        </w:rPr>
        <w:t>(2-3)</w:t>
      </w:r>
    </w:p>
    <w:p w14:paraId="77D43A4E" w14:textId="38368115" w:rsidR="00F6658D" w:rsidRDefault="00F6658D" w:rsidP="00F6658D">
      <w:pPr>
        <w:bidi w:val="0"/>
        <w:spacing w:after="160" w:line="240" w:lineRule="auto"/>
        <w:jc w:val="both"/>
        <w:rPr>
          <w:rFonts w:asciiTheme="majorBidi" w:eastAsia="Times New Roman" w:hAnsiTheme="majorBidi" w:cstheme="majorBidi"/>
          <w:sz w:val="24"/>
          <w:szCs w:val="24"/>
        </w:rPr>
      </w:pPr>
      <w:r w:rsidRPr="00F6658D">
        <w:rPr>
          <w:rFonts w:asciiTheme="majorBidi" w:eastAsia="Times New Roman" w:hAnsiTheme="majorBidi" w:cstheme="majorBidi"/>
          <w:sz w:val="24"/>
          <w:szCs w:val="24"/>
        </w:rPr>
        <w:t>Asymptomatic bacteriuria in other populations is benign and screening and treatment are not indicated. Antimicrobial treatment has no benefits but is associated with negative outcomes including reinfection with antimicrobial resistant organisms and a short-term increased frequency of symptomatic infection post-treatment</w:t>
      </w:r>
      <w:r w:rsidR="0056313D">
        <w:rPr>
          <w:rFonts w:asciiTheme="majorBidi" w:eastAsia="Times New Roman" w:hAnsiTheme="majorBidi" w:cstheme="majorBidi"/>
          <w:sz w:val="24"/>
          <w:szCs w:val="24"/>
        </w:rPr>
        <w:t xml:space="preserve"> </w:t>
      </w:r>
      <w:r w:rsidR="00075090" w:rsidRPr="00075090">
        <w:rPr>
          <w:rFonts w:asciiTheme="majorBidi" w:eastAsia="Times New Roman" w:hAnsiTheme="majorBidi" w:cstheme="majorBidi"/>
          <w:sz w:val="24"/>
          <w:szCs w:val="24"/>
        </w:rPr>
        <w:t>Treatment of asymptomatic bacteriuria during pregnancy reduces these complications and improves perinatal morbidity and mortality.</w:t>
      </w:r>
      <w:r w:rsidR="000A1785">
        <w:rPr>
          <w:rFonts w:asciiTheme="majorBidi" w:eastAsia="Times New Roman" w:hAnsiTheme="majorBidi" w:cstheme="majorBidi"/>
          <w:sz w:val="24"/>
          <w:szCs w:val="24"/>
        </w:rPr>
        <w:t xml:space="preserve"> </w:t>
      </w:r>
      <w:r w:rsidR="00075090" w:rsidRPr="00075090">
        <w:rPr>
          <w:rFonts w:asciiTheme="majorBidi" w:eastAsia="Times New Roman" w:hAnsiTheme="majorBidi" w:cstheme="majorBidi"/>
          <w:sz w:val="24"/>
          <w:szCs w:val="24"/>
        </w:rPr>
        <w:t xml:space="preserve">Without treatment, asymptomatic bacteriuria will persist in more than 80% of women and may progress to symptomatic urinary tract infection or acute pyelonephritis. </w:t>
      </w:r>
      <w:r w:rsidR="00815B12" w:rsidRPr="00815B12">
        <w:rPr>
          <w:rFonts w:asciiTheme="majorBidi" w:eastAsia="Times New Roman" w:hAnsiTheme="majorBidi" w:cstheme="majorBidi"/>
          <w:sz w:val="24"/>
          <w:szCs w:val="24"/>
          <w:vertAlign w:val="superscript"/>
        </w:rPr>
        <w:t>(4)</w:t>
      </w:r>
      <w:r w:rsidR="00815B12">
        <w:rPr>
          <w:rFonts w:asciiTheme="majorBidi" w:eastAsia="Times New Roman" w:hAnsiTheme="majorBidi" w:cstheme="majorBidi"/>
          <w:sz w:val="24"/>
          <w:szCs w:val="24"/>
        </w:rPr>
        <w:t xml:space="preserve"> </w:t>
      </w:r>
    </w:p>
    <w:p w14:paraId="6A14E8DF" w14:textId="5DE0EA6C" w:rsidR="00075090" w:rsidRDefault="00075090" w:rsidP="00F6658D">
      <w:pPr>
        <w:bidi w:val="0"/>
        <w:spacing w:after="160" w:line="240" w:lineRule="auto"/>
        <w:jc w:val="both"/>
        <w:rPr>
          <w:rFonts w:asciiTheme="majorBidi" w:eastAsia="Times New Roman" w:hAnsiTheme="majorBidi" w:cstheme="majorBidi"/>
          <w:sz w:val="24"/>
          <w:szCs w:val="24"/>
        </w:rPr>
      </w:pPr>
      <w:bookmarkStart w:id="7" w:name="_Hlk106657712"/>
      <w:r w:rsidRPr="00075090">
        <w:rPr>
          <w:rFonts w:asciiTheme="majorBidi" w:eastAsia="Times New Roman" w:hAnsiTheme="majorBidi" w:cstheme="majorBidi"/>
          <w:sz w:val="24"/>
          <w:szCs w:val="24"/>
        </w:rPr>
        <w:t>Screening for asymptomatic bacteriuria with a urine culture is recommended during the first prenatal visit and is repeated only in high-risk women</w:t>
      </w:r>
      <w:bookmarkEnd w:id="6"/>
      <w:bookmarkEnd w:id="7"/>
      <w:r w:rsidRPr="00075090">
        <w:rPr>
          <w:rFonts w:asciiTheme="majorBidi" w:eastAsia="Times New Roman" w:hAnsiTheme="majorBidi" w:cstheme="majorBidi"/>
          <w:sz w:val="24"/>
          <w:szCs w:val="24"/>
        </w:rPr>
        <w:t xml:space="preserve">, such as those with a history of recurrent urinary infections or urinary tract anomalies. If asymptomatic bacteriuria is found, prompt treatment is warranted, usually with a cephalosporin, for 3 days; a single dose of </w:t>
      </w:r>
      <w:r w:rsidR="00D74B4F" w:rsidRPr="00075090">
        <w:rPr>
          <w:rFonts w:asciiTheme="majorBidi" w:eastAsia="Times New Roman" w:hAnsiTheme="majorBidi" w:cstheme="majorBidi"/>
          <w:sz w:val="24"/>
          <w:szCs w:val="24"/>
        </w:rPr>
        <w:t>Fosfomycin</w:t>
      </w:r>
      <w:r w:rsidRPr="00075090">
        <w:rPr>
          <w:rFonts w:asciiTheme="majorBidi" w:eastAsia="Times New Roman" w:hAnsiTheme="majorBidi" w:cstheme="majorBidi"/>
          <w:sz w:val="24"/>
          <w:szCs w:val="24"/>
        </w:rPr>
        <w:t xml:space="preserve"> can also be use</w:t>
      </w:r>
      <w:r w:rsidR="00815B12">
        <w:rPr>
          <w:rFonts w:asciiTheme="majorBidi" w:eastAsia="Times New Roman" w:hAnsiTheme="majorBidi" w:cstheme="majorBidi"/>
          <w:sz w:val="24"/>
          <w:szCs w:val="24"/>
        </w:rPr>
        <w:t xml:space="preserve">d. </w:t>
      </w:r>
      <w:r w:rsidR="00815B12" w:rsidRPr="00815B12">
        <w:rPr>
          <w:rFonts w:asciiTheme="majorBidi" w:eastAsia="Times New Roman" w:hAnsiTheme="majorBidi" w:cstheme="majorBidi"/>
          <w:sz w:val="24"/>
          <w:szCs w:val="24"/>
          <w:vertAlign w:val="superscript"/>
        </w:rPr>
        <w:t>(2-3)</w:t>
      </w:r>
    </w:p>
    <w:p w14:paraId="30F04229" w14:textId="2BAD0536" w:rsidR="000A1785" w:rsidRDefault="000A1785" w:rsidP="0027078D">
      <w:pPr>
        <w:bidi w:val="0"/>
        <w:spacing w:after="160" w:line="240" w:lineRule="auto"/>
        <w:jc w:val="both"/>
        <w:rPr>
          <w:rFonts w:asciiTheme="majorBidi" w:eastAsia="Times New Roman" w:hAnsiTheme="majorBidi" w:cstheme="majorBidi"/>
          <w:sz w:val="24"/>
          <w:szCs w:val="24"/>
        </w:rPr>
      </w:pPr>
      <w:r w:rsidRPr="000A1785">
        <w:rPr>
          <w:rFonts w:asciiTheme="majorBidi" w:eastAsia="Times New Roman" w:hAnsiTheme="majorBidi" w:cstheme="majorBidi"/>
          <w:sz w:val="24"/>
          <w:szCs w:val="24"/>
        </w:rPr>
        <w:t>Urinary tract infections (UTIs) are responsible for an estimated 7 million office visits, 1</w:t>
      </w:r>
      <w:r>
        <w:rPr>
          <w:rFonts w:asciiTheme="majorBidi" w:eastAsia="Times New Roman" w:hAnsiTheme="majorBidi" w:cstheme="majorBidi"/>
          <w:sz w:val="24"/>
          <w:szCs w:val="24"/>
        </w:rPr>
        <w:t xml:space="preserve"> </w:t>
      </w:r>
      <w:r w:rsidRPr="000A1785">
        <w:rPr>
          <w:rFonts w:asciiTheme="majorBidi" w:eastAsia="Times New Roman" w:hAnsiTheme="majorBidi" w:cstheme="majorBidi"/>
          <w:sz w:val="24"/>
          <w:szCs w:val="24"/>
        </w:rPr>
        <w:t>million emergency room visits, and 100,000 hospitalizations each year, accounting</w:t>
      </w:r>
      <w:r>
        <w:rPr>
          <w:rFonts w:asciiTheme="majorBidi" w:eastAsia="Times New Roman" w:hAnsiTheme="majorBidi" w:cstheme="majorBidi"/>
          <w:sz w:val="24"/>
          <w:szCs w:val="24"/>
        </w:rPr>
        <w:t xml:space="preserve"> </w:t>
      </w:r>
      <w:r w:rsidRPr="000A1785">
        <w:rPr>
          <w:rFonts w:asciiTheme="majorBidi" w:eastAsia="Times New Roman" w:hAnsiTheme="majorBidi" w:cstheme="majorBidi"/>
          <w:sz w:val="24"/>
          <w:szCs w:val="24"/>
        </w:rPr>
        <w:t>for some 25% of all infections in geriatric patients.1 Health care providers often confuse</w:t>
      </w:r>
      <w:r>
        <w:rPr>
          <w:rFonts w:asciiTheme="majorBidi" w:eastAsia="Times New Roman" w:hAnsiTheme="majorBidi" w:cstheme="majorBidi"/>
          <w:sz w:val="24"/>
          <w:szCs w:val="24"/>
        </w:rPr>
        <w:t xml:space="preserve"> </w:t>
      </w:r>
      <w:r w:rsidRPr="000A1785">
        <w:rPr>
          <w:rFonts w:asciiTheme="majorBidi" w:eastAsia="Times New Roman" w:hAnsiTheme="majorBidi" w:cstheme="majorBidi"/>
          <w:sz w:val="24"/>
          <w:szCs w:val="24"/>
        </w:rPr>
        <w:t>asymptomatic bacteriuria</w:t>
      </w:r>
      <w:r w:rsidRPr="000A1785">
        <w:rPr>
          <w:rFonts w:asciiTheme="majorBidi" w:eastAsia="Times New Roman" w:hAnsiTheme="majorBidi" w:cs="Times New Roman"/>
          <w:sz w:val="24"/>
          <w:szCs w:val="24"/>
          <w:rtl/>
        </w:rPr>
        <w:t>,</w:t>
      </w:r>
      <w:r>
        <w:rPr>
          <w:rFonts w:asciiTheme="majorBidi" w:eastAsia="Times New Roman" w:hAnsiTheme="majorBidi" w:cstheme="majorBidi"/>
          <w:sz w:val="24"/>
          <w:szCs w:val="24"/>
        </w:rPr>
        <w:t xml:space="preserve"> </w:t>
      </w:r>
      <w:r w:rsidRPr="000A1785">
        <w:rPr>
          <w:rFonts w:asciiTheme="majorBidi" w:eastAsia="Times New Roman" w:hAnsiTheme="majorBidi" w:cstheme="majorBidi"/>
          <w:sz w:val="24"/>
          <w:szCs w:val="24"/>
        </w:rPr>
        <w:t>with UTI, and unnecessary antibiotic treatment of ASB in older adults is common</w:t>
      </w:r>
      <w:r>
        <w:rPr>
          <w:rFonts w:asciiTheme="majorBidi" w:eastAsia="Times New Roman" w:hAnsiTheme="majorBidi" w:cstheme="majorBidi"/>
          <w:sz w:val="24"/>
          <w:szCs w:val="24"/>
        </w:rPr>
        <w:t>.</w:t>
      </w:r>
      <w:r w:rsidR="00815B12">
        <w:rPr>
          <w:rFonts w:asciiTheme="majorBidi" w:eastAsia="Times New Roman" w:hAnsiTheme="majorBidi" w:cstheme="majorBidi"/>
          <w:sz w:val="24"/>
          <w:szCs w:val="24"/>
        </w:rPr>
        <w:t xml:space="preserve"> </w:t>
      </w:r>
      <w:r w:rsidR="00815B12" w:rsidRPr="00815B12">
        <w:rPr>
          <w:rFonts w:asciiTheme="majorBidi" w:eastAsia="Times New Roman" w:hAnsiTheme="majorBidi" w:cstheme="majorBidi"/>
          <w:sz w:val="24"/>
          <w:szCs w:val="24"/>
          <w:vertAlign w:val="superscript"/>
        </w:rPr>
        <w:t>(5)</w:t>
      </w:r>
    </w:p>
    <w:p w14:paraId="23EAA0E7" w14:textId="7B2B8506" w:rsidR="00545DC2" w:rsidRPr="00981778" w:rsidRDefault="00545DC2" w:rsidP="00545DC2">
      <w:pPr>
        <w:bidi w:val="0"/>
        <w:spacing w:after="160" w:line="240" w:lineRule="auto"/>
        <w:rPr>
          <w:rFonts w:asciiTheme="majorBidi" w:eastAsia="Times New Roman" w:hAnsiTheme="majorBidi" w:cstheme="majorBidi"/>
          <w:sz w:val="28"/>
          <w:szCs w:val="28"/>
        </w:rPr>
      </w:pPr>
    </w:p>
    <w:p w14:paraId="6BC53D26" w14:textId="0535CCDE" w:rsidR="00DD0029" w:rsidRPr="00981778" w:rsidRDefault="00544AF0" w:rsidP="00227AB5">
      <w:pPr>
        <w:bidi w:val="0"/>
        <w:spacing w:after="160" w:line="240" w:lineRule="auto"/>
        <w:jc w:val="both"/>
        <w:rPr>
          <w:rFonts w:asciiTheme="majorBidi" w:hAnsiTheme="majorBidi" w:cstheme="majorBidi"/>
          <w:b/>
          <w:bCs/>
          <w:color w:val="000000"/>
          <w:sz w:val="28"/>
          <w:szCs w:val="28"/>
        </w:rPr>
      </w:pPr>
      <w:r w:rsidRPr="00981778">
        <w:rPr>
          <w:rFonts w:asciiTheme="majorBidi" w:hAnsiTheme="majorBidi" w:cstheme="majorBidi"/>
          <w:b/>
          <w:bCs/>
          <w:color w:val="000000"/>
          <w:sz w:val="28"/>
          <w:szCs w:val="28"/>
        </w:rPr>
        <w:t>C</w:t>
      </w:r>
      <w:r w:rsidR="00F06F5B" w:rsidRPr="00981778">
        <w:rPr>
          <w:rFonts w:asciiTheme="majorBidi" w:hAnsiTheme="majorBidi" w:cstheme="majorBidi"/>
          <w:b/>
          <w:bCs/>
          <w:color w:val="000000"/>
          <w:sz w:val="28"/>
          <w:szCs w:val="28"/>
        </w:rPr>
        <w:t>onclusion</w:t>
      </w:r>
    </w:p>
    <w:p w14:paraId="1F335964" w14:textId="45E2C0CA" w:rsidR="00DD0029" w:rsidRPr="00981778" w:rsidRDefault="00D74B4F" w:rsidP="00011833">
      <w:pPr>
        <w:autoSpaceDE w:val="0"/>
        <w:autoSpaceDN w:val="0"/>
        <w:bidi w:val="0"/>
        <w:adjustRightInd w:val="0"/>
        <w:spacing w:after="0" w:line="240" w:lineRule="auto"/>
        <w:jc w:val="both"/>
        <w:rPr>
          <w:rFonts w:ascii="Calibri" w:eastAsia="Times New Roman" w:hAnsi="Calibri" w:cs="Arial"/>
          <w:b/>
          <w:bCs/>
          <w:sz w:val="24"/>
          <w:szCs w:val="24"/>
          <w:rtl/>
          <w:lang w:bidi="ar-LY"/>
        </w:rPr>
      </w:pPr>
      <w:r w:rsidRPr="00981778">
        <w:rPr>
          <w:rFonts w:asciiTheme="majorBidi" w:eastAsia="Times New Roman" w:hAnsiTheme="majorBidi" w:cstheme="majorBidi"/>
          <w:sz w:val="24"/>
          <w:szCs w:val="24"/>
        </w:rPr>
        <w:t>Asymptomatic bacteriuria, defined as the presence of bacteria in the urine in the absence of urinary symptoms, is a common clinical finding that often warrants a decision about whether to initiate antimicrobial therapy</w:t>
      </w:r>
      <w:r w:rsidR="00815B12" w:rsidRPr="00981778">
        <w:rPr>
          <w:rFonts w:asciiTheme="majorBidi" w:eastAsia="Times New Roman" w:hAnsiTheme="majorBidi" w:cstheme="majorBidi"/>
          <w:sz w:val="24"/>
          <w:szCs w:val="24"/>
        </w:rPr>
        <w:t xml:space="preserve">. In healthy women, the prevalence of bacteriuria increases with age, and most common organism isolated </w:t>
      </w:r>
      <w:r w:rsidR="00815B12" w:rsidRPr="00981778">
        <w:rPr>
          <w:rFonts w:asciiTheme="majorBidi" w:eastAsia="Times New Roman" w:hAnsiTheme="majorBidi" w:cstheme="majorBidi"/>
          <w:sz w:val="24"/>
          <w:szCs w:val="24"/>
        </w:rPr>
        <w:lastRenderedPageBreak/>
        <w:t xml:space="preserve">from </w:t>
      </w:r>
      <w:r w:rsidR="00981778" w:rsidRPr="00981778">
        <w:rPr>
          <w:rFonts w:asciiTheme="majorBidi" w:eastAsia="Times New Roman" w:hAnsiTheme="majorBidi" w:cstheme="majorBidi"/>
          <w:sz w:val="24"/>
          <w:szCs w:val="24"/>
        </w:rPr>
        <w:t xml:space="preserve">asymptomatic bacteriuria is Escherichia coli and the Screening for asymptomatic bacteriuria with a urine culture is recommended during the first prenatal visit of pregnancy and is repeated only in high-risk women and usually treated to prevent complication and improve prenatal mortality. </w:t>
      </w:r>
    </w:p>
    <w:p w14:paraId="7627D0D0" w14:textId="77777777" w:rsidR="00227AB5" w:rsidRDefault="00227AB5" w:rsidP="00DD0029">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6147CD16" w14:textId="77777777" w:rsidR="00227AB5" w:rsidRDefault="00227AB5"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2D6C159A" w14:textId="77777777" w:rsidR="00227AB5" w:rsidRDefault="00227AB5"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6BB552D8" w14:textId="77777777" w:rsidR="00227AB5" w:rsidRDefault="00227AB5"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53FB9A8A" w14:textId="77777777" w:rsidR="00227AB5" w:rsidRDefault="00227AB5"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0A3499C7" w14:textId="77777777" w:rsidR="00227AB5" w:rsidRDefault="00227AB5"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20698FCE" w14:textId="77777777" w:rsidR="00583C9B" w:rsidRDefault="00583C9B" w:rsidP="00227AB5">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29272272" w14:textId="77777777" w:rsidR="0056313D" w:rsidRDefault="0056313D" w:rsidP="00FE3E66">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03E3013A" w14:textId="77777777" w:rsidR="0056313D" w:rsidRDefault="0056313D" w:rsidP="0056313D">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5D2A7E1E" w14:textId="77777777" w:rsidR="0056313D" w:rsidRDefault="0056313D" w:rsidP="0056313D">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103FC8AB" w14:textId="77777777" w:rsidR="0056313D" w:rsidRDefault="0056313D" w:rsidP="0056313D">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02C71744" w14:textId="50600F82" w:rsidR="00227AB5" w:rsidRDefault="00586E04" w:rsidP="0056313D">
      <w:pPr>
        <w:autoSpaceDE w:val="0"/>
        <w:autoSpaceDN w:val="0"/>
        <w:bidi w:val="0"/>
        <w:adjustRightInd w:val="0"/>
        <w:spacing w:after="0" w:line="240" w:lineRule="auto"/>
        <w:jc w:val="both"/>
        <w:rPr>
          <w:rFonts w:asciiTheme="majorBidi" w:eastAsia="Times New Roman" w:hAnsiTheme="majorBidi" w:cstheme="majorBidi"/>
          <w:b/>
          <w:bCs/>
          <w:sz w:val="32"/>
          <w:szCs w:val="32"/>
        </w:rPr>
      </w:pPr>
      <w:r w:rsidRPr="00AB7618">
        <w:rPr>
          <w:rFonts w:asciiTheme="majorBidi" w:eastAsia="Times New Roman" w:hAnsiTheme="majorBidi" w:cstheme="majorBidi"/>
          <w:b/>
          <w:bCs/>
          <w:sz w:val="32"/>
          <w:szCs w:val="32"/>
        </w:rPr>
        <w:t>References</w:t>
      </w:r>
      <w:bookmarkEnd w:id="1"/>
    </w:p>
    <w:p w14:paraId="29F146A1" w14:textId="77777777" w:rsidR="00FE3E66" w:rsidRPr="00FE3E66" w:rsidRDefault="00FE3E66" w:rsidP="00FE3E66">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620016CB" w14:textId="3877496E" w:rsidR="00FE3E66" w:rsidRPr="00FE3E66" w:rsidRDefault="00FE3E66" w:rsidP="00FE3E66">
      <w:pPr>
        <w:pStyle w:val="a7"/>
        <w:numPr>
          <w:ilvl w:val="0"/>
          <w:numId w:val="3"/>
        </w:numPr>
        <w:autoSpaceDE w:val="0"/>
        <w:autoSpaceDN w:val="0"/>
        <w:bidi w:val="0"/>
        <w:adjustRightInd w:val="0"/>
        <w:spacing w:after="0" w:line="240" w:lineRule="auto"/>
        <w:jc w:val="both"/>
        <w:rPr>
          <w:rFonts w:asciiTheme="majorBidi" w:hAnsiTheme="majorBidi" w:cstheme="majorBidi"/>
          <w:color w:val="000000"/>
          <w:sz w:val="24"/>
          <w:szCs w:val="24"/>
        </w:rPr>
      </w:pPr>
      <w:r w:rsidRPr="00FE3E66">
        <w:rPr>
          <w:rFonts w:asciiTheme="majorBidi" w:hAnsiTheme="majorBidi" w:cstheme="majorBidi"/>
          <w:sz w:val="26"/>
          <w:szCs w:val="26"/>
        </w:rPr>
        <w:t>Colgan R, Jaffe GA, Nicolle LE. Asymptomatic Bacteriuria. Am Fam Physician. 2020;102(2):99-104.</w:t>
      </w:r>
    </w:p>
    <w:p w14:paraId="5348D913" w14:textId="77777777" w:rsidR="00FE3E66" w:rsidRPr="00FE3E66" w:rsidRDefault="00FE3E66" w:rsidP="00FE3E66">
      <w:pPr>
        <w:pStyle w:val="a7"/>
        <w:autoSpaceDE w:val="0"/>
        <w:autoSpaceDN w:val="0"/>
        <w:bidi w:val="0"/>
        <w:adjustRightInd w:val="0"/>
        <w:spacing w:after="0" w:line="240" w:lineRule="auto"/>
        <w:jc w:val="both"/>
        <w:rPr>
          <w:rFonts w:asciiTheme="majorBidi" w:hAnsiTheme="majorBidi" w:cstheme="majorBidi"/>
          <w:color w:val="000000"/>
          <w:sz w:val="24"/>
          <w:szCs w:val="24"/>
        </w:rPr>
      </w:pPr>
    </w:p>
    <w:p w14:paraId="5145559E" w14:textId="77777777" w:rsidR="00FE3E66" w:rsidRPr="00FE3E66" w:rsidRDefault="00FE3E66" w:rsidP="00FE3E66">
      <w:pPr>
        <w:pStyle w:val="a7"/>
        <w:numPr>
          <w:ilvl w:val="0"/>
          <w:numId w:val="3"/>
        </w:numPr>
        <w:autoSpaceDE w:val="0"/>
        <w:autoSpaceDN w:val="0"/>
        <w:bidi w:val="0"/>
        <w:adjustRightInd w:val="0"/>
        <w:spacing w:after="0" w:line="240" w:lineRule="auto"/>
        <w:jc w:val="both"/>
        <w:rPr>
          <w:rFonts w:asciiTheme="majorBidi" w:hAnsiTheme="majorBidi" w:cstheme="majorBidi"/>
          <w:color w:val="000000"/>
          <w:sz w:val="24"/>
          <w:szCs w:val="24"/>
        </w:rPr>
      </w:pPr>
      <w:r w:rsidRPr="00FE3E66">
        <w:rPr>
          <w:rFonts w:asciiTheme="majorBidi" w:hAnsiTheme="majorBidi" w:cstheme="majorBidi"/>
          <w:sz w:val="26"/>
          <w:szCs w:val="26"/>
        </w:rPr>
        <w:t>Petty LA, Vaughn VM, Flanders SA, et al. Risk Factors and Outcomes Associated With Treatment of Asymptomatic Bacteriuria in Hospitalized Patients. JAMA Intern Med. 2019;179(11):1519-1527. doi:10.1001/jamainternmed.2019.2871</w:t>
      </w:r>
    </w:p>
    <w:p w14:paraId="6BF27ECA" w14:textId="77777777" w:rsidR="00FE3E66" w:rsidRPr="00FE3E66" w:rsidRDefault="00FE3E66" w:rsidP="00FE3E66">
      <w:pPr>
        <w:pStyle w:val="a7"/>
        <w:rPr>
          <w:rFonts w:asciiTheme="majorBidi" w:hAnsiTheme="majorBidi" w:cstheme="majorBidi"/>
          <w:color w:val="000000"/>
          <w:sz w:val="24"/>
          <w:szCs w:val="24"/>
        </w:rPr>
      </w:pPr>
    </w:p>
    <w:p w14:paraId="19A2D692" w14:textId="77777777" w:rsidR="00FE3E66" w:rsidRPr="00FE3E66" w:rsidRDefault="00FE3E66" w:rsidP="00FE3E66">
      <w:pPr>
        <w:pStyle w:val="a7"/>
        <w:numPr>
          <w:ilvl w:val="0"/>
          <w:numId w:val="3"/>
        </w:numPr>
        <w:autoSpaceDE w:val="0"/>
        <w:autoSpaceDN w:val="0"/>
        <w:bidi w:val="0"/>
        <w:adjustRightInd w:val="0"/>
        <w:spacing w:after="0" w:line="240" w:lineRule="auto"/>
        <w:jc w:val="both"/>
        <w:rPr>
          <w:rFonts w:asciiTheme="majorBidi" w:hAnsiTheme="majorBidi" w:cstheme="majorBidi"/>
          <w:color w:val="000000"/>
          <w:sz w:val="24"/>
          <w:szCs w:val="24"/>
        </w:rPr>
      </w:pPr>
      <w:r w:rsidRPr="00FE3E66">
        <w:rPr>
          <w:rFonts w:asciiTheme="majorBidi" w:hAnsiTheme="majorBidi" w:cstheme="majorBidi"/>
          <w:color w:val="000000"/>
          <w:sz w:val="24"/>
          <w:szCs w:val="24"/>
        </w:rPr>
        <w:t>Nicolle LE, Gupta K, Bradley SF, et al.; Clinical practice guideline for the management of asymptomatic bacteriuria: 2019 update by the Infectious Diseases Society of America. Clin Infect Dis. 2019;68(10):e83-e110</w:t>
      </w:r>
      <w:r w:rsidRPr="00FE3E66">
        <w:rPr>
          <w:rFonts w:asciiTheme="majorBidi" w:hAnsiTheme="majorBidi" w:cs="Times New Roman"/>
          <w:color w:val="000000"/>
          <w:sz w:val="24"/>
          <w:szCs w:val="24"/>
          <w:rtl/>
        </w:rPr>
        <w:t>.</w:t>
      </w:r>
    </w:p>
    <w:p w14:paraId="170E5E0E" w14:textId="77777777" w:rsidR="00FE3E66" w:rsidRPr="00FE3E66" w:rsidRDefault="00FE3E66" w:rsidP="00FE3E66">
      <w:pPr>
        <w:pStyle w:val="a7"/>
        <w:rPr>
          <w:rFonts w:asciiTheme="majorBidi" w:hAnsiTheme="majorBidi" w:cstheme="majorBidi"/>
          <w:color w:val="000000"/>
          <w:sz w:val="24"/>
          <w:szCs w:val="24"/>
        </w:rPr>
      </w:pPr>
    </w:p>
    <w:p w14:paraId="69360C92" w14:textId="1D5AB236" w:rsidR="00227AB5" w:rsidRDefault="00FE3E66" w:rsidP="00FE3E66">
      <w:pPr>
        <w:pStyle w:val="a7"/>
        <w:numPr>
          <w:ilvl w:val="0"/>
          <w:numId w:val="3"/>
        </w:numPr>
        <w:autoSpaceDE w:val="0"/>
        <w:autoSpaceDN w:val="0"/>
        <w:bidi w:val="0"/>
        <w:adjustRightInd w:val="0"/>
        <w:spacing w:after="0" w:line="240" w:lineRule="auto"/>
        <w:jc w:val="both"/>
        <w:rPr>
          <w:rFonts w:asciiTheme="majorBidi" w:hAnsiTheme="majorBidi" w:cstheme="majorBidi"/>
          <w:color w:val="000000"/>
          <w:sz w:val="24"/>
          <w:szCs w:val="24"/>
        </w:rPr>
      </w:pPr>
      <w:r w:rsidRPr="00FE3E66">
        <w:rPr>
          <w:rFonts w:asciiTheme="majorBidi" w:hAnsiTheme="majorBidi" w:cstheme="majorBidi"/>
          <w:color w:val="000000"/>
          <w:sz w:val="24"/>
          <w:szCs w:val="24"/>
        </w:rPr>
        <w:t>Nicolle LE. The paradigm shift to non-treatment of asymptomatic bacteriuria. Pathogens. 2016;5(2):e38.</w:t>
      </w:r>
    </w:p>
    <w:p w14:paraId="58C73B39" w14:textId="77777777" w:rsidR="0056313D" w:rsidRPr="0056313D" w:rsidRDefault="0056313D" w:rsidP="0056313D">
      <w:pPr>
        <w:pStyle w:val="a7"/>
        <w:rPr>
          <w:rFonts w:asciiTheme="majorBidi" w:hAnsiTheme="majorBidi" w:cstheme="majorBidi"/>
          <w:color w:val="000000"/>
          <w:sz w:val="24"/>
          <w:szCs w:val="24"/>
        </w:rPr>
      </w:pPr>
    </w:p>
    <w:p w14:paraId="3B737E76" w14:textId="283FA536" w:rsidR="0056313D" w:rsidRPr="00FE3E66" w:rsidRDefault="0056313D" w:rsidP="0056313D">
      <w:pPr>
        <w:pStyle w:val="a7"/>
        <w:numPr>
          <w:ilvl w:val="0"/>
          <w:numId w:val="3"/>
        </w:numPr>
        <w:autoSpaceDE w:val="0"/>
        <w:autoSpaceDN w:val="0"/>
        <w:bidi w:val="0"/>
        <w:adjustRightInd w:val="0"/>
        <w:spacing w:after="0" w:line="240" w:lineRule="auto"/>
        <w:jc w:val="both"/>
        <w:rPr>
          <w:rFonts w:asciiTheme="majorBidi" w:hAnsiTheme="majorBidi" w:cstheme="majorBidi"/>
          <w:color w:val="000000"/>
          <w:sz w:val="24"/>
          <w:szCs w:val="24"/>
        </w:rPr>
      </w:pPr>
      <w:r w:rsidRPr="0056313D">
        <w:rPr>
          <w:rFonts w:asciiTheme="majorBidi" w:hAnsiTheme="majorBidi" w:cstheme="majorBidi"/>
          <w:color w:val="000000"/>
          <w:sz w:val="24"/>
          <w:szCs w:val="24"/>
        </w:rPr>
        <w:t xml:space="preserve">Owens DK, Davidson KW, </w:t>
      </w:r>
      <w:proofErr w:type="spellStart"/>
      <w:r w:rsidRPr="0056313D">
        <w:rPr>
          <w:rFonts w:asciiTheme="majorBidi" w:hAnsiTheme="majorBidi" w:cstheme="majorBidi"/>
          <w:color w:val="000000"/>
          <w:sz w:val="24"/>
          <w:szCs w:val="24"/>
        </w:rPr>
        <w:t>Krist</w:t>
      </w:r>
      <w:proofErr w:type="spellEnd"/>
      <w:r w:rsidRPr="0056313D">
        <w:rPr>
          <w:rFonts w:asciiTheme="majorBidi" w:hAnsiTheme="majorBidi" w:cstheme="majorBidi"/>
          <w:color w:val="000000"/>
          <w:sz w:val="24"/>
          <w:szCs w:val="24"/>
        </w:rPr>
        <w:t xml:space="preserve"> AH, et al.; Screening for asymptomatic bacteriuria in adults: U.S. Preventive Services Task Force recommendation statement. JAMA. 2019;322(12):1188-1194.</w:t>
      </w:r>
    </w:p>
    <w:p w14:paraId="294A5D53" w14:textId="24EB13F8" w:rsidR="00900DD5" w:rsidRDefault="00900DD5" w:rsidP="00900DD5">
      <w:pPr>
        <w:bidi w:val="0"/>
        <w:spacing w:after="160" w:line="300" w:lineRule="auto"/>
        <w:jc w:val="both"/>
        <w:rPr>
          <w:rFonts w:asciiTheme="majorBidi" w:hAnsiTheme="majorBidi" w:cstheme="majorBidi"/>
          <w:sz w:val="26"/>
          <w:szCs w:val="26"/>
        </w:rPr>
      </w:pPr>
    </w:p>
    <w:p w14:paraId="6FD51D32" w14:textId="1ED96029" w:rsidR="00900DD5" w:rsidRDefault="00900DD5" w:rsidP="00900DD5">
      <w:pPr>
        <w:bidi w:val="0"/>
        <w:spacing w:after="160" w:line="300" w:lineRule="auto"/>
        <w:jc w:val="both"/>
        <w:rPr>
          <w:rFonts w:asciiTheme="majorBidi" w:hAnsiTheme="majorBidi" w:cstheme="majorBidi"/>
          <w:sz w:val="26"/>
          <w:szCs w:val="26"/>
        </w:rPr>
      </w:pPr>
    </w:p>
    <w:p w14:paraId="22B61E9A" w14:textId="77777777" w:rsidR="00EE3A31" w:rsidRDefault="00EE3A31" w:rsidP="00EE3A31">
      <w:pPr>
        <w:bidi w:val="0"/>
        <w:spacing w:after="160" w:line="300" w:lineRule="auto"/>
        <w:jc w:val="both"/>
        <w:rPr>
          <w:rFonts w:asciiTheme="majorBidi" w:hAnsiTheme="majorBidi" w:cstheme="majorBidi"/>
          <w:sz w:val="26"/>
          <w:szCs w:val="26"/>
        </w:rPr>
      </w:pPr>
    </w:p>
    <w:p w14:paraId="40C477F0" w14:textId="4C3A050F" w:rsidR="00900DD5" w:rsidRDefault="00900DD5" w:rsidP="00900DD5">
      <w:pPr>
        <w:bidi w:val="0"/>
        <w:spacing w:after="160" w:line="300" w:lineRule="auto"/>
        <w:jc w:val="both"/>
        <w:rPr>
          <w:rFonts w:asciiTheme="majorBidi" w:hAnsiTheme="majorBidi" w:cstheme="majorBidi"/>
          <w:sz w:val="26"/>
          <w:szCs w:val="26"/>
        </w:rPr>
      </w:pPr>
    </w:p>
    <w:p w14:paraId="4E639051" w14:textId="5CA450DC" w:rsidR="00D948E2" w:rsidRDefault="00D948E2" w:rsidP="00AB7618">
      <w:pPr>
        <w:spacing w:after="160" w:line="300" w:lineRule="auto"/>
        <w:rPr>
          <w:rFonts w:ascii="Calibri" w:eastAsia="Times New Roman" w:hAnsi="Calibri" w:cs="Arial"/>
          <w:b/>
          <w:bCs/>
          <w:sz w:val="24"/>
          <w:szCs w:val="24"/>
          <w:rtl/>
        </w:rPr>
      </w:pPr>
    </w:p>
    <w:p w14:paraId="26BEF52B" w14:textId="5773F459" w:rsidR="00D948E2" w:rsidRPr="00586E04" w:rsidRDefault="00900DD5" w:rsidP="00D948E2">
      <w:pPr>
        <w:spacing w:after="160" w:line="300" w:lineRule="auto"/>
        <w:jc w:val="right"/>
        <w:rPr>
          <w:sz w:val="36"/>
          <w:szCs w:val="36"/>
          <w:rtl/>
        </w:rPr>
      </w:pPr>
      <w:r>
        <w:rPr>
          <w:rFonts w:hint="cs"/>
          <w:sz w:val="36"/>
          <w:szCs w:val="36"/>
          <w:rtl/>
        </w:rPr>
        <w:lastRenderedPageBreak/>
        <w:t xml:space="preserve">       </w:t>
      </w:r>
    </w:p>
    <w:sectPr w:rsidR="00D948E2" w:rsidRPr="00586E04"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EF5E04" w14:textId="77777777" w:rsidR="009D2A96" w:rsidRDefault="009D2A96" w:rsidP="00DA7D3B">
      <w:pPr>
        <w:spacing w:after="0" w:line="240" w:lineRule="auto"/>
      </w:pPr>
      <w:r>
        <w:separator/>
      </w:r>
    </w:p>
  </w:endnote>
  <w:endnote w:type="continuationSeparator" w:id="0">
    <w:p w14:paraId="6929FAFE" w14:textId="77777777" w:rsidR="009D2A96" w:rsidRDefault="009D2A96"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 w:name="TimesNewRomanPS-Bold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sidR="00D96684">
          <w:rPr>
            <w:noProof/>
            <w:rtl/>
          </w:rPr>
          <w:t>0</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A652E9" w14:textId="77777777" w:rsidR="009D2A96" w:rsidRDefault="009D2A96" w:rsidP="00DA7D3B">
      <w:pPr>
        <w:spacing w:after="0" w:line="240" w:lineRule="auto"/>
      </w:pPr>
      <w:r>
        <w:separator/>
      </w:r>
    </w:p>
  </w:footnote>
  <w:footnote w:type="continuationSeparator" w:id="0">
    <w:p w14:paraId="4D3DD179" w14:textId="77777777" w:rsidR="009D2A96" w:rsidRDefault="009D2A96" w:rsidP="00DA7D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1B22EFD"/>
    <w:multiLevelType w:val="hybridMultilevel"/>
    <w:tmpl w:val="35F2CC9E"/>
    <w:lvl w:ilvl="0" w:tplc="04E4F47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EC81DF0"/>
    <w:multiLevelType w:val="hybridMultilevel"/>
    <w:tmpl w:val="4918A8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gutterAtTop/>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D68"/>
    <w:rsid w:val="00001D82"/>
    <w:rsid w:val="00006FB3"/>
    <w:rsid w:val="00011833"/>
    <w:rsid w:val="00012EBA"/>
    <w:rsid w:val="00047096"/>
    <w:rsid w:val="000513F2"/>
    <w:rsid w:val="00052C76"/>
    <w:rsid w:val="00072EE6"/>
    <w:rsid w:val="0007424A"/>
    <w:rsid w:val="00075090"/>
    <w:rsid w:val="00077828"/>
    <w:rsid w:val="0008361D"/>
    <w:rsid w:val="000918FB"/>
    <w:rsid w:val="000A146C"/>
    <w:rsid w:val="000A1785"/>
    <w:rsid w:val="000C4B5A"/>
    <w:rsid w:val="000C6DBE"/>
    <w:rsid w:val="00107145"/>
    <w:rsid w:val="00140BCA"/>
    <w:rsid w:val="00140D68"/>
    <w:rsid w:val="001468FF"/>
    <w:rsid w:val="00177569"/>
    <w:rsid w:val="001775B1"/>
    <w:rsid w:val="002049C9"/>
    <w:rsid w:val="00222E8F"/>
    <w:rsid w:val="00227AB5"/>
    <w:rsid w:val="00263943"/>
    <w:rsid w:val="0027078D"/>
    <w:rsid w:val="002809F9"/>
    <w:rsid w:val="00290BE8"/>
    <w:rsid w:val="002A5051"/>
    <w:rsid w:val="002C1050"/>
    <w:rsid w:val="002E7997"/>
    <w:rsid w:val="0033724B"/>
    <w:rsid w:val="00371381"/>
    <w:rsid w:val="003A0284"/>
    <w:rsid w:val="00402188"/>
    <w:rsid w:val="00452ACC"/>
    <w:rsid w:val="00456C46"/>
    <w:rsid w:val="00471C6D"/>
    <w:rsid w:val="00475CA0"/>
    <w:rsid w:val="004E3026"/>
    <w:rsid w:val="00507165"/>
    <w:rsid w:val="00511C9F"/>
    <w:rsid w:val="00541579"/>
    <w:rsid w:val="00544AF0"/>
    <w:rsid w:val="00545DC2"/>
    <w:rsid w:val="0056313D"/>
    <w:rsid w:val="00572928"/>
    <w:rsid w:val="00582778"/>
    <w:rsid w:val="00583C9B"/>
    <w:rsid w:val="00586E04"/>
    <w:rsid w:val="005A50B6"/>
    <w:rsid w:val="005B49F9"/>
    <w:rsid w:val="005D4AE9"/>
    <w:rsid w:val="005E168B"/>
    <w:rsid w:val="005F653F"/>
    <w:rsid w:val="00616B95"/>
    <w:rsid w:val="00643C91"/>
    <w:rsid w:val="006E2B47"/>
    <w:rsid w:val="006F512A"/>
    <w:rsid w:val="006F666D"/>
    <w:rsid w:val="00707EFD"/>
    <w:rsid w:val="00726D65"/>
    <w:rsid w:val="007506CF"/>
    <w:rsid w:val="007B1AC8"/>
    <w:rsid w:val="007B6FE6"/>
    <w:rsid w:val="007E1D7A"/>
    <w:rsid w:val="00815B12"/>
    <w:rsid w:val="00895DAE"/>
    <w:rsid w:val="008A367D"/>
    <w:rsid w:val="008B3E7F"/>
    <w:rsid w:val="008F0C3E"/>
    <w:rsid w:val="00900BE8"/>
    <w:rsid w:val="00900DD5"/>
    <w:rsid w:val="009411DF"/>
    <w:rsid w:val="009414AA"/>
    <w:rsid w:val="00942CA7"/>
    <w:rsid w:val="009550AB"/>
    <w:rsid w:val="00967B92"/>
    <w:rsid w:val="00980F57"/>
    <w:rsid w:val="00981778"/>
    <w:rsid w:val="009A7C53"/>
    <w:rsid w:val="009C14FC"/>
    <w:rsid w:val="009D2A96"/>
    <w:rsid w:val="009D6079"/>
    <w:rsid w:val="009D6978"/>
    <w:rsid w:val="009F4384"/>
    <w:rsid w:val="00A36748"/>
    <w:rsid w:val="00A837F0"/>
    <w:rsid w:val="00A90D25"/>
    <w:rsid w:val="00A93788"/>
    <w:rsid w:val="00A95905"/>
    <w:rsid w:val="00AA6CB1"/>
    <w:rsid w:val="00AB1482"/>
    <w:rsid w:val="00AB7618"/>
    <w:rsid w:val="00B1091A"/>
    <w:rsid w:val="00B40766"/>
    <w:rsid w:val="00B8268A"/>
    <w:rsid w:val="00BA410C"/>
    <w:rsid w:val="00BB3EEF"/>
    <w:rsid w:val="00BB49CF"/>
    <w:rsid w:val="00BB6732"/>
    <w:rsid w:val="00BB7E4E"/>
    <w:rsid w:val="00BD5295"/>
    <w:rsid w:val="00C47CAB"/>
    <w:rsid w:val="00C52DB1"/>
    <w:rsid w:val="00C72A8D"/>
    <w:rsid w:val="00CA0B1A"/>
    <w:rsid w:val="00CB1A65"/>
    <w:rsid w:val="00CD0139"/>
    <w:rsid w:val="00CF05BB"/>
    <w:rsid w:val="00CF676B"/>
    <w:rsid w:val="00CF74C6"/>
    <w:rsid w:val="00D00C93"/>
    <w:rsid w:val="00D3353C"/>
    <w:rsid w:val="00D52A64"/>
    <w:rsid w:val="00D74B4F"/>
    <w:rsid w:val="00D7585D"/>
    <w:rsid w:val="00D81679"/>
    <w:rsid w:val="00D85334"/>
    <w:rsid w:val="00D948E2"/>
    <w:rsid w:val="00D96684"/>
    <w:rsid w:val="00DA7D3B"/>
    <w:rsid w:val="00DB39A2"/>
    <w:rsid w:val="00DD0029"/>
    <w:rsid w:val="00DE1C36"/>
    <w:rsid w:val="00E04E08"/>
    <w:rsid w:val="00E14D68"/>
    <w:rsid w:val="00E3377B"/>
    <w:rsid w:val="00E422BD"/>
    <w:rsid w:val="00E8259C"/>
    <w:rsid w:val="00EA0356"/>
    <w:rsid w:val="00EA31BC"/>
    <w:rsid w:val="00EA6D58"/>
    <w:rsid w:val="00EB2C04"/>
    <w:rsid w:val="00EE3A31"/>
    <w:rsid w:val="00F06F5B"/>
    <w:rsid w:val="00F23CBD"/>
    <w:rsid w:val="00F32E45"/>
    <w:rsid w:val="00F54DCB"/>
    <w:rsid w:val="00F6658D"/>
    <w:rsid w:val="00FA7776"/>
    <w:rsid w:val="00FB2AD8"/>
    <w:rsid w:val="00FE3E66"/>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semiHidden/>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semiHidden/>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356232255">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AA200-FAF2-43B6-B3AF-1D4409DA6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1443</Words>
  <Characters>8231</Characters>
  <Application>Microsoft Office Word</Application>
  <DocSecurity>0</DocSecurity>
  <Lines>68</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فراس الصعيو</Company>
  <LinksUpToDate>false</LinksUpToDate>
  <CharactersWithSpaces>9655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TOSHIBA</cp:lastModifiedBy>
  <cp:revision>2</cp:revision>
  <cp:lastPrinted>2019-03-09T11:37:00Z</cp:lastPrinted>
  <dcterms:created xsi:type="dcterms:W3CDTF">2022-06-20T21:11:00Z</dcterms:created>
  <dcterms:modified xsi:type="dcterms:W3CDTF">2022-06-20T21:11:00Z</dcterms:modified>
</cp:coreProperties>
</file>