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8BB8D9" w14:textId="4D8C3E94" w:rsidR="00E14D68" w:rsidRPr="00466B54" w:rsidRDefault="00AD6E2A" w:rsidP="00684055">
      <w:pPr>
        <w:autoSpaceDE w:val="0"/>
        <w:autoSpaceDN w:val="0"/>
        <w:bidi w:val="0"/>
        <w:adjustRightInd w:val="0"/>
        <w:spacing w:after="0" w:line="360" w:lineRule="auto"/>
        <w:jc w:val="center"/>
        <w:rPr>
          <w:rFonts w:asciiTheme="majorBidi" w:hAnsiTheme="majorBidi" w:cstheme="majorBidi"/>
          <w:sz w:val="24"/>
          <w:szCs w:val="24"/>
        </w:rPr>
      </w:pPr>
      <w:r w:rsidRPr="00466B54">
        <w:rPr>
          <w:rFonts w:hint="cs"/>
          <w:noProof/>
          <w:sz w:val="24"/>
          <w:szCs w:val="24"/>
        </w:rPr>
        <w:drawing>
          <wp:anchor distT="0" distB="0" distL="114300" distR="114300" simplePos="0" relativeHeight="251658240" behindDoc="0" locked="0" layoutInCell="1" allowOverlap="1" wp14:anchorId="4B6A1ACE" wp14:editId="68C81998">
            <wp:simplePos x="0" y="0"/>
            <wp:positionH relativeFrom="column">
              <wp:posOffset>-628650</wp:posOffset>
            </wp:positionH>
            <wp:positionV relativeFrom="paragraph">
              <wp:posOffset>57150</wp:posOffset>
            </wp:positionV>
            <wp:extent cx="6486525" cy="1298575"/>
            <wp:effectExtent l="95250" t="57150" r="295275" b="320675"/>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486525" cy="1298575"/>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anchor>
        </w:drawing>
      </w:r>
      <w:r w:rsidR="00E14D68" w:rsidRPr="00466B54">
        <w:rPr>
          <w:rFonts w:asciiTheme="majorBidi" w:hAnsiTheme="majorBidi" w:cstheme="majorBidi"/>
          <w:sz w:val="24"/>
          <w:szCs w:val="24"/>
        </w:rPr>
        <w:t>Libyan Internationa</w:t>
      </w:r>
      <w:r w:rsidR="003A0284" w:rsidRPr="00466B54">
        <w:rPr>
          <w:rFonts w:asciiTheme="majorBidi" w:hAnsiTheme="majorBidi" w:cstheme="majorBidi"/>
          <w:sz w:val="24"/>
          <w:szCs w:val="24"/>
        </w:rPr>
        <w:t>l</w:t>
      </w:r>
    </w:p>
    <w:p w14:paraId="0B3EFF27" w14:textId="5AA48FA4" w:rsidR="00E14D68" w:rsidRPr="00466B54" w:rsidRDefault="00E14D68" w:rsidP="00684055">
      <w:pPr>
        <w:autoSpaceDE w:val="0"/>
        <w:autoSpaceDN w:val="0"/>
        <w:bidi w:val="0"/>
        <w:adjustRightInd w:val="0"/>
        <w:spacing w:after="0" w:line="360" w:lineRule="auto"/>
        <w:jc w:val="center"/>
        <w:rPr>
          <w:rFonts w:asciiTheme="majorBidi" w:hAnsiTheme="majorBidi" w:cstheme="majorBidi"/>
          <w:sz w:val="24"/>
          <w:szCs w:val="24"/>
        </w:rPr>
      </w:pPr>
      <w:bookmarkStart w:id="0" w:name="_Hlk3025700"/>
      <w:bookmarkEnd w:id="0"/>
      <w:r w:rsidRPr="00466B54">
        <w:rPr>
          <w:rFonts w:asciiTheme="majorBidi" w:hAnsiTheme="majorBidi" w:cstheme="majorBidi"/>
          <w:sz w:val="24"/>
          <w:szCs w:val="24"/>
        </w:rPr>
        <w:t>Medical University</w:t>
      </w:r>
    </w:p>
    <w:p w14:paraId="26DACC05" w14:textId="2E0A9FE6" w:rsidR="003A0284" w:rsidRPr="00466B54" w:rsidRDefault="003A0284" w:rsidP="00684055">
      <w:pPr>
        <w:spacing w:line="360" w:lineRule="auto"/>
        <w:jc w:val="center"/>
        <w:rPr>
          <w:sz w:val="24"/>
          <w:szCs w:val="24"/>
          <w:rtl/>
        </w:rPr>
      </w:pPr>
    </w:p>
    <w:p w14:paraId="32D1B030" w14:textId="77777777" w:rsidR="003A0284" w:rsidRPr="00466B54" w:rsidRDefault="003A0284" w:rsidP="00684055">
      <w:pPr>
        <w:spacing w:line="360" w:lineRule="auto"/>
        <w:jc w:val="right"/>
        <w:rPr>
          <w:sz w:val="24"/>
          <w:szCs w:val="24"/>
        </w:rPr>
      </w:pPr>
    </w:p>
    <w:p w14:paraId="3160E925" w14:textId="77777777" w:rsidR="003A0284" w:rsidRPr="00466B54" w:rsidRDefault="003A0284" w:rsidP="00684055">
      <w:pPr>
        <w:spacing w:line="360" w:lineRule="auto"/>
        <w:jc w:val="right"/>
        <w:rPr>
          <w:sz w:val="24"/>
          <w:szCs w:val="24"/>
        </w:rPr>
      </w:pPr>
    </w:p>
    <w:p w14:paraId="1A913509" w14:textId="77777777" w:rsidR="00980F57" w:rsidRPr="00466B54" w:rsidRDefault="003A0284" w:rsidP="00684055">
      <w:pPr>
        <w:spacing w:line="360" w:lineRule="auto"/>
        <w:rPr>
          <w:sz w:val="24"/>
          <w:szCs w:val="24"/>
          <w:rtl/>
        </w:rPr>
      </w:pPr>
      <w:r w:rsidRPr="00466B54">
        <w:rPr>
          <w:rFonts w:cstheme="minorHAnsi"/>
          <w:sz w:val="24"/>
          <w:szCs w:val="24"/>
        </w:rPr>
        <w:t xml:space="preserve">   </w:t>
      </w:r>
    </w:p>
    <w:p w14:paraId="52E62914" w14:textId="23880386" w:rsidR="003A0284" w:rsidRPr="00466B54" w:rsidRDefault="00980F57" w:rsidP="00684055">
      <w:pPr>
        <w:spacing w:line="360" w:lineRule="auto"/>
        <w:jc w:val="center"/>
        <w:rPr>
          <w:rFonts w:cs="Times New Roman"/>
          <w:sz w:val="24"/>
          <w:szCs w:val="24"/>
          <w:rtl/>
        </w:rPr>
      </w:pPr>
      <w:r w:rsidRPr="00466B54">
        <w:rPr>
          <w:rFonts w:asciiTheme="majorBidi" w:hAnsiTheme="majorBidi" w:cstheme="majorBidi"/>
          <w:sz w:val="24"/>
          <w:szCs w:val="24"/>
          <w:lang w:val="en-GB"/>
        </w:rPr>
        <w:t>Gender-Related Differences in the</w:t>
      </w:r>
      <w:r w:rsidRPr="00466B54">
        <w:rPr>
          <w:rFonts w:cstheme="minorHAnsi"/>
          <w:sz w:val="24"/>
          <w:szCs w:val="24"/>
        </w:rPr>
        <w:t xml:space="preserve"> </w:t>
      </w:r>
      <w:r w:rsidRPr="00466B54">
        <w:rPr>
          <w:rFonts w:asciiTheme="majorBidi" w:hAnsiTheme="majorBidi" w:cstheme="majorBidi"/>
          <w:sz w:val="24"/>
          <w:szCs w:val="24"/>
          <w:lang w:val="en-GB"/>
        </w:rPr>
        <w:t>Pharmacodynamics of Furosemide</w:t>
      </w:r>
    </w:p>
    <w:p w14:paraId="62C2CAFE" w14:textId="77777777" w:rsidR="00895DAE" w:rsidRPr="00466B54" w:rsidRDefault="00895DAE" w:rsidP="00684055">
      <w:pPr>
        <w:spacing w:line="360" w:lineRule="auto"/>
        <w:jc w:val="right"/>
        <w:rPr>
          <w:sz w:val="24"/>
          <w:szCs w:val="24"/>
        </w:rPr>
      </w:pPr>
      <w:r w:rsidRPr="00466B54">
        <w:rPr>
          <w:sz w:val="24"/>
          <w:szCs w:val="24"/>
        </w:rPr>
        <w:t xml:space="preserve">                             </w:t>
      </w:r>
    </w:p>
    <w:p w14:paraId="65F24D3C" w14:textId="10CAA198" w:rsidR="00895DAE" w:rsidRPr="00466B54" w:rsidRDefault="00895DAE" w:rsidP="00684055">
      <w:pPr>
        <w:spacing w:line="360" w:lineRule="auto"/>
        <w:rPr>
          <w:rFonts w:asciiTheme="majorBidi" w:hAnsiTheme="majorBidi" w:cstheme="majorBidi"/>
          <w:sz w:val="24"/>
          <w:szCs w:val="24"/>
          <w:rtl/>
        </w:rPr>
      </w:pPr>
      <w:r w:rsidRPr="00466B54">
        <w:rPr>
          <w:rFonts w:asciiTheme="majorBidi" w:hAnsiTheme="majorBidi" w:cstheme="majorBidi"/>
          <w:sz w:val="24"/>
          <w:szCs w:val="24"/>
        </w:rPr>
        <w:t xml:space="preserve">  </w:t>
      </w:r>
      <w:r w:rsidRPr="00466B54">
        <w:rPr>
          <w:rFonts w:asciiTheme="majorBidi" w:hAnsiTheme="majorBidi" w:cstheme="majorBidi"/>
          <w:b/>
          <w:bCs/>
          <w:sz w:val="24"/>
          <w:szCs w:val="24"/>
        </w:rPr>
        <w:t>By</w:t>
      </w:r>
      <w:r w:rsidRPr="00466B54">
        <w:rPr>
          <w:rFonts w:asciiTheme="majorBidi" w:hAnsiTheme="majorBidi" w:cstheme="majorBidi"/>
          <w:sz w:val="24"/>
          <w:szCs w:val="24"/>
        </w:rPr>
        <w:t>:</w:t>
      </w:r>
      <w:r w:rsidR="00DD61F3">
        <w:rPr>
          <w:rFonts w:asciiTheme="majorBidi" w:hAnsiTheme="majorBidi" w:cstheme="majorBidi" w:hint="cs"/>
          <w:sz w:val="24"/>
          <w:szCs w:val="24"/>
        </w:rPr>
        <w:t xml:space="preserve">Ali awad Alshagabi </w:t>
      </w:r>
      <w:r w:rsidRPr="00466B54">
        <w:rPr>
          <w:rFonts w:asciiTheme="majorBidi" w:hAnsiTheme="majorBidi" w:cstheme="majorBidi"/>
          <w:sz w:val="24"/>
          <w:szCs w:val="24"/>
        </w:rPr>
        <w:t xml:space="preserve">   </w:t>
      </w:r>
      <w:r w:rsidR="00BB49CF" w:rsidRPr="00466B54">
        <w:rPr>
          <w:rFonts w:asciiTheme="majorBidi" w:hAnsiTheme="majorBidi" w:cstheme="majorBidi"/>
          <w:sz w:val="24"/>
          <w:szCs w:val="24"/>
        </w:rPr>
        <w:t>3</w:t>
      </w:r>
      <w:r w:rsidR="00FB2AD8" w:rsidRPr="00466B54">
        <w:rPr>
          <w:rFonts w:asciiTheme="majorBidi" w:hAnsiTheme="majorBidi" w:cstheme="majorBidi"/>
          <w:sz w:val="24"/>
          <w:szCs w:val="24"/>
          <w:vertAlign w:val="superscript"/>
        </w:rPr>
        <w:t>r</w:t>
      </w:r>
      <w:r w:rsidR="00586E04" w:rsidRPr="00466B54">
        <w:rPr>
          <w:rFonts w:asciiTheme="majorBidi" w:hAnsiTheme="majorBidi" w:cstheme="majorBidi"/>
          <w:sz w:val="24"/>
          <w:szCs w:val="24"/>
          <w:vertAlign w:val="superscript"/>
        </w:rPr>
        <w:t>d</w:t>
      </w:r>
      <w:r w:rsidR="00586E04" w:rsidRPr="00466B54">
        <w:rPr>
          <w:rFonts w:asciiTheme="majorBidi" w:hAnsiTheme="majorBidi" w:cstheme="majorBidi"/>
          <w:sz w:val="24"/>
          <w:szCs w:val="24"/>
        </w:rPr>
        <w:t xml:space="preserve"> year medical science          </w:t>
      </w:r>
      <w:r w:rsidRPr="00466B54">
        <w:rPr>
          <w:rFonts w:asciiTheme="majorBidi" w:hAnsiTheme="majorBidi" w:cstheme="majorBidi"/>
          <w:sz w:val="24"/>
          <w:szCs w:val="24"/>
        </w:rPr>
        <w:t xml:space="preserve">         </w:t>
      </w:r>
    </w:p>
    <w:p w14:paraId="1B89E445" w14:textId="31138FB0" w:rsidR="00586E04" w:rsidRPr="00466B54" w:rsidRDefault="00586E04" w:rsidP="00684055">
      <w:pPr>
        <w:spacing w:line="360" w:lineRule="auto"/>
        <w:jc w:val="right"/>
        <w:rPr>
          <w:rFonts w:asciiTheme="majorBidi" w:hAnsiTheme="majorBidi" w:cstheme="majorBidi"/>
          <w:sz w:val="24"/>
          <w:szCs w:val="24"/>
        </w:rPr>
      </w:pPr>
      <w:r w:rsidRPr="00466B54">
        <w:rPr>
          <w:rFonts w:cs="Arial"/>
          <w:sz w:val="24"/>
          <w:szCs w:val="24"/>
        </w:rPr>
        <w:t xml:space="preserve">                                         </w:t>
      </w:r>
      <w:r w:rsidR="00895DAE" w:rsidRPr="00466B54">
        <w:rPr>
          <w:rFonts w:asciiTheme="majorBidi" w:hAnsiTheme="majorBidi" w:cstheme="majorBidi"/>
          <w:sz w:val="24"/>
          <w:szCs w:val="24"/>
        </w:rPr>
        <w:t>Supervisor</w:t>
      </w:r>
      <w:r w:rsidRPr="00466B54">
        <w:rPr>
          <w:rFonts w:asciiTheme="majorBidi" w:hAnsiTheme="majorBidi" w:cstheme="majorBidi"/>
          <w:sz w:val="24"/>
          <w:szCs w:val="24"/>
        </w:rPr>
        <w:t>:</w:t>
      </w:r>
      <w:r w:rsidR="00E21232">
        <w:rPr>
          <w:rFonts w:asciiTheme="majorBidi" w:hAnsiTheme="majorBidi" w:cstheme="majorBidi" w:hint="cs"/>
          <w:sz w:val="24"/>
          <w:szCs w:val="24"/>
        </w:rPr>
        <w:t xml:space="preserve"> </w:t>
      </w:r>
      <w:r w:rsidR="001036AF">
        <w:rPr>
          <w:rFonts w:asciiTheme="majorBidi" w:hAnsiTheme="majorBidi" w:cstheme="majorBidi" w:hint="cs"/>
          <w:sz w:val="24"/>
          <w:szCs w:val="24"/>
        </w:rPr>
        <w:t>Dr.basma and Dr.hwuida</w:t>
      </w:r>
    </w:p>
    <w:p w14:paraId="3CC722D7" w14:textId="2013EDC2" w:rsidR="00BF418F" w:rsidRPr="00466B54" w:rsidRDefault="00586E04" w:rsidP="003D7576">
      <w:pPr>
        <w:spacing w:line="360" w:lineRule="auto"/>
        <w:jc w:val="right"/>
        <w:rPr>
          <w:rFonts w:asciiTheme="majorBidi" w:hAnsiTheme="majorBidi" w:cstheme="majorBidi"/>
          <w:sz w:val="24"/>
          <w:szCs w:val="24"/>
        </w:rPr>
      </w:pPr>
      <w:r w:rsidRPr="00466B54">
        <w:rPr>
          <w:rFonts w:asciiTheme="majorBidi" w:hAnsiTheme="majorBidi" w:cstheme="majorBidi"/>
          <w:sz w:val="24"/>
          <w:szCs w:val="24"/>
        </w:rPr>
        <w:t xml:space="preserve">                                     </w:t>
      </w:r>
      <w:r w:rsidR="00895DAE" w:rsidRPr="00466B54">
        <w:rPr>
          <w:rFonts w:asciiTheme="majorBidi" w:hAnsiTheme="majorBidi" w:cstheme="majorBidi"/>
          <w:sz w:val="24"/>
          <w:szCs w:val="24"/>
        </w:rPr>
        <w:t>assisted by</w:t>
      </w:r>
      <w:r w:rsidRPr="00466B54">
        <w:rPr>
          <w:rFonts w:asciiTheme="majorBidi" w:hAnsiTheme="majorBidi" w:cstheme="majorBidi"/>
          <w:sz w:val="24"/>
          <w:szCs w:val="24"/>
        </w:rPr>
        <w:t>:</w:t>
      </w:r>
      <w:r w:rsidR="00B40766" w:rsidRPr="00466B54">
        <w:rPr>
          <w:rFonts w:asciiTheme="majorBidi" w:hAnsiTheme="majorBidi" w:cstheme="majorBidi"/>
          <w:sz w:val="24"/>
          <w:szCs w:val="24"/>
        </w:rPr>
        <w:t xml:space="preserve"> </w:t>
      </w:r>
      <w:r w:rsidR="00F03C3F">
        <w:rPr>
          <w:rFonts w:asciiTheme="majorBidi" w:hAnsiTheme="majorBidi" w:cstheme="majorBidi" w:hint="cs"/>
          <w:sz w:val="24"/>
          <w:szCs w:val="24"/>
        </w:rPr>
        <w:t xml:space="preserve">Dr.Ahmad </w:t>
      </w:r>
      <w:r w:rsidR="00D30147">
        <w:rPr>
          <w:rFonts w:asciiTheme="majorBidi" w:hAnsiTheme="majorBidi" w:cstheme="majorBidi" w:hint="cs"/>
          <w:sz w:val="24"/>
          <w:szCs w:val="24"/>
        </w:rPr>
        <w:t>aljebani</w:t>
      </w:r>
      <w:r w:rsidRPr="00466B54">
        <w:rPr>
          <w:rFonts w:asciiTheme="majorBidi" w:hAnsiTheme="majorBidi" w:cstheme="majorBidi" w:hint="cs"/>
          <w:sz w:val="24"/>
          <w:szCs w:val="24"/>
          <w:rtl/>
        </w:rPr>
        <w:t xml:space="preserve">                                       </w:t>
      </w:r>
    </w:p>
    <w:p w14:paraId="3A5A0471" w14:textId="77777777" w:rsidR="00BF418F" w:rsidRPr="00466B54" w:rsidRDefault="00BF418F" w:rsidP="00BF418F">
      <w:pPr>
        <w:spacing w:line="360" w:lineRule="auto"/>
        <w:jc w:val="right"/>
        <w:rPr>
          <w:rFonts w:asciiTheme="majorBidi" w:hAnsiTheme="majorBidi" w:cstheme="majorBidi"/>
          <w:sz w:val="24"/>
          <w:szCs w:val="24"/>
        </w:rPr>
      </w:pPr>
    </w:p>
    <w:p w14:paraId="263D0FC3" w14:textId="14EE3BD0" w:rsidR="00B25E4C" w:rsidRPr="00466B54" w:rsidRDefault="00586E04" w:rsidP="00BF418F">
      <w:pPr>
        <w:spacing w:line="360" w:lineRule="auto"/>
        <w:jc w:val="right"/>
        <w:rPr>
          <w:rFonts w:asciiTheme="majorBidi" w:hAnsiTheme="majorBidi" w:cstheme="majorBidi"/>
          <w:sz w:val="24"/>
          <w:szCs w:val="24"/>
        </w:rPr>
      </w:pPr>
      <w:r w:rsidRPr="00466B54">
        <w:rPr>
          <w:rFonts w:asciiTheme="majorBidi" w:hAnsiTheme="majorBidi" w:cstheme="majorBidi"/>
          <w:sz w:val="24"/>
          <w:szCs w:val="24"/>
        </w:rPr>
        <w:t>Date of submission:</w:t>
      </w:r>
      <w:r w:rsidR="00933ED7">
        <w:rPr>
          <w:rFonts w:asciiTheme="majorBidi" w:hAnsiTheme="majorBidi" w:cstheme="majorBidi" w:hint="cs"/>
          <w:sz w:val="24"/>
          <w:szCs w:val="24"/>
        </w:rPr>
        <w:t>2022/6</w:t>
      </w:r>
      <w:r w:rsidR="00E2641A">
        <w:rPr>
          <w:rFonts w:asciiTheme="majorBidi" w:hAnsiTheme="majorBidi" w:cstheme="majorBidi" w:hint="cs"/>
          <w:sz w:val="24"/>
          <w:szCs w:val="24"/>
        </w:rPr>
        <w:t>/20</w:t>
      </w:r>
    </w:p>
    <w:p w14:paraId="14DB0CAD" w14:textId="13F473B6" w:rsidR="00466B54" w:rsidRDefault="00466B54" w:rsidP="00E2641A">
      <w:pPr>
        <w:spacing w:line="360" w:lineRule="auto"/>
        <w:rPr>
          <w:rFonts w:asciiTheme="majorBidi" w:eastAsia="Times New Roman" w:hAnsiTheme="majorBidi" w:cstheme="majorBidi"/>
          <w:b/>
          <w:bCs/>
          <w:sz w:val="24"/>
          <w:szCs w:val="24"/>
          <w:rtl/>
        </w:rPr>
      </w:pPr>
      <w:bookmarkStart w:id="1" w:name="_Hlk3030201"/>
    </w:p>
    <w:p w14:paraId="2407BA00" w14:textId="57776445" w:rsidR="0013235C" w:rsidRDefault="0013235C" w:rsidP="00E2641A">
      <w:pPr>
        <w:spacing w:line="360" w:lineRule="auto"/>
        <w:rPr>
          <w:rFonts w:asciiTheme="majorBidi" w:eastAsia="Times New Roman" w:hAnsiTheme="majorBidi" w:cstheme="majorBidi"/>
          <w:b/>
          <w:bCs/>
          <w:sz w:val="24"/>
          <w:szCs w:val="24"/>
          <w:rtl/>
        </w:rPr>
      </w:pPr>
    </w:p>
    <w:p w14:paraId="1A4E95D8" w14:textId="53D72CB9" w:rsidR="0013235C" w:rsidRDefault="0013235C" w:rsidP="00E2641A">
      <w:pPr>
        <w:spacing w:line="360" w:lineRule="auto"/>
        <w:rPr>
          <w:rFonts w:asciiTheme="majorBidi" w:eastAsia="Times New Roman" w:hAnsiTheme="majorBidi" w:cstheme="majorBidi"/>
          <w:b/>
          <w:bCs/>
          <w:sz w:val="24"/>
          <w:szCs w:val="24"/>
          <w:rtl/>
        </w:rPr>
      </w:pPr>
    </w:p>
    <w:p w14:paraId="00DBAA53" w14:textId="401E491E" w:rsidR="0013235C" w:rsidRDefault="0013235C" w:rsidP="00E2641A">
      <w:pPr>
        <w:spacing w:line="360" w:lineRule="auto"/>
        <w:rPr>
          <w:rFonts w:asciiTheme="majorBidi" w:eastAsia="Times New Roman" w:hAnsiTheme="majorBidi" w:cstheme="majorBidi"/>
          <w:b/>
          <w:bCs/>
          <w:sz w:val="24"/>
          <w:szCs w:val="24"/>
          <w:rtl/>
        </w:rPr>
      </w:pPr>
    </w:p>
    <w:p w14:paraId="64E7E707" w14:textId="77777777" w:rsidR="0074669F" w:rsidRDefault="0074669F" w:rsidP="00E2641A">
      <w:pPr>
        <w:spacing w:line="360" w:lineRule="auto"/>
        <w:rPr>
          <w:rFonts w:asciiTheme="majorBidi" w:eastAsia="Times New Roman" w:hAnsiTheme="majorBidi" w:cstheme="majorBidi"/>
          <w:b/>
          <w:bCs/>
          <w:sz w:val="24"/>
          <w:szCs w:val="24"/>
          <w:rtl/>
        </w:rPr>
      </w:pPr>
    </w:p>
    <w:p w14:paraId="438E01B9" w14:textId="77777777" w:rsidR="00466B54" w:rsidRDefault="00466B54" w:rsidP="001B007E">
      <w:pPr>
        <w:spacing w:line="360" w:lineRule="auto"/>
        <w:rPr>
          <w:rFonts w:asciiTheme="majorBidi" w:eastAsia="Times New Roman" w:hAnsiTheme="majorBidi" w:cstheme="majorBidi"/>
          <w:b/>
          <w:bCs/>
          <w:sz w:val="24"/>
          <w:szCs w:val="24"/>
        </w:rPr>
      </w:pPr>
    </w:p>
    <w:p w14:paraId="1AC52CD3" w14:textId="39E4FDC2" w:rsidR="00586E04" w:rsidRPr="00466B54" w:rsidRDefault="00586E04" w:rsidP="00684055">
      <w:pPr>
        <w:spacing w:line="360" w:lineRule="auto"/>
        <w:jc w:val="right"/>
        <w:rPr>
          <w:rFonts w:asciiTheme="majorBidi" w:hAnsiTheme="majorBidi" w:cstheme="majorBidi"/>
          <w:b/>
          <w:bCs/>
          <w:sz w:val="28"/>
          <w:szCs w:val="28"/>
          <w:rtl/>
        </w:rPr>
      </w:pPr>
      <w:r w:rsidRPr="00466B54">
        <w:rPr>
          <w:rFonts w:asciiTheme="majorBidi" w:eastAsia="Times New Roman" w:hAnsiTheme="majorBidi" w:cstheme="majorBidi"/>
          <w:b/>
          <w:bCs/>
          <w:sz w:val="28"/>
          <w:szCs w:val="28"/>
        </w:rPr>
        <w:t>Abstract</w:t>
      </w:r>
    </w:p>
    <w:p w14:paraId="7EE61570" w14:textId="363524F8" w:rsidR="00F9696A" w:rsidRPr="00466B54" w:rsidRDefault="00C9735E" w:rsidP="00F9696A">
      <w:pPr>
        <w:bidi w:val="0"/>
        <w:spacing w:after="160" w:line="360" w:lineRule="auto"/>
        <w:jc w:val="both"/>
        <w:rPr>
          <w:rFonts w:asciiTheme="majorBidi" w:eastAsia="Times New Roman" w:hAnsiTheme="majorBidi" w:cstheme="majorBidi"/>
          <w:sz w:val="24"/>
          <w:szCs w:val="24"/>
        </w:rPr>
      </w:pPr>
      <w:r w:rsidRPr="00466B54">
        <w:rPr>
          <w:rFonts w:asciiTheme="majorBidi" w:hAnsiTheme="majorBidi" w:cstheme="majorBidi"/>
          <w:color w:val="000000"/>
          <w:sz w:val="24"/>
          <w:szCs w:val="24"/>
        </w:rPr>
        <w:t xml:space="preserve">Furosemide is a loop diuretic that has been around for a long time. Furosemide has been approved by the Food and Drug Administration (FDA) to treat conditions characterized by volume overload and edema as a result of congestive heart failure exacerbation, liver failure, or renal failure, including the nephrotic </w:t>
      </w:r>
      <w:r w:rsidR="00F9696A" w:rsidRPr="00466B54">
        <w:rPr>
          <w:rFonts w:asciiTheme="majorBidi" w:hAnsiTheme="majorBidi" w:cstheme="majorBidi"/>
          <w:color w:val="000000"/>
          <w:sz w:val="24"/>
          <w:szCs w:val="24"/>
        </w:rPr>
        <w:t>syndrome. Historically</w:t>
      </w:r>
      <w:r w:rsidRPr="00466B54">
        <w:rPr>
          <w:rFonts w:asciiTheme="majorBidi" w:hAnsiTheme="majorBidi" w:cstheme="majorBidi"/>
          <w:color w:val="000000"/>
          <w:sz w:val="24"/>
          <w:szCs w:val="24"/>
        </w:rPr>
        <w:t xml:space="preserve">, there has been a scarcity of information on female pharmacokinetics and the possibility of gender differences in the relationships between dose and efficacy or dose and adverse drug reactions. Only a few </w:t>
      </w:r>
      <w:r w:rsidR="006B49A6" w:rsidRPr="00466B54">
        <w:rPr>
          <w:rFonts w:asciiTheme="majorBidi" w:hAnsiTheme="majorBidi" w:cstheme="majorBidi"/>
          <w:color w:val="000000"/>
          <w:sz w:val="24"/>
          <w:szCs w:val="24"/>
        </w:rPr>
        <w:t>studies were</w:t>
      </w:r>
      <w:r w:rsidRPr="00466B54">
        <w:rPr>
          <w:rFonts w:asciiTheme="majorBidi" w:hAnsiTheme="majorBidi" w:cstheme="majorBidi"/>
          <w:color w:val="000000"/>
          <w:sz w:val="24"/>
          <w:szCs w:val="24"/>
        </w:rPr>
        <w:t xml:space="preserve"> able to clearly identify clinically significant gender effects in terms of pharmacodynamics. Because females make up roughly half of any species' population, it is appropriate to consider the effect of sex on drug pharmacokinetics and </w:t>
      </w:r>
      <w:r w:rsidR="006B49A6" w:rsidRPr="00466B54">
        <w:rPr>
          <w:rFonts w:asciiTheme="majorBidi" w:hAnsiTheme="majorBidi" w:cstheme="majorBidi"/>
          <w:color w:val="000000"/>
          <w:sz w:val="24"/>
          <w:szCs w:val="24"/>
        </w:rPr>
        <w:t>pharmacodynamics, of</w:t>
      </w:r>
      <w:r w:rsidR="00F9696A" w:rsidRPr="00466B54">
        <w:rPr>
          <w:rFonts w:asciiTheme="majorBidi" w:hAnsiTheme="majorBidi" w:cstheme="majorBidi"/>
          <w:color w:val="000000"/>
          <w:sz w:val="24"/>
          <w:szCs w:val="24"/>
        </w:rPr>
        <w:t xml:space="preserve"> study to show gender difference in Pharmacodynamics of furosemide in human.</w:t>
      </w:r>
      <w:r w:rsidR="00F9696A" w:rsidRPr="00466B54">
        <w:rPr>
          <w:rFonts w:asciiTheme="majorBidi" w:eastAsia="Times New Roman" w:hAnsiTheme="majorBidi" w:cstheme="majorBidi"/>
          <w:sz w:val="24"/>
          <w:szCs w:val="24"/>
        </w:rPr>
        <w:t xml:space="preserve"> there was no statistically significant difference between male and female subjects in terms of urine flow rate, sodium, and potassium excretion rates along the course of treatments</w:t>
      </w:r>
      <w:r w:rsidR="00466B54" w:rsidRPr="00466B54">
        <w:rPr>
          <w:rFonts w:asciiTheme="majorBidi" w:hAnsiTheme="majorBidi" w:cstheme="majorBidi"/>
          <w:color w:val="000000"/>
          <w:sz w:val="24"/>
          <w:szCs w:val="24"/>
        </w:rPr>
        <w:t>,</w:t>
      </w:r>
      <w:r w:rsidR="00466B54" w:rsidRPr="00466B54">
        <w:rPr>
          <w:rFonts w:asciiTheme="majorBidi" w:eastAsia="Times New Roman" w:hAnsiTheme="majorBidi" w:cstheme="majorBidi"/>
          <w:sz w:val="24"/>
          <w:szCs w:val="24"/>
        </w:rPr>
        <w:t xml:space="preserve"> there was no statistically significant difference between male and female subjects in terms of urine flow rate, sodium, and potassium excretion rates along the course of treatments</w:t>
      </w:r>
      <w:r w:rsidR="00F9696A" w:rsidRPr="00466B54">
        <w:rPr>
          <w:rFonts w:asciiTheme="majorBidi" w:hAnsiTheme="majorBidi" w:cstheme="majorBidi"/>
          <w:color w:val="000000"/>
          <w:sz w:val="24"/>
          <w:szCs w:val="24"/>
        </w:rPr>
        <w:t xml:space="preserve">  </w:t>
      </w:r>
    </w:p>
    <w:p w14:paraId="12F32112" w14:textId="3F0E3BAB" w:rsidR="00012EBA" w:rsidRPr="00466B54" w:rsidRDefault="00012EBA" w:rsidP="003D7576">
      <w:pPr>
        <w:bidi w:val="0"/>
        <w:spacing w:after="160" w:line="360" w:lineRule="auto"/>
        <w:jc w:val="both"/>
        <w:rPr>
          <w:rFonts w:asciiTheme="majorBidi" w:eastAsia="Times New Roman" w:hAnsiTheme="majorBidi" w:cstheme="majorBidi"/>
          <w:b/>
          <w:bCs/>
          <w:sz w:val="24"/>
          <w:szCs w:val="24"/>
        </w:rPr>
      </w:pPr>
    </w:p>
    <w:p w14:paraId="393EF44A" w14:textId="77777777" w:rsidR="00012EBA" w:rsidRPr="00466B54" w:rsidRDefault="00012EBA" w:rsidP="00684055">
      <w:pPr>
        <w:bidi w:val="0"/>
        <w:spacing w:after="160" w:line="360" w:lineRule="auto"/>
        <w:rPr>
          <w:rFonts w:asciiTheme="majorBidi" w:eastAsia="Times New Roman" w:hAnsiTheme="majorBidi" w:cstheme="majorBidi"/>
          <w:b/>
          <w:bCs/>
          <w:sz w:val="24"/>
          <w:szCs w:val="24"/>
        </w:rPr>
      </w:pPr>
    </w:p>
    <w:p w14:paraId="18A0A0F2" w14:textId="77777777" w:rsidR="00466B54" w:rsidRDefault="00466B54" w:rsidP="00684055">
      <w:pPr>
        <w:bidi w:val="0"/>
        <w:spacing w:after="160" w:line="360" w:lineRule="auto"/>
        <w:rPr>
          <w:rFonts w:asciiTheme="majorBidi" w:eastAsia="Times New Roman" w:hAnsiTheme="majorBidi" w:cstheme="majorBidi"/>
          <w:b/>
          <w:bCs/>
          <w:sz w:val="24"/>
          <w:szCs w:val="24"/>
        </w:rPr>
      </w:pPr>
    </w:p>
    <w:p w14:paraId="43A3DA03" w14:textId="79179449" w:rsidR="00586E04" w:rsidRPr="00466B54" w:rsidRDefault="005E168B" w:rsidP="00466B54">
      <w:pPr>
        <w:bidi w:val="0"/>
        <w:spacing w:after="160" w:line="360" w:lineRule="auto"/>
        <w:rPr>
          <w:rFonts w:asciiTheme="majorBidi" w:eastAsia="Times New Roman" w:hAnsiTheme="majorBidi" w:cstheme="majorBidi"/>
          <w:b/>
          <w:bCs/>
          <w:color w:val="44546A" w:themeColor="text2"/>
          <w:sz w:val="28"/>
          <w:szCs w:val="28"/>
        </w:rPr>
      </w:pPr>
      <w:r w:rsidRPr="00466B54">
        <w:rPr>
          <w:rFonts w:asciiTheme="majorBidi" w:eastAsia="Times New Roman" w:hAnsiTheme="majorBidi" w:cstheme="majorBidi"/>
          <w:b/>
          <w:bCs/>
          <w:sz w:val="28"/>
          <w:szCs w:val="28"/>
        </w:rPr>
        <w:t>I</w:t>
      </w:r>
      <w:r w:rsidR="00586E04" w:rsidRPr="00466B54">
        <w:rPr>
          <w:rFonts w:asciiTheme="majorBidi" w:eastAsia="Times New Roman" w:hAnsiTheme="majorBidi" w:cstheme="majorBidi"/>
          <w:b/>
          <w:bCs/>
          <w:sz w:val="28"/>
          <w:szCs w:val="28"/>
        </w:rPr>
        <w:t>ntroduction</w:t>
      </w:r>
    </w:p>
    <w:p w14:paraId="2D172392" w14:textId="2F7EC731" w:rsidR="00682C2E" w:rsidRPr="00466B54" w:rsidRDefault="00682C2E" w:rsidP="00682C2E">
      <w:pPr>
        <w:bidi w:val="0"/>
        <w:spacing w:after="160" w:line="360" w:lineRule="auto"/>
        <w:jc w:val="both"/>
        <w:rPr>
          <w:rFonts w:asciiTheme="majorBidi" w:eastAsia="Times New Roman" w:hAnsiTheme="majorBidi" w:cstheme="majorBidi"/>
          <w:sz w:val="24"/>
          <w:szCs w:val="24"/>
        </w:rPr>
      </w:pPr>
      <w:bookmarkStart w:id="2" w:name="_Hlk3030246"/>
      <w:r w:rsidRPr="00682C2E">
        <w:rPr>
          <w:rFonts w:asciiTheme="majorBidi" w:eastAsia="Times New Roman" w:hAnsiTheme="majorBidi" w:cstheme="majorBidi"/>
          <w:sz w:val="24"/>
          <w:szCs w:val="24"/>
        </w:rPr>
        <w:t>Furosemide is a loop diuretic that has been in use for decades. The Food and Drug Administration (FDA) has approved furosemide to treat conditions with volume overload and edema secondary to congestive heart failure exacerbation, liver failure, or renal failure, including the nephrotic syndrome. However, clinicians must be aware of updates related to the indications and administration of furosemide to ensure safe practices and minimize adverse effects. This activity reviews updates on the recommended use of furosemide, the mechanism of action, indications, contraindications, adverse effects, toxicity, and other key factors (e.g., off-label uses, dosing, pharmacokinetics, monitoring, relevant interactions) profile. It highlights the interprofessional team's role in caring for patients on furosemide therapy.</w:t>
      </w:r>
    </w:p>
    <w:p w14:paraId="56EE4C49" w14:textId="14CE4AEB" w:rsidR="00682C2E" w:rsidRPr="006B49A6" w:rsidRDefault="00682C2E" w:rsidP="007F483A">
      <w:pPr>
        <w:bidi w:val="0"/>
        <w:spacing w:after="160" w:line="360" w:lineRule="auto"/>
        <w:jc w:val="both"/>
        <w:rPr>
          <w:rFonts w:asciiTheme="majorBidi" w:eastAsia="Times New Roman" w:hAnsiTheme="majorBidi" w:cstheme="majorBidi"/>
          <w:sz w:val="24"/>
          <w:szCs w:val="24"/>
          <w:vertAlign w:val="superscript"/>
        </w:rPr>
      </w:pPr>
      <w:r w:rsidRPr="00466B54">
        <w:rPr>
          <w:rFonts w:asciiTheme="majorBidi" w:eastAsia="Times New Roman" w:hAnsiTheme="majorBidi" w:cstheme="majorBidi"/>
          <w:sz w:val="24"/>
          <w:szCs w:val="24"/>
        </w:rPr>
        <w:t>Furosemide inhibits tubular reabsorption of sodium and chloride in the proximal and distal tubules and the thick ascending loop of Henle by inhibiting the sodium-chloride cotransport system resulting in excessive excretion of water along with sodium, chloride, magnesium, and calcium.</w:t>
      </w:r>
      <w:r w:rsidR="007F483A" w:rsidRPr="00466B54">
        <w:rPr>
          <w:rFonts w:asciiTheme="majorBidi" w:eastAsia="Times New Roman" w:hAnsiTheme="majorBidi" w:cstheme="majorBidi"/>
          <w:sz w:val="24"/>
          <w:szCs w:val="24"/>
        </w:rPr>
        <w:t xml:space="preserve"> </w:t>
      </w:r>
      <w:r w:rsidRPr="00682C2E">
        <w:rPr>
          <w:rFonts w:asciiTheme="majorBidi" w:eastAsia="Times New Roman" w:hAnsiTheme="majorBidi" w:cstheme="majorBidi"/>
          <w:sz w:val="24"/>
          <w:szCs w:val="24"/>
        </w:rPr>
        <w:t>The onset of action of furosemide is usually within the first hour of oral furosemide intake, and it takes the first 1 to 2 hours to achieve a peak effect. The mean bioavailability of oral furosemide is 51% compared with the bioavailability of intravenously administered furosemide</w:t>
      </w:r>
      <w:r w:rsidR="006B49A6">
        <w:rPr>
          <w:rFonts w:asciiTheme="majorBidi" w:eastAsia="Times New Roman" w:hAnsiTheme="majorBidi" w:cstheme="majorBidi"/>
          <w:sz w:val="24"/>
          <w:szCs w:val="24"/>
        </w:rPr>
        <w:t>.</w:t>
      </w:r>
      <w:r w:rsidR="006B49A6">
        <w:rPr>
          <w:rFonts w:asciiTheme="majorBidi" w:eastAsia="Times New Roman" w:hAnsiTheme="majorBidi" w:cstheme="majorBidi"/>
          <w:sz w:val="24"/>
          <w:szCs w:val="24"/>
          <w:vertAlign w:val="superscript"/>
        </w:rPr>
        <w:t>1,2</w:t>
      </w:r>
    </w:p>
    <w:p w14:paraId="1C4D3339" w14:textId="3A71A793" w:rsidR="00682C2E" w:rsidRPr="00682C2E" w:rsidRDefault="00682C2E" w:rsidP="00682C2E">
      <w:pPr>
        <w:bidi w:val="0"/>
        <w:spacing w:after="160" w:line="360" w:lineRule="auto"/>
        <w:jc w:val="both"/>
        <w:rPr>
          <w:rFonts w:asciiTheme="majorBidi" w:eastAsia="Times New Roman" w:hAnsiTheme="majorBidi" w:cstheme="majorBidi"/>
          <w:b/>
          <w:bCs/>
          <w:sz w:val="28"/>
          <w:szCs w:val="28"/>
        </w:rPr>
      </w:pPr>
      <w:r w:rsidRPr="00466B54">
        <w:rPr>
          <w:rFonts w:asciiTheme="majorBidi" w:eastAsia="Times New Roman" w:hAnsiTheme="majorBidi" w:cstheme="majorBidi"/>
          <w:b/>
          <w:bCs/>
          <w:sz w:val="28"/>
          <w:szCs w:val="28"/>
        </w:rPr>
        <w:t xml:space="preserve">Aim </w:t>
      </w:r>
    </w:p>
    <w:p w14:paraId="35F27C11" w14:textId="58F4B55E" w:rsidR="00980F57" w:rsidRPr="00466B54" w:rsidRDefault="008A367D" w:rsidP="00682C2E">
      <w:pPr>
        <w:bidi w:val="0"/>
        <w:spacing w:after="160" w:line="360" w:lineRule="auto"/>
        <w:jc w:val="both"/>
        <w:rPr>
          <w:rFonts w:asciiTheme="majorBidi" w:eastAsia="Times New Roman" w:hAnsiTheme="majorBidi" w:cstheme="majorBidi"/>
          <w:sz w:val="24"/>
          <w:szCs w:val="24"/>
        </w:rPr>
      </w:pPr>
      <w:r w:rsidRPr="00466B54">
        <w:rPr>
          <w:rFonts w:asciiTheme="majorBidi" w:hAnsiTheme="majorBidi" w:cstheme="majorBidi"/>
          <w:color w:val="000000"/>
          <w:sz w:val="24"/>
          <w:szCs w:val="24"/>
        </w:rPr>
        <w:t>Aim of study to show gender difference in Pharmacodynamics of furosemide in human</w:t>
      </w:r>
      <w:r w:rsidR="00012EBA" w:rsidRPr="00466B54">
        <w:rPr>
          <w:rFonts w:asciiTheme="majorBidi" w:hAnsiTheme="majorBidi" w:cstheme="majorBidi"/>
          <w:color w:val="000000"/>
          <w:sz w:val="24"/>
          <w:szCs w:val="24"/>
        </w:rPr>
        <w:t>.</w:t>
      </w:r>
      <w:r w:rsidRPr="00466B54">
        <w:rPr>
          <w:rFonts w:asciiTheme="majorBidi" w:hAnsiTheme="majorBidi" w:cstheme="majorBidi"/>
          <w:color w:val="000000"/>
          <w:sz w:val="24"/>
          <w:szCs w:val="24"/>
        </w:rPr>
        <w:t xml:space="preserve">  </w:t>
      </w:r>
    </w:p>
    <w:p w14:paraId="1C7BA0E0" w14:textId="328E6E92" w:rsidR="00107145" w:rsidRPr="00466B54" w:rsidRDefault="005D4AE9" w:rsidP="00684055">
      <w:pPr>
        <w:autoSpaceDE w:val="0"/>
        <w:autoSpaceDN w:val="0"/>
        <w:bidi w:val="0"/>
        <w:adjustRightInd w:val="0"/>
        <w:spacing w:after="0" w:line="360" w:lineRule="auto"/>
        <w:jc w:val="both"/>
        <w:rPr>
          <w:rFonts w:asciiTheme="majorBidi" w:hAnsiTheme="majorBidi" w:cstheme="majorBidi"/>
          <w:color w:val="000000"/>
          <w:sz w:val="28"/>
          <w:szCs w:val="28"/>
        </w:rPr>
      </w:pPr>
      <w:r w:rsidRPr="00466B54">
        <w:rPr>
          <w:rFonts w:asciiTheme="majorBidi" w:eastAsia="Times New Roman" w:hAnsiTheme="majorBidi" w:cstheme="majorBidi"/>
          <w:b/>
          <w:bCs/>
          <w:sz w:val="28"/>
          <w:szCs w:val="28"/>
        </w:rPr>
        <w:t xml:space="preserve">Methods and material </w:t>
      </w:r>
    </w:p>
    <w:p w14:paraId="5FA8AEB3" w14:textId="188C623C" w:rsidR="008A367D" w:rsidRPr="006B49A6" w:rsidRDefault="00FF1E11" w:rsidP="00684055">
      <w:pPr>
        <w:bidi w:val="0"/>
        <w:spacing w:after="160" w:line="360" w:lineRule="auto"/>
        <w:jc w:val="both"/>
        <w:rPr>
          <w:rFonts w:asciiTheme="majorBidi" w:eastAsia="Times New Roman" w:hAnsiTheme="majorBidi" w:cstheme="majorBidi"/>
          <w:sz w:val="24"/>
          <w:szCs w:val="24"/>
          <w:vertAlign w:val="superscript"/>
          <w:rtl/>
        </w:rPr>
      </w:pPr>
      <w:r w:rsidRPr="00466B54">
        <w:rPr>
          <w:rFonts w:asciiTheme="majorBidi" w:eastAsia="Times New Roman" w:hAnsiTheme="majorBidi" w:cstheme="majorBidi"/>
          <w:sz w:val="24"/>
          <w:szCs w:val="24"/>
        </w:rPr>
        <w:t>In six male and six female normal volunteers, the diuretic response to oral hydrochlorothiazide, oral and intravenous furosemide was measured. On four successive days, each participant received single doses of the various diuretics or no therapy after fasting overnight. Over the next 24 hours, total urine production was collected for volume measurement and salt and potassium concentration testing</w:t>
      </w:r>
      <w:r w:rsidRPr="00466B54">
        <w:rPr>
          <w:rFonts w:asciiTheme="majorBidi" w:eastAsia="Times New Roman" w:hAnsiTheme="majorBidi" w:cs="Times New Roman"/>
          <w:sz w:val="24"/>
          <w:szCs w:val="24"/>
          <w:rtl/>
        </w:rPr>
        <w:t>.</w:t>
      </w:r>
      <w:r w:rsidR="006B49A6">
        <w:rPr>
          <w:rFonts w:asciiTheme="majorBidi" w:eastAsia="Times New Roman" w:hAnsiTheme="majorBidi" w:cstheme="majorBidi"/>
          <w:sz w:val="24"/>
          <w:szCs w:val="24"/>
          <w:vertAlign w:val="superscript"/>
        </w:rPr>
        <w:t>1, 2</w:t>
      </w:r>
    </w:p>
    <w:p w14:paraId="066B4417" w14:textId="77777777" w:rsidR="00684055" w:rsidRPr="00466B54" w:rsidRDefault="00684055" w:rsidP="00A06DEE">
      <w:pPr>
        <w:spacing w:after="160" w:line="360" w:lineRule="auto"/>
        <w:ind w:right="640"/>
        <w:jc w:val="right"/>
        <w:rPr>
          <w:rFonts w:asciiTheme="majorBidi" w:eastAsia="Times New Roman" w:hAnsiTheme="majorBidi" w:cstheme="majorBidi"/>
          <w:b/>
          <w:bCs/>
          <w:sz w:val="24"/>
          <w:szCs w:val="24"/>
        </w:rPr>
      </w:pPr>
    </w:p>
    <w:p w14:paraId="0BDBB3DE" w14:textId="77777777" w:rsidR="00466B54" w:rsidRDefault="00466B54" w:rsidP="00632227">
      <w:pPr>
        <w:bidi w:val="0"/>
        <w:spacing w:after="160" w:line="360" w:lineRule="auto"/>
        <w:ind w:right="640"/>
        <w:rPr>
          <w:rFonts w:asciiTheme="majorBidi" w:eastAsia="Times New Roman" w:hAnsiTheme="majorBidi" w:cstheme="majorBidi"/>
          <w:b/>
          <w:bCs/>
          <w:sz w:val="24"/>
          <w:szCs w:val="24"/>
        </w:rPr>
      </w:pPr>
    </w:p>
    <w:p w14:paraId="5D4C7F85" w14:textId="77777777" w:rsidR="00466B54" w:rsidRDefault="00466B54" w:rsidP="00466B54">
      <w:pPr>
        <w:bidi w:val="0"/>
        <w:spacing w:after="160" w:line="360" w:lineRule="auto"/>
        <w:ind w:right="640"/>
        <w:rPr>
          <w:rFonts w:asciiTheme="majorBidi" w:eastAsia="Times New Roman" w:hAnsiTheme="majorBidi" w:cstheme="majorBidi"/>
          <w:b/>
          <w:bCs/>
          <w:sz w:val="24"/>
          <w:szCs w:val="24"/>
        </w:rPr>
      </w:pPr>
    </w:p>
    <w:p w14:paraId="51781871" w14:textId="77777777" w:rsidR="00466B54" w:rsidRDefault="00466B54" w:rsidP="00466B54">
      <w:pPr>
        <w:bidi w:val="0"/>
        <w:spacing w:after="160" w:line="360" w:lineRule="auto"/>
        <w:ind w:right="640"/>
        <w:rPr>
          <w:rFonts w:asciiTheme="majorBidi" w:eastAsia="Times New Roman" w:hAnsiTheme="majorBidi" w:cstheme="majorBidi"/>
          <w:b/>
          <w:bCs/>
          <w:sz w:val="24"/>
          <w:szCs w:val="24"/>
        </w:rPr>
      </w:pPr>
    </w:p>
    <w:p w14:paraId="31286AC5" w14:textId="5AC4F857" w:rsidR="002A5051" w:rsidRPr="00466B54" w:rsidRDefault="00572928" w:rsidP="00466B54">
      <w:pPr>
        <w:bidi w:val="0"/>
        <w:spacing w:after="160" w:line="360" w:lineRule="auto"/>
        <w:ind w:right="640"/>
        <w:rPr>
          <w:rFonts w:asciiTheme="majorBidi" w:eastAsia="Times New Roman" w:hAnsiTheme="majorBidi" w:cstheme="majorBidi"/>
          <w:b/>
          <w:bCs/>
          <w:sz w:val="24"/>
          <w:szCs w:val="24"/>
        </w:rPr>
      </w:pPr>
      <w:r w:rsidRPr="00466B54">
        <w:rPr>
          <w:rFonts w:asciiTheme="majorBidi" w:eastAsia="Times New Roman" w:hAnsiTheme="majorBidi" w:cstheme="majorBidi"/>
          <w:b/>
          <w:bCs/>
          <w:sz w:val="24"/>
          <w:szCs w:val="24"/>
        </w:rPr>
        <w:t>Resul</w:t>
      </w:r>
      <w:r w:rsidR="007506CF" w:rsidRPr="00466B54">
        <w:rPr>
          <w:rFonts w:asciiTheme="majorBidi" w:eastAsia="Times New Roman" w:hAnsiTheme="majorBidi" w:cstheme="majorBidi"/>
          <w:b/>
          <w:bCs/>
          <w:sz w:val="24"/>
          <w:szCs w:val="24"/>
        </w:rPr>
        <w:t>t</w:t>
      </w:r>
      <w:r w:rsidR="00632227" w:rsidRPr="00466B54">
        <w:rPr>
          <w:rFonts w:asciiTheme="majorBidi" w:eastAsia="Times New Roman" w:hAnsiTheme="majorBidi" w:cstheme="majorBidi"/>
          <w:b/>
          <w:bCs/>
          <w:sz w:val="24"/>
          <w:szCs w:val="24"/>
        </w:rPr>
        <w:t xml:space="preserve"> &amp; Discussion</w:t>
      </w:r>
    </w:p>
    <w:p w14:paraId="74698C84" w14:textId="041E9A42" w:rsidR="00107145" w:rsidRPr="00466B54" w:rsidRDefault="00980F57" w:rsidP="00684055">
      <w:pPr>
        <w:spacing w:after="160" w:line="360" w:lineRule="auto"/>
        <w:jc w:val="right"/>
        <w:rPr>
          <w:rFonts w:asciiTheme="majorBidi" w:eastAsia="Times New Roman" w:hAnsiTheme="majorBidi" w:cstheme="majorBidi"/>
          <w:b/>
          <w:bCs/>
          <w:sz w:val="24"/>
          <w:szCs w:val="24"/>
        </w:rPr>
      </w:pPr>
      <w:r w:rsidRPr="00466B54">
        <w:rPr>
          <w:noProof/>
          <w:sz w:val="24"/>
          <w:szCs w:val="24"/>
        </w:rPr>
        <w:drawing>
          <wp:inline distT="0" distB="0" distL="0" distR="0" wp14:anchorId="25109511" wp14:editId="68AF82AE">
            <wp:extent cx="5274310" cy="3234690"/>
            <wp:effectExtent l="38100" t="38100" r="34290" b="419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274310" cy="3234690"/>
                    </a:xfrm>
                    <a:prstGeom prst="rect">
                      <a:avLst/>
                    </a:prstGeom>
                    <a:scene3d>
                      <a:camera prst="orthographicFront"/>
                      <a:lightRig rig="threePt" dir="t"/>
                    </a:scene3d>
                    <a:sp3d contourW="12700">
                      <a:contourClr>
                        <a:schemeClr val="tx1"/>
                      </a:contourClr>
                    </a:sp3d>
                  </pic:spPr>
                </pic:pic>
              </a:graphicData>
            </a:graphic>
          </wp:inline>
        </w:drawing>
      </w:r>
    </w:p>
    <w:p w14:paraId="683C1A2D" w14:textId="446BF5AE" w:rsidR="009E641A" w:rsidRPr="00466B54" w:rsidRDefault="002920D6" w:rsidP="00632227">
      <w:pPr>
        <w:autoSpaceDE w:val="0"/>
        <w:autoSpaceDN w:val="0"/>
        <w:bidi w:val="0"/>
        <w:adjustRightInd w:val="0"/>
        <w:spacing w:after="0" w:line="360" w:lineRule="auto"/>
        <w:jc w:val="both"/>
        <w:rPr>
          <w:rFonts w:asciiTheme="majorBidi" w:eastAsia="Times New Roman" w:hAnsiTheme="majorBidi" w:cstheme="majorBidi"/>
          <w:sz w:val="24"/>
          <w:szCs w:val="24"/>
        </w:rPr>
      </w:pPr>
      <w:r w:rsidRPr="00466B54">
        <w:rPr>
          <w:rFonts w:asciiTheme="majorBidi" w:eastAsia="Times New Roman" w:hAnsiTheme="majorBidi" w:cstheme="majorBidi"/>
          <w:sz w:val="24"/>
          <w:szCs w:val="24"/>
        </w:rPr>
        <w:t xml:space="preserve">According with current study's findings, there was no statistically significant difference between male and female subjects in terms of urine flow rate, sodium, and potassium excretion rates </w:t>
      </w:r>
      <w:r w:rsidR="00A06DEE" w:rsidRPr="00466B54">
        <w:rPr>
          <w:rFonts w:asciiTheme="majorBidi" w:eastAsia="Times New Roman" w:hAnsiTheme="majorBidi" w:cstheme="majorBidi"/>
          <w:sz w:val="24"/>
          <w:szCs w:val="24"/>
        </w:rPr>
        <w:t xml:space="preserve">along the course </w:t>
      </w:r>
      <w:r w:rsidR="007F483A" w:rsidRPr="00466B54">
        <w:rPr>
          <w:rFonts w:asciiTheme="majorBidi" w:eastAsia="Times New Roman" w:hAnsiTheme="majorBidi" w:cstheme="majorBidi"/>
          <w:sz w:val="24"/>
          <w:szCs w:val="24"/>
        </w:rPr>
        <w:t>of treatments</w:t>
      </w:r>
      <w:r w:rsidRPr="00466B54">
        <w:rPr>
          <w:rFonts w:asciiTheme="majorBidi" w:eastAsia="Times New Roman" w:hAnsiTheme="majorBidi" w:cstheme="majorBidi"/>
          <w:sz w:val="24"/>
          <w:szCs w:val="24"/>
        </w:rPr>
        <w:t>.</w:t>
      </w:r>
      <w:r w:rsidR="00980F57" w:rsidRPr="00466B54">
        <w:rPr>
          <w:rFonts w:asciiTheme="majorBidi" w:eastAsia="Times New Roman" w:hAnsiTheme="majorBidi" w:cstheme="majorBidi"/>
          <w:sz w:val="24"/>
          <w:szCs w:val="24"/>
        </w:rPr>
        <w:t xml:space="preserve"> </w:t>
      </w:r>
      <w:bookmarkEnd w:id="2"/>
      <w:r w:rsidR="00632227" w:rsidRPr="00466B54">
        <w:rPr>
          <w:rFonts w:asciiTheme="majorBidi" w:eastAsia="Times New Roman" w:hAnsiTheme="majorBidi" w:cstheme="majorBidi"/>
          <w:sz w:val="24"/>
          <w:szCs w:val="24"/>
        </w:rPr>
        <w:t>,</w:t>
      </w:r>
      <w:r w:rsidR="009E641A" w:rsidRPr="009E641A">
        <w:rPr>
          <w:rFonts w:asciiTheme="majorBidi" w:eastAsia="Times New Roman" w:hAnsiTheme="majorBidi" w:cstheme="majorBidi"/>
          <w:sz w:val="24"/>
          <w:szCs w:val="24"/>
        </w:rPr>
        <w:t>The possibility of gender differences in the relationship between dose and efficacy of drugs has historically been limited. The aim of the present study was to evaluate the influence of sex on the pharmacodynamics of furosemide (FUR) in adult Wistar rats. Conventional renal clearance studies were performed in the absence and in the presence of a FUR dose necessary to produce identical urine excretion rates of FUR in both sexes. Fractional excretions of sodium, potassium, and water were similar in male and female rats in the absence of FUR. Natriuretic, kaliuretic, and diuretic responses to FUR, when expressed in fractional terms, were significantly increased in female rats. Diuretic, natriuretic, and kaliuretic efficiencies of FUR were also higher in female rats as compared with males. This might be explained by the lower abundance of the Na-K-2Cl cotransporter observed in homogenates from the medullae of female kidneys as compared with male ones.</w:t>
      </w:r>
    </w:p>
    <w:p w14:paraId="7CBCF3E4" w14:textId="2410F3F8" w:rsidR="00B50FA8" w:rsidRPr="00466B54" w:rsidRDefault="00B50FA8" w:rsidP="00B50FA8">
      <w:pPr>
        <w:autoSpaceDE w:val="0"/>
        <w:autoSpaceDN w:val="0"/>
        <w:bidi w:val="0"/>
        <w:adjustRightInd w:val="0"/>
        <w:spacing w:after="0" w:line="360" w:lineRule="auto"/>
        <w:jc w:val="both"/>
        <w:rPr>
          <w:rFonts w:asciiTheme="majorBidi" w:eastAsia="Times New Roman" w:hAnsiTheme="majorBidi" w:cstheme="majorBidi"/>
          <w:sz w:val="24"/>
          <w:szCs w:val="24"/>
        </w:rPr>
      </w:pPr>
    </w:p>
    <w:p w14:paraId="396C34C1" w14:textId="7A37BC23" w:rsidR="000D3650" w:rsidRPr="009E641A" w:rsidRDefault="000D3650" w:rsidP="000D45BB">
      <w:pPr>
        <w:autoSpaceDE w:val="0"/>
        <w:autoSpaceDN w:val="0"/>
        <w:bidi w:val="0"/>
        <w:adjustRightInd w:val="0"/>
        <w:spacing w:after="0" w:line="360" w:lineRule="auto"/>
        <w:jc w:val="both"/>
        <w:rPr>
          <w:rFonts w:asciiTheme="majorBidi" w:eastAsia="Times New Roman" w:hAnsiTheme="majorBidi" w:cstheme="majorBidi"/>
          <w:sz w:val="24"/>
          <w:szCs w:val="24"/>
          <w:vertAlign w:val="superscript"/>
        </w:rPr>
      </w:pPr>
      <w:r w:rsidRPr="00466B54">
        <w:rPr>
          <w:rFonts w:asciiTheme="majorBidi" w:eastAsia="Times New Roman" w:hAnsiTheme="majorBidi" w:cstheme="majorBidi"/>
          <w:sz w:val="24"/>
          <w:szCs w:val="24"/>
        </w:rPr>
        <w:t xml:space="preserve"> </w:t>
      </w:r>
      <w:r w:rsidR="000D45BB" w:rsidRPr="00466B54">
        <w:rPr>
          <w:rFonts w:asciiTheme="majorBidi" w:eastAsia="Times New Roman" w:hAnsiTheme="majorBidi" w:cstheme="majorBidi"/>
          <w:sz w:val="24"/>
          <w:szCs w:val="24"/>
        </w:rPr>
        <w:t>Gender has been shown in other studies to cause differences in drug disposition and response to therapeutic agents. In 6 male and 6 female normal volunteers, we measured the diuretic response to oral hydrochlorothiazide, oral and intravenous furosemide. On four separate days after fasting overnight, each subject received single doses of the individual diuretics or no treatment. Over the next 24 hours, total urine output was collected for volume measurement and sodium and potassium concentration determination.</w:t>
      </w:r>
      <w:r w:rsidRPr="000D3650">
        <w:rPr>
          <w:rFonts w:asciiTheme="majorBidi" w:eastAsia="Times New Roman" w:hAnsiTheme="majorBidi" w:cstheme="majorBidi"/>
          <w:sz w:val="24"/>
          <w:szCs w:val="24"/>
        </w:rPr>
        <w:t xml:space="preserve"> </w:t>
      </w:r>
      <w:r w:rsidR="000D45BB" w:rsidRPr="00466B54">
        <w:rPr>
          <w:rFonts w:asciiTheme="majorBidi" w:eastAsia="Times New Roman" w:hAnsiTheme="majorBidi" w:cstheme="majorBidi"/>
          <w:sz w:val="24"/>
          <w:szCs w:val="24"/>
        </w:rPr>
        <w:t>There was no statistically significant difference between male and female subjects in terms of urine flow rate, sodium, and potassium excretion rates across treatments. When natriuretic response was adjusted for mg/kg of intravenous furosemide dose received, male subjects had a higher peak sodium excretion rate than female subjects. The findings of this study reveal a gender difference in the natriuretic response to diuretics. More research is needed to determine whether this gender difference is caused by differences in drug metabolism, disposition, or intrinsic diuretic responsiveness at the site of action.</w:t>
      </w:r>
      <w:r w:rsidR="006B49A6">
        <w:rPr>
          <w:rFonts w:asciiTheme="majorBidi" w:eastAsia="Times New Roman" w:hAnsiTheme="majorBidi" w:cstheme="majorBidi"/>
          <w:sz w:val="24"/>
          <w:szCs w:val="24"/>
          <w:vertAlign w:val="superscript"/>
        </w:rPr>
        <w:t>2,3</w:t>
      </w:r>
    </w:p>
    <w:p w14:paraId="5DEC4830" w14:textId="1F77CF8E" w:rsidR="00F06F5B" w:rsidRPr="00466B54" w:rsidRDefault="00544AF0" w:rsidP="00684055">
      <w:pPr>
        <w:bidi w:val="0"/>
        <w:spacing w:after="160" w:line="360" w:lineRule="auto"/>
        <w:jc w:val="both"/>
        <w:rPr>
          <w:rFonts w:asciiTheme="majorBidi" w:eastAsia="Times New Roman" w:hAnsiTheme="majorBidi" w:cstheme="majorBidi"/>
          <w:sz w:val="24"/>
          <w:szCs w:val="24"/>
          <w:rtl/>
        </w:rPr>
      </w:pPr>
      <w:r w:rsidRPr="00466B54">
        <w:rPr>
          <w:rFonts w:asciiTheme="majorBidi" w:hAnsiTheme="majorBidi" w:cstheme="majorBidi"/>
          <w:b/>
          <w:bCs/>
          <w:color w:val="000000"/>
          <w:sz w:val="24"/>
          <w:szCs w:val="24"/>
        </w:rPr>
        <w:t>C</w:t>
      </w:r>
      <w:r w:rsidR="00F06F5B" w:rsidRPr="00466B54">
        <w:rPr>
          <w:rFonts w:asciiTheme="majorBidi" w:hAnsiTheme="majorBidi" w:cstheme="majorBidi"/>
          <w:b/>
          <w:bCs/>
          <w:color w:val="000000"/>
          <w:sz w:val="24"/>
          <w:szCs w:val="24"/>
        </w:rPr>
        <w:t>onclusion</w:t>
      </w:r>
      <w:r w:rsidR="00CF05BB" w:rsidRPr="00466B54">
        <w:rPr>
          <w:rFonts w:asciiTheme="majorBidi" w:hAnsiTheme="majorBidi" w:cstheme="majorBidi"/>
          <w:color w:val="000000"/>
          <w:sz w:val="24"/>
          <w:szCs w:val="24"/>
        </w:rPr>
        <w:t xml:space="preserve">                           </w:t>
      </w:r>
    </w:p>
    <w:p w14:paraId="1F27AB54" w14:textId="7E45AE08" w:rsidR="007B6FE6" w:rsidRPr="00466B54" w:rsidRDefault="00BF418F" w:rsidP="00684055">
      <w:pPr>
        <w:autoSpaceDE w:val="0"/>
        <w:autoSpaceDN w:val="0"/>
        <w:bidi w:val="0"/>
        <w:adjustRightInd w:val="0"/>
        <w:spacing w:after="0" w:line="360" w:lineRule="auto"/>
        <w:jc w:val="both"/>
        <w:rPr>
          <w:rFonts w:asciiTheme="majorBidi" w:hAnsiTheme="majorBidi" w:cstheme="majorBidi"/>
          <w:color w:val="000000"/>
          <w:sz w:val="24"/>
          <w:szCs w:val="24"/>
        </w:rPr>
      </w:pPr>
      <w:r w:rsidRPr="00466B54">
        <w:rPr>
          <w:rFonts w:asciiTheme="majorBidi" w:hAnsiTheme="majorBidi" w:cstheme="majorBidi"/>
          <w:color w:val="000000"/>
          <w:sz w:val="24"/>
          <w:szCs w:val="24"/>
        </w:rPr>
        <w:t>More research is necessary to identify whether this gender disparity is due to differences in drug metabolism, disposition, or intrinsic diuretic responsiveness at the site of action.</w:t>
      </w:r>
      <w:r w:rsidR="007B6FE6" w:rsidRPr="00466B54">
        <w:rPr>
          <w:rFonts w:asciiTheme="majorBidi" w:hAnsiTheme="majorBidi" w:cstheme="majorBidi"/>
          <w:color w:val="000000"/>
          <w:sz w:val="24"/>
          <w:szCs w:val="24"/>
        </w:rPr>
        <w:t xml:space="preserve">                                                                  </w:t>
      </w:r>
    </w:p>
    <w:p w14:paraId="1F335964" w14:textId="77777777" w:rsidR="00DD0029" w:rsidRPr="00466B54" w:rsidRDefault="00DD0029" w:rsidP="00684055">
      <w:pPr>
        <w:autoSpaceDE w:val="0"/>
        <w:autoSpaceDN w:val="0"/>
        <w:bidi w:val="0"/>
        <w:adjustRightInd w:val="0"/>
        <w:spacing w:after="0" w:line="360" w:lineRule="auto"/>
        <w:jc w:val="both"/>
        <w:rPr>
          <w:rFonts w:ascii="Calibri" w:eastAsia="Times New Roman" w:hAnsi="Calibri" w:cs="Arial"/>
          <w:b/>
          <w:bCs/>
          <w:sz w:val="24"/>
          <w:szCs w:val="24"/>
        </w:rPr>
      </w:pPr>
    </w:p>
    <w:p w14:paraId="702E48FD" w14:textId="77777777" w:rsidR="00BF418F" w:rsidRPr="00466B54" w:rsidRDefault="00BF418F" w:rsidP="00684055">
      <w:pPr>
        <w:autoSpaceDE w:val="0"/>
        <w:autoSpaceDN w:val="0"/>
        <w:bidi w:val="0"/>
        <w:adjustRightInd w:val="0"/>
        <w:spacing w:after="0" w:line="360" w:lineRule="auto"/>
        <w:jc w:val="both"/>
        <w:rPr>
          <w:rFonts w:asciiTheme="majorBidi" w:eastAsia="Times New Roman" w:hAnsiTheme="majorBidi" w:cstheme="majorBidi"/>
          <w:b/>
          <w:bCs/>
          <w:sz w:val="24"/>
          <w:szCs w:val="24"/>
        </w:rPr>
      </w:pPr>
    </w:p>
    <w:p w14:paraId="01B3E0E8" w14:textId="77777777" w:rsidR="00BF418F" w:rsidRPr="00466B54" w:rsidRDefault="00BF418F" w:rsidP="00BF418F">
      <w:pPr>
        <w:autoSpaceDE w:val="0"/>
        <w:autoSpaceDN w:val="0"/>
        <w:bidi w:val="0"/>
        <w:adjustRightInd w:val="0"/>
        <w:spacing w:after="0" w:line="360" w:lineRule="auto"/>
        <w:jc w:val="both"/>
        <w:rPr>
          <w:rFonts w:asciiTheme="majorBidi" w:eastAsia="Times New Roman" w:hAnsiTheme="majorBidi" w:cstheme="majorBidi"/>
          <w:b/>
          <w:bCs/>
          <w:sz w:val="24"/>
          <w:szCs w:val="24"/>
        </w:rPr>
      </w:pPr>
    </w:p>
    <w:p w14:paraId="485CAE48" w14:textId="77777777" w:rsidR="00BF418F" w:rsidRPr="00466B54" w:rsidRDefault="00BF418F" w:rsidP="00BF418F">
      <w:pPr>
        <w:autoSpaceDE w:val="0"/>
        <w:autoSpaceDN w:val="0"/>
        <w:bidi w:val="0"/>
        <w:adjustRightInd w:val="0"/>
        <w:spacing w:after="0" w:line="360" w:lineRule="auto"/>
        <w:jc w:val="both"/>
        <w:rPr>
          <w:rFonts w:asciiTheme="majorBidi" w:eastAsia="Times New Roman" w:hAnsiTheme="majorBidi" w:cstheme="majorBidi"/>
          <w:b/>
          <w:bCs/>
          <w:sz w:val="24"/>
          <w:szCs w:val="24"/>
        </w:rPr>
      </w:pPr>
    </w:p>
    <w:p w14:paraId="051BD2F7" w14:textId="77777777" w:rsidR="00BF418F" w:rsidRPr="00466B54" w:rsidRDefault="00BF418F" w:rsidP="00BF418F">
      <w:pPr>
        <w:autoSpaceDE w:val="0"/>
        <w:autoSpaceDN w:val="0"/>
        <w:bidi w:val="0"/>
        <w:adjustRightInd w:val="0"/>
        <w:spacing w:after="0" w:line="360" w:lineRule="auto"/>
        <w:jc w:val="both"/>
        <w:rPr>
          <w:rFonts w:asciiTheme="majorBidi" w:eastAsia="Times New Roman" w:hAnsiTheme="majorBidi" w:cstheme="majorBidi"/>
          <w:b/>
          <w:bCs/>
          <w:sz w:val="24"/>
          <w:szCs w:val="24"/>
        </w:rPr>
      </w:pPr>
    </w:p>
    <w:p w14:paraId="1A74C5CE" w14:textId="77777777" w:rsidR="00BF418F" w:rsidRPr="00466B54" w:rsidRDefault="00BF418F" w:rsidP="00BF418F">
      <w:pPr>
        <w:autoSpaceDE w:val="0"/>
        <w:autoSpaceDN w:val="0"/>
        <w:bidi w:val="0"/>
        <w:adjustRightInd w:val="0"/>
        <w:spacing w:after="0" w:line="360" w:lineRule="auto"/>
        <w:jc w:val="both"/>
        <w:rPr>
          <w:rFonts w:asciiTheme="majorBidi" w:eastAsia="Times New Roman" w:hAnsiTheme="majorBidi" w:cstheme="majorBidi"/>
          <w:b/>
          <w:bCs/>
          <w:sz w:val="24"/>
          <w:szCs w:val="24"/>
        </w:rPr>
      </w:pPr>
    </w:p>
    <w:p w14:paraId="6961F298" w14:textId="77777777" w:rsidR="00BF418F" w:rsidRPr="00466B54" w:rsidRDefault="00BF418F" w:rsidP="00BF418F">
      <w:pPr>
        <w:autoSpaceDE w:val="0"/>
        <w:autoSpaceDN w:val="0"/>
        <w:bidi w:val="0"/>
        <w:adjustRightInd w:val="0"/>
        <w:spacing w:after="0" w:line="360" w:lineRule="auto"/>
        <w:jc w:val="both"/>
        <w:rPr>
          <w:rFonts w:asciiTheme="majorBidi" w:eastAsia="Times New Roman" w:hAnsiTheme="majorBidi" w:cstheme="majorBidi"/>
          <w:b/>
          <w:bCs/>
          <w:sz w:val="24"/>
          <w:szCs w:val="24"/>
        </w:rPr>
      </w:pPr>
    </w:p>
    <w:p w14:paraId="73B97AE0" w14:textId="77777777" w:rsidR="00466B54" w:rsidRDefault="00466B54" w:rsidP="00466B54">
      <w:pPr>
        <w:autoSpaceDE w:val="0"/>
        <w:autoSpaceDN w:val="0"/>
        <w:bidi w:val="0"/>
        <w:adjustRightInd w:val="0"/>
        <w:spacing w:after="0" w:line="360" w:lineRule="auto"/>
        <w:jc w:val="both"/>
        <w:rPr>
          <w:rFonts w:asciiTheme="majorBidi" w:eastAsia="Times New Roman" w:hAnsiTheme="majorBidi" w:cstheme="majorBidi"/>
          <w:b/>
          <w:bCs/>
          <w:sz w:val="24"/>
          <w:szCs w:val="24"/>
        </w:rPr>
      </w:pPr>
    </w:p>
    <w:p w14:paraId="36D646FA" w14:textId="77777777" w:rsidR="00466B54" w:rsidRDefault="00466B54" w:rsidP="00466B54">
      <w:pPr>
        <w:autoSpaceDE w:val="0"/>
        <w:autoSpaceDN w:val="0"/>
        <w:bidi w:val="0"/>
        <w:adjustRightInd w:val="0"/>
        <w:spacing w:after="0" w:line="360" w:lineRule="auto"/>
        <w:jc w:val="both"/>
        <w:rPr>
          <w:rFonts w:asciiTheme="majorBidi" w:eastAsia="Times New Roman" w:hAnsiTheme="majorBidi" w:cstheme="majorBidi"/>
          <w:b/>
          <w:bCs/>
          <w:sz w:val="24"/>
          <w:szCs w:val="24"/>
        </w:rPr>
      </w:pPr>
    </w:p>
    <w:p w14:paraId="6AA8F40F" w14:textId="77777777" w:rsidR="00466B54" w:rsidRDefault="00466B54" w:rsidP="00466B54">
      <w:pPr>
        <w:autoSpaceDE w:val="0"/>
        <w:autoSpaceDN w:val="0"/>
        <w:bidi w:val="0"/>
        <w:adjustRightInd w:val="0"/>
        <w:spacing w:after="0" w:line="360" w:lineRule="auto"/>
        <w:jc w:val="both"/>
        <w:rPr>
          <w:rFonts w:asciiTheme="majorBidi" w:eastAsia="Times New Roman" w:hAnsiTheme="majorBidi" w:cstheme="majorBidi"/>
          <w:b/>
          <w:bCs/>
          <w:sz w:val="24"/>
          <w:szCs w:val="24"/>
        </w:rPr>
      </w:pPr>
    </w:p>
    <w:p w14:paraId="37FF53F3" w14:textId="6EA7E539" w:rsidR="00586E04" w:rsidRPr="00466B54" w:rsidRDefault="00466B54" w:rsidP="00466B54">
      <w:pPr>
        <w:autoSpaceDE w:val="0"/>
        <w:autoSpaceDN w:val="0"/>
        <w:bidi w:val="0"/>
        <w:adjustRightInd w:val="0"/>
        <w:spacing w:after="0" w:line="360" w:lineRule="auto"/>
        <w:jc w:val="both"/>
        <w:rPr>
          <w:rFonts w:asciiTheme="majorBidi" w:hAnsiTheme="majorBidi" w:cstheme="majorBidi"/>
          <w:color w:val="000000"/>
          <w:sz w:val="24"/>
          <w:szCs w:val="24"/>
        </w:rPr>
      </w:pPr>
      <w:r>
        <w:rPr>
          <w:rFonts w:asciiTheme="majorBidi" w:eastAsia="Times New Roman" w:hAnsiTheme="majorBidi" w:cstheme="majorBidi"/>
          <w:b/>
          <w:bCs/>
          <w:sz w:val="24"/>
          <w:szCs w:val="24"/>
        </w:rPr>
        <w:br/>
      </w:r>
      <w:r w:rsidR="00586E04" w:rsidRPr="00466B54">
        <w:rPr>
          <w:rFonts w:asciiTheme="majorBidi" w:eastAsia="Times New Roman" w:hAnsiTheme="majorBidi" w:cstheme="majorBidi"/>
          <w:b/>
          <w:bCs/>
          <w:sz w:val="24"/>
          <w:szCs w:val="24"/>
        </w:rPr>
        <w:t xml:space="preserve">References </w:t>
      </w:r>
    </w:p>
    <w:p w14:paraId="3661A25E" w14:textId="77777777" w:rsidR="00AB7618" w:rsidRPr="00466B54" w:rsidRDefault="00AB7618" w:rsidP="00684055">
      <w:pPr>
        <w:autoSpaceDE w:val="0"/>
        <w:autoSpaceDN w:val="0"/>
        <w:bidi w:val="0"/>
        <w:adjustRightInd w:val="0"/>
        <w:spacing w:after="0" w:line="360" w:lineRule="auto"/>
        <w:jc w:val="both"/>
        <w:rPr>
          <w:rFonts w:asciiTheme="majorBidi" w:hAnsiTheme="majorBidi" w:cstheme="majorBidi"/>
          <w:color w:val="000000"/>
          <w:sz w:val="24"/>
          <w:szCs w:val="24"/>
        </w:rPr>
      </w:pPr>
    </w:p>
    <w:p w14:paraId="3851AA6F" w14:textId="5096D532" w:rsidR="006B49A6" w:rsidRPr="006B49A6" w:rsidRDefault="006B49A6" w:rsidP="006B49A6">
      <w:pPr>
        <w:pStyle w:val="a7"/>
        <w:numPr>
          <w:ilvl w:val="0"/>
          <w:numId w:val="5"/>
        </w:numPr>
        <w:bidi w:val="0"/>
        <w:spacing w:after="160" w:line="360" w:lineRule="auto"/>
        <w:jc w:val="both"/>
        <w:rPr>
          <w:rFonts w:asciiTheme="majorBidi" w:hAnsiTheme="majorBidi" w:cstheme="majorBidi"/>
          <w:color w:val="000000"/>
          <w:sz w:val="24"/>
          <w:szCs w:val="24"/>
          <w:shd w:val="clear" w:color="auto" w:fill="FFFFFF"/>
        </w:rPr>
      </w:pPr>
      <w:r w:rsidRPr="006B49A6">
        <w:rPr>
          <w:rFonts w:asciiTheme="majorBidi" w:hAnsiTheme="majorBidi" w:cstheme="majorBidi"/>
          <w:color w:val="000000"/>
          <w:sz w:val="24"/>
          <w:szCs w:val="24"/>
          <w:shd w:val="clear" w:color="auto" w:fill="FFFFFF"/>
        </w:rPr>
        <w:t>Philip Hampel, Kerstin Römermann, Martina Gramer, Wolfgang Löscher, The search for brain-permeant NKCC1 inhibitors for the treatment of seizures: Pharmacokinetic-pharmacodynamic modelling of NKCC1 inhibition by azosemide, torasemide, and bumetanide in mouse brain, Epilepsy &amp; Behavior, 10.1016/j.yebeh.2020.107616, </w:t>
      </w:r>
      <w:r w:rsidRPr="006B49A6">
        <w:rPr>
          <w:rFonts w:asciiTheme="majorBidi" w:hAnsiTheme="majorBidi" w:cstheme="majorBidi"/>
          <w:b/>
          <w:bCs/>
          <w:color w:val="000000"/>
          <w:sz w:val="24"/>
          <w:szCs w:val="24"/>
          <w:shd w:val="clear" w:color="auto" w:fill="FFFFFF"/>
        </w:rPr>
        <w:t>114</w:t>
      </w:r>
      <w:r w:rsidRPr="006B49A6">
        <w:rPr>
          <w:rFonts w:asciiTheme="majorBidi" w:hAnsiTheme="majorBidi" w:cstheme="majorBidi"/>
          <w:color w:val="000000"/>
          <w:sz w:val="24"/>
          <w:szCs w:val="24"/>
          <w:shd w:val="clear" w:color="auto" w:fill="FFFFFF"/>
        </w:rPr>
        <w:t>, (107616), (2021).</w:t>
      </w:r>
    </w:p>
    <w:p w14:paraId="4492921C" w14:textId="77777777" w:rsidR="008E7FF9" w:rsidRPr="00466B54" w:rsidRDefault="008E7FF9" w:rsidP="00684055">
      <w:pPr>
        <w:pStyle w:val="a7"/>
        <w:bidi w:val="0"/>
        <w:spacing w:after="160" w:line="360" w:lineRule="auto"/>
        <w:jc w:val="both"/>
        <w:rPr>
          <w:rFonts w:asciiTheme="majorBidi" w:eastAsia="Times New Roman" w:hAnsiTheme="majorBidi" w:cstheme="majorBidi"/>
          <w:b/>
          <w:bCs/>
          <w:sz w:val="24"/>
          <w:szCs w:val="24"/>
        </w:rPr>
      </w:pPr>
    </w:p>
    <w:p w14:paraId="796B9BC8" w14:textId="1FDFDAF8" w:rsidR="00466B54" w:rsidRPr="00466B54" w:rsidRDefault="00466B54" w:rsidP="00466B54">
      <w:pPr>
        <w:pStyle w:val="a7"/>
        <w:numPr>
          <w:ilvl w:val="0"/>
          <w:numId w:val="5"/>
        </w:numPr>
        <w:shd w:val="clear" w:color="auto" w:fill="FFFFFF"/>
        <w:bidi w:val="0"/>
        <w:spacing w:before="166" w:after="166" w:line="360" w:lineRule="auto"/>
        <w:jc w:val="both"/>
        <w:rPr>
          <w:rFonts w:asciiTheme="majorBidi" w:hAnsiTheme="majorBidi" w:cstheme="majorBidi"/>
          <w:color w:val="000000"/>
          <w:sz w:val="24"/>
          <w:szCs w:val="24"/>
          <w:shd w:val="clear" w:color="auto" w:fill="FFFFFF"/>
        </w:rPr>
      </w:pPr>
      <w:r w:rsidRPr="00466B54">
        <w:rPr>
          <w:rFonts w:asciiTheme="majorBidi" w:hAnsiTheme="majorBidi" w:cstheme="majorBidi"/>
          <w:color w:val="000000"/>
          <w:sz w:val="24"/>
          <w:szCs w:val="24"/>
          <w:shd w:val="clear" w:color="auto" w:fill="FFFFFF"/>
        </w:rPr>
        <w:t>Franson KL, Kuk JM, Lam NP, Lau AH. Gender effect on diuretic response to hydrochlorothiazide and furosemide. Int J Clin Pharmacol Ther. 1996 Mar;34(3):101-5. PMID: 8705087.</w:t>
      </w:r>
    </w:p>
    <w:p w14:paraId="581DA0BC" w14:textId="4B91ED7E" w:rsidR="00643C91" w:rsidRPr="00466B54" w:rsidRDefault="00643C91" w:rsidP="00684055">
      <w:pPr>
        <w:pStyle w:val="a7"/>
        <w:shd w:val="clear" w:color="auto" w:fill="FFFFFF"/>
        <w:bidi w:val="0"/>
        <w:spacing w:before="166" w:after="166" w:line="360" w:lineRule="auto"/>
        <w:ind w:firstLine="4290"/>
        <w:jc w:val="both"/>
        <w:rPr>
          <w:rFonts w:asciiTheme="majorBidi" w:hAnsiTheme="majorBidi" w:cstheme="majorBidi"/>
          <w:color w:val="000000"/>
          <w:sz w:val="24"/>
          <w:szCs w:val="24"/>
        </w:rPr>
      </w:pPr>
    </w:p>
    <w:p w14:paraId="5DD6CE7E" w14:textId="77777777" w:rsidR="00063717" w:rsidRPr="00466B54" w:rsidRDefault="00063717" w:rsidP="00466B54">
      <w:pPr>
        <w:pStyle w:val="a7"/>
        <w:numPr>
          <w:ilvl w:val="0"/>
          <w:numId w:val="5"/>
        </w:numPr>
        <w:bidi w:val="0"/>
        <w:spacing w:after="160" w:line="360" w:lineRule="auto"/>
        <w:jc w:val="both"/>
        <w:rPr>
          <w:rStyle w:val="element-citation"/>
          <w:rFonts w:asciiTheme="majorBidi" w:eastAsia="Times New Roman" w:hAnsiTheme="majorBidi" w:cstheme="majorBidi"/>
          <w:b/>
          <w:bCs/>
          <w:sz w:val="24"/>
          <w:szCs w:val="24"/>
        </w:rPr>
      </w:pPr>
      <w:r w:rsidRPr="00466B54">
        <w:rPr>
          <w:rStyle w:val="element-citation"/>
          <w:rFonts w:asciiTheme="majorBidi" w:hAnsiTheme="majorBidi" w:cstheme="majorBidi"/>
          <w:color w:val="000000"/>
          <w:sz w:val="24"/>
          <w:szCs w:val="24"/>
        </w:rPr>
        <w:t>Brandoni A, Villar SR, Torres AM. Gender-related differences in the pharmacodynamics of furosemide in rats. Pharmacology. 2004;70(2):107-112. doi:10.1159/000074675</w:t>
      </w:r>
    </w:p>
    <w:bookmarkEnd w:id="1"/>
    <w:p w14:paraId="44A0BA5B" w14:textId="4159B38F" w:rsidR="00900DD5" w:rsidRPr="00466B54" w:rsidRDefault="00900DD5" w:rsidP="00684055">
      <w:pPr>
        <w:bidi w:val="0"/>
        <w:spacing w:after="160" w:line="360" w:lineRule="auto"/>
        <w:jc w:val="both"/>
        <w:rPr>
          <w:rFonts w:asciiTheme="majorBidi" w:hAnsiTheme="majorBidi" w:cstheme="majorBidi"/>
          <w:sz w:val="24"/>
          <w:szCs w:val="24"/>
        </w:rPr>
      </w:pPr>
    </w:p>
    <w:p w14:paraId="294A5D53" w14:textId="24EB13F8" w:rsidR="00900DD5" w:rsidRPr="00466B54" w:rsidRDefault="00900DD5" w:rsidP="00684055">
      <w:pPr>
        <w:bidi w:val="0"/>
        <w:spacing w:after="160" w:line="360" w:lineRule="auto"/>
        <w:jc w:val="both"/>
        <w:rPr>
          <w:rFonts w:asciiTheme="majorBidi" w:hAnsiTheme="majorBidi" w:cstheme="majorBidi"/>
          <w:sz w:val="24"/>
          <w:szCs w:val="24"/>
        </w:rPr>
      </w:pPr>
    </w:p>
    <w:p w14:paraId="6FD51D32" w14:textId="1ED96029" w:rsidR="00900DD5" w:rsidRPr="00466B54" w:rsidRDefault="00900DD5" w:rsidP="00684055">
      <w:pPr>
        <w:bidi w:val="0"/>
        <w:spacing w:after="160" w:line="360" w:lineRule="auto"/>
        <w:jc w:val="both"/>
        <w:rPr>
          <w:rFonts w:asciiTheme="majorBidi" w:hAnsiTheme="majorBidi" w:cstheme="majorBidi"/>
          <w:sz w:val="24"/>
          <w:szCs w:val="24"/>
        </w:rPr>
      </w:pPr>
    </w:p>
    <w:p w14:paraId="22B61E9A" w14:textId="77777777" w:rsidR="00EE3A31" w:rsidRPr="00466B54" w:rsidRDefault="00EE3A31" w:rsidP="00684055">
      <w:pPr>
        <w:bidi w:val="0"/>
        <w:spacing w:after="160" w:line="360" w:lineRule="auto"/>
        <w:jc w:val="both"/>
        <w:rPr>
          <w:rFonts w:asciiTheme="majorBidi" w:hAnsiTheme="majorBidi" w:cstheme="majorBidi"/>
          <w:sz w:val="24"/>
          <w:szCs w:val="24"/>
        </w:rPr>
      </w:pPr>
    </w:p>
    <w:p w14:paraId="40C477F0" w14:textId="4C3A050F" w:rsidR="00900DD5" w:rsidRPr="00466B54" w:rsidRDefault="00900DD5" w:rsidP="00684055">
      <w:pPr>
        <w:bidi w:val="0"/>
        <w:spacing w:after="160" w:line="360" w:lineRule="auto"/>
        <w:jc w:val="both"/>
        <w:rPr>
          <w:rFonts w:asciiTheme="majorBidi" w:hAnsiTheme="majorBidi" w:cstheme="majorBidi"/>
          <w:sz w:val="24"/>
          <w:szCs w:val="24"/>
        </w:rPr>
      </w:pPr>
    </w:p>
    <w:p w14:paraId="4E639051" w14:textId="5CA450DC" w:rsidR="00D948E2" w:rsidRPr="00466B54" w:rsidRDefault="00D948E2" w:rsidP="00684055">
      <w:pPr>
        <w:spacing w:after="160" w:line="360" w:lineRule="auto"/>
        <w:rPr>
          <w:rFonts w:ascii="Calibri" w:eastAsia="Times New Roman" w:hAnsi="Calibri" w:cs="Arial"/>
          <w:b/>
          <w:bCs/>
          <w:sz w:val="24"/>
          <w:szCs w:val="24"/>
          <w:rtl/>
        </w:rPr>
      </w:pPr>
    </w:p>
    <w:p w14:paraId="26BEF52B" w14:textId="5773F459" w:rsidR="00D948E2" w:rsidRPr="00466B54" w:rsidRDefault="00900DD5" w:rsidP="00684055">
      <w:pPr>
        <w:spacing w:after="160" w:line="360" w:lineRule="auto"/>
        <w:jc w:val="right"/>
        <w:rPr>
          <w:sz w:val="24"/>
          <w:szCs w:val="24"/>
          <w:rtl/>
        </w:rPr>
      </w:pPr>
      <w:r w:rsidRPr="00466B54">
        <w:rPr>
          <w:rFonts w:hint="cs"/>
          <w:sz w:val="24"/>
          <w:szCs w:val="24"/>
          <w:rtl/>
        </w:rPr>
        <w:t xml:space="preserve">       </w:t>
      </w:r>
    </w:p>
    <w:sectPr w:rsidR="00D948E2" w:rsidRPr="00466B54" w:rsidSect="00CF676B">
      <w:footerReference w:type="default" r:id="rId10"/>
      <w:pgSz w:w="11906" w:h="16838"/>
      <w:pgMar w:top="1440" w:right="1800" w:bottom="1440" w:left="1800" w:header="708" w:footer="567" w:gutter="0"/>
      <w:pgBorders w:offsetFrom="page">
        <w:top w:val="dotted" w:sz="4" w:space="24" w:color="auto"/>
        <w:left w:val="dotted" w:sz="4" w:space="24" w:color="auto"/>
        <w:bottom w:val="dotted" w:sz="4" w:space="24" w:color="auto"/>
        <w:right w:val="dotted" w:sz="4" w:space="24" w:color="auto"/>
      </w:pgBorders>
      <w:pgNumType w:start="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6B3764" w14:textId="77777777" w:rsidR="00875745" w:rsidRDefault="00875745" w:rsidP="00DA7D3B">
      <w:pPr>
        <w:spacing w:after="0" w:line="240" w:lineRule="auto"/>
      </w:pPr>
      <w:r>
        <w:separator/>
      </w:r>
    </w:p>
  </w:endnote>
  <w:endnote w:type="continuationSeparator" w:id="0">
    <w:p w14:paraId="33E5C581" w14:textId="77777777" w:rsidR="00875745" w:rsidRDefault="00875745" w:rsidP="00DA7D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85760942"/>
      <w:docPartObj>
        <w:docPartGallery w:val="Page Numbers (Bottom of Page)"/>
        <w:docPartUnique/>
      </w:docPartObj>
    </w:sdtPr>
    <w:sdtEndPr>
      <w:rPr>
        <w:noProof/>
      </w:rPr>
    </w:sdtEndPr>
    <w:sdtContent>
      <w:p w14:paraId="5B3DA21A" w14:textId="6FFDE63F" w:rsidR="00A36748" w:rsidRDefault="00A36748">
        <w:pPr>
          <w:pStyle w:val="a5"/>
          <w:jc w:val="center"/>
        </w:pPr>
        <w:r>
          <w:fldChar w:fldCharType="begin"/>
        </w:r>
        <w:r>
          <w:instrText xml:space="preserve"> PAGE   \* MERGEFORMAT </w:instrText>
        </w:r>
        <w:r>
          <w:fldChar w:fldCharType="separate"/>
        </w:r>
        <w:r>
          <w:rPr>
            <w:noProof/>
          </w:rPr>
          <w:t>2</w:t>
        </w:r>
        <w:r>
          <w:rPr>
            <w:noProof/>
          </w:rPr>
          <w:fldChar w:fldCharType="end"/>
        </w:r>
      </w:p>
    </w:sdtContent>
  </w:sdt>
  <w:p w14:paraId="1DE98490" w14:textId="77777777" w:rsidR="00A36748" w:rsidRDefault="00A3674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A02DB5" w14:textId="77777777" w:rsidR="00875745" w:rsidRDefault="00875745" w:rsidP="00DA7D3B">
      <w:pPr>
        <w:spacing w:after="0" w:line="240" w:lineRule="auto"/>
      </w:pPr>
      <w:r>
        <w:separator/>
      </w:r>
    </w:p>
  </w:footnote>
  <w:footnote w:type="continuationSeparator" w:id="0">
    <w:p w14:paraId="43504F3C" w14:textId="77777777" w:rsidR="00875745" w:rsidRDefault="00875745" w:rsidP="00DA7D3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776F4"/>
    <w:multiLevelType w:val="hybridMultilevel"/>
    <w:tmpl w:val="9FECBC0C"/>
    <w:lvl w:ilvl="0" w:tplc="C84EFFC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3FD0CE7"/>
    <w:multiLevelType w:val="hybridMultilevel"/>
    <w:tmpl w:val="5FF0F982"/>
    <w:lvl w:ilvl="0" w:tplc="5BA88E58">
      <w:start w:val="2"/>
      <w:numFmt w:val="decimal"/>
      <w:lvlText w:val="%1"/>
      <w:lvlJc w:val="left"/>
      <w:pPr>
        <w:ind w:left="1505"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1404054C"/>
    <w:multiLevelType w:val="hybridMultilevel"/>
    <w:tmpl w:val="C1D6DDCC"/>
    <w:lvl w:ilvl="0" w:tplc="0409000F">
      <w:start w:val="1"/>
      <w:numFmt w:val="decimal"/>
      <w:lvlText w:val="%1."/>
      <w:lvlJc w:val="left"/>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 w15:restartNumberingAfterBreak="0">
    <w:nsid w:val="24505C2D"/>
    <w:multiLevelType w:val="hybridMultilevel"/>
    <w:tmpl w:val="EB941298"/>
    <w:lvl w:ilvl="0" w:tplc="0409000F">
      <w:start w:val="1"/>
      <w:numFmt w:val="decimal"/>
      <w:lvlText w:val="%1."/>
      <w:lvlJc w:val="left"/>
      <w:pPr>
        <w:ind w:left="5730" w:hanging="360"/>
      </w:pPr>
    </w:lvl>
    <w:lvl w:ilvl="1" w:tplc="04090019" w:tentative="1">
      <w:start w:val="1"/>
      <w:numFmt w:val="lowerLetter"/>
      <w:lvlText w:val="%2."/>
      <w:lvlJc w:val="left"/>
      <w:pPr>
        <w:ind w:left="6450" w:hanging="360"/>
      </w:pPr>
    </w:lvl>
    <w:lvl w:ilvl="2" w:tplc="0409001B" w:tentative="1">
      <w:start w:val="1"/>
      <w:numFmt w:val="lowerRoman"/>
      <w:lvlText w:val="%3."/>
      <w:lvlJc w:val="right"/>
      <w:pPr>
        <w:ind w:left="7170" w:hanging="180"/>
      </w:pPr>
    </w:lvl>
    <w:lvl w:ilvl="3" w:tplc="0409000F" w:tentative="1">
      <w:start w:val="1"/>
      <w:numFmt w:val="decimal"/>
      <w:lvlText w:val="%4."/>
      <w:lvlJc w:val="left"/>
      <w:pPr>
        <w:ind w:left="7890" w:hanging="360"/>
      </w:pPr>
    </w:lvl>
    <w:lvl w:ilvl="4" w:tplc="04090019" w:tentative="1">
      <w:start w:val="1"/>
      <w:numFmt w:val="lowerLetter"/>
      <w:lvlText w:val="%5."/>
      <w:lvlJc w:val="left"/>
      <w:pPr>
        <w:ind w:left="8610" w:hanging="360"/>
      </w:pPr>
    </w:lvl>
    <w:lvl w:ilvl="5" w:tplc="0409001B" w:tentative="1">
      <w:start w:val="1"/>
      <w:numFmt w:val="lowerRoman"/>
      <w:lvlText w:val="%6."/>
      <w:lvlJc w:val="right"/>
      <w:pPr>
        <w:ind w:left="9330" w:hanging="180"/>
      </w:pPr>
    </w:lvl>
    <w:lvl w:ilvl="6" w:tplc="0409000F" w:tentative="1">
      <w:start w:val="1"/>
      <w:numFmt w:val="decimal"/>
      <w:lvlText w:val="%7."/>
      <w:lvlJc w:val="left"/>
      <w:pPr>
        <w:ind w:left="10050" w:hanging="360"/>
      </w:pPr>
    </w:lvl>
    <w:lvl w:ilvl="7" w:tplc="04090019" w:tentative="1">
      <w:start w:val="1"/>
      <w:numFmt w:val="lowerLetter"/>
      <w:lvlText w:val="%8."/>
      <w:lvlJc w:val="left"/>
      <w:pPr>
        <w:ind w:left="10770" w:hanging="360"/>
      </w:pPr>
    </w:lvl>
    <w:lvl w:ilvl="8" w:tplc="0409001B" w:tentative="1">
      <w:start w:val="1"/>
      <w:numFmt w:val="lowerRoman"/>
      <w:lvlText w:val="%9."/>
      <w:lvlJc w:val="right"/>
      <w:pPr>
        <w:ind w:left="11490" w:hanging="180"/>
      </w:pPr>
    </w:lvl>
  </w:abstractNum>
  <w:abstractNum w:abstractNumId="4" w15:restartNumberingAfterBreak="0">
    <w:nsid w:val="3A173430"/>
    <w:multiLevelType w:val="hybridMultilevel"/>
    <w:tmpl w:val="AF468464"/>
    <w:lvl w:ilvl="0" w:tplc="5BA88E58">
      <w:start w:val="2"/>
      <w:numFmt w:val="decimal"/>
      <w:lvlText w:val="%1"/>
      <w:lvlJc w:val="left"/>
      <w:pPr>
        <w:ind w:left="1505"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3DF178A1"/>
    <w:multiLevelType w:val="hybridMultilevel"/>
    <w:tmpl w:val="8CAAF0B6"/>
    <w:lvl w:ilvl="0" w:tplc="5BA88E58">
      <w:start w:val="1"/>
      <w:numFmt w:val="decimal"/>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6" w15:restartNumberingAfterBreak="0">
    <w:nsid w:val="49D068C9"/>
    <w:multiLevelType w:val="hybridMultilevel"/>
    <w:tmpl w:val="1B94576A"/>
    <w:lvl w:ilvl="0" w:tplc="F5567E50">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8115523">
    <w:abstractNumId w:val="6"/>
  </w:num>
  <w:num w:numId="2" w16cid:durableId="891423784">
    <w:abstractNumId w:val="0"/>
  </w:num>
  <w:num w:numId="3" w16cid:durableId="697856922">
    <w:abstractNumId w:val="3"/>
  </w:num>
  <w:num w:numId="4" w16cid:durableId="1181162417">
    <w:abstractNumId w:val="2"/>
  </w:num>
  <w:num w:numId="5" w16cid:durableId="1752581278">
    <w:abstractNumId w:val="5"/>
  </w:num>
  <w:num w:numId="6" w16cid:durableId="1017075030">
    <w:abstractNumId w:val="1"/>
  </w:num>
  <w:num w:numId="7" w16cid:durableId="162210792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40"/>
  <w:gutterAtTop/>
  <w:proofState w:spelling="clean"/>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4D68"/>
    <w:rsid w:val="00001D82"/>
    <w:rsid w:val="00006FB3"/>
    <w:rsid w:val="00011833"/>
    <w:rsid w:val="00012EBA"/>
    <w:rsid w:val="000513F2"/>
    <w:rsid w:val="00052C76"/>
    <w:rsid w:val="00063717"/>
    <w:rsid w:val="00072EE6"/>
    <w:rsid w:val="0007424A"/>
    <w:rsid w:val="00077828"/>
    <w:rsid w:val="0008361D"/>
    <w:rsid w:val="000A146C"/>
    <w:rsid w:val="000D3650"/>
    <w:rsid w:val="000D45BB"/>
    <w:rsid w:val="00102E7C"/>
    <w:rsid w:val="001036AF"/>
    <w:rsid w:val="00107145"/>
    <w:rsid w:val="0013235C"/>
    <w:rsid w:val="00140BCA"/>
    <w:rsid w:val="001468FF"/>
    <w:rsid w:val="001775B1"/>
    <w:rsid w:val="001B007E"/>
    <w:rsid w:val="002049C9"/>
    <w:rsid w:val="00222E8F"/>
    <w:rsid w:val="00263943"/>
    <w:rsid w:val="002809F9"/>
    <w:rsid w:val="00290BE8"/>
    <w:rsid w:val="002920D6"/>
    <w:rsid w:val="002A5051"/>
    <w:rsid w:val="002E7997"/>
    <w:rsid w:val="0033724B"/>
    <w:rsid w:val="00371381"/>
    <w:rsid w:val="003A0284"/>
    <w:rsid w:val="003D7576"/>
    <w:rsid w:val="00402188"/>
    <w:rsid w:val="00452ACC"/>
    <w:rsid w:val="00456C46"/>
    <w:rsid w:val="00457C58"/>
    <w:rsid w:val="00466B54"/>
    <w:rsid w:val="00471C6D"/>
    <w:rsid w:val="00475CA0"/>
    <w:rsid w:val="004E3026"/>
    <w:rsid w:val="00502FC6"/>
    <w:rsid w:val="00507165"/>
    <w:rsid w:val="00511C9F"/>
    <w:rsid w:val="00541579"/>
    <w:rsid w:val="00544AF0"/>
    <w:rsid w:val="00572928"/>
    <w:rsid w:val="00586E04"/>
    <w:rsid w:val="005B49F9"/>
    <w:rsid w:val="005D4AE9"/>
    <w:rsid w:val="005E168B"/>
    <w:rsid w:val="00616B95"/>
    <w:rsid w:val="00632227"/>
    <w:rsid w:val="00643C91"/>
    <w:rsid w:val="00682C2E"/>
    <w:rsid w:val="00684055"/>
    <w:rsid w:val="006B49A6"/>
    <w:rsid w:val="006E2B47"/>
    <w:rsid w:val="006F2252"/>
    <w:rsid w:val="006F512A"/>
    <w:rsid w:val="006F666D"/>
    <w:rsid w:val="00707EFD"/>
    <w:rsid w:val="00726D65"/>
    <w:rsid w:val="0074669F"/>
    <w:rsid w:val="007506CF"/>
    <w:rsid w:val="007B1AC8"/>
    <w:rsid w:val="007B6FE6"/>
    <w:rsid w:val="007E1D7A"/>
    <w:rsid w:val="007F483A"/>
    <w:rsid w:val="00815E4F"/>
    <w:rsid w:val="00875745"/>
    <w:rsid w:val="00895DAE"/>
    <w:rsid w:val="008A367D"/>
    <w:rsid w:val="008B3E7F"/>
    <w:rsid w:val="008E7FF9"/>
    <w:rsid w:val="008F0C3E"/>
    <w:rsid w:val="00900BE8"/>
    <w:rsid w:val="00900DD5"/>
    <w:rsid w:val="00933ED7"/>
    <w:rsid w:val="00942CA7"/>
    <w:rsid w:val="009550AB"/>
    <w:rsid w:val="00967B92"/>
    <w:rsid w:val="00980F57"/>
    <w:rsid w:val="009D6079"/>
    <w:rsid w:val="009D6978"/>
    <w:rsid w:val="009E641A"/>
    <w:rsid w:val="009F4384"/>
    <w:rsid w:val="00A06DEE"/>
    <w:rsid w:val="00A36748"/>
    <w:rsid w:val="00A6739E"/>
    <w:rsid w:val="00A837F0"/>
    <w:rsid w:val="00A8475E"/>
    <w:rsid w:val="00A90D25"/>
    <w:rsid w:val="00A95905"/>
    <w:rsid w:val="00AA6CB1"/>
    <w:rsid w:val="00AB1482"/>
    <w:rsid w:val="00AB7618"/>
    <w:rsid w:val="00AD6E2A"/>
    <w:rsid w:val="00B1091A"/>
    <w:rsid w:val="00B25E4C"/>
    <w:rsid w:val="00B30676"/>
    <w:rsid w:val="00B40766"/>
    <w:rsid w:val="00B50FA8"/>
    <w:rsid w:val="00BB3EEF"/>
    <w:rsid w:val="00BB49CF"/>
    <w:rsid w:val="00BB7E4E"/>
    <w:rsid w:val="00BD5295"/>
    <w:rsid w:val="00BF418F"/>
    <w:rsid w:val="00C47CAB"/>
    <w:rsid w:val="00C73161"/>
    <w:rsid w:val="00C9735E"/>
    <w:rsid w:val="00CA0B1A"/>
    <w:rsid w:val="00CB1A65"/>
    <w:rsid w:val="00CD0139"/>
    <w:rsid w:val="00CF05BB"/>
    <w:rsid w:val="00CF676B"/>
    <w:rsid w:val="00CF74C6"/>
    <w:rsid w:val="00D00C93"/>
    <w:rsid w:val="00D30147"/>
    <w:rsid w:val="00D3353C"/>
    <w:rsid w:val="00D81679"/>
    <w:rsid w:val="00D948E2"/>
    <w:rsid w:val="00DA7D3B"/>
    <w:rsid w:val="00DB39A2"/>
    <w:rsid w:val="00DD0029"/>
    <w:rsid w:val="00DD61F3"/>
    <w:rsid w:val="00E04E08"/>
    <w:rsid w:val="00E14D68"/>
    <w:rsid w:val="00E21232"/>
    <w:rsid w:val="00E2641A"/>
    <w:rsid w:val="00E3377B"/>
    <w:rsid w:val="00E8259C"/>
    <w:rsid w:val="00EA0356"/>
    <w:rsid w:val="00EA31BC"/>
    <w:rsid w:val="00EA6D58"/>
    <w:rsid w:val="00EB2C04"/>
    <w:rsid w:val="00EE3A31"/>
    <w:rsid w:val="00F03C3F"/>
    <w:rsid w:val="00F06F5B"/>
    <w:rsid w:val="00F074F9"/>
    <w:rsid w:val="00F11BBF"/>
    <w:rsid w:val="00F23CBD"/>
    <w:rsid w:val="00F32E45"/>
    <w:rsid w:val="00F341E8"/>
    <w:rsid w:val="00F54DCB"/>
    <w:rsid w:val="00F9696A"/>
    <w:rsid w:val="00FA7776"/>
    <w:rsid w:val="00FB2AD8"/>
    <w:rsid w:val="00FF1E11"/>
    <w:rsid w:val="00FF48D7"/>
  </w:rsids>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614E484"/>
  <w15:chartTrackingRefBased/>
  <w15:docId w15:val="{32362B15-C4CD-4AE4-9D9F-636B9E2FF5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12EBA"/>
    <w:pPr>
      <w:bidi/>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E14D68"/>
    <w:pPr>
      <w:spacing w:after="0" w:line="240" w:lineRule="auto"/>
    </w:pPr>
    <w:rPr>
      <w:rFonts w:ascii="Segoe UI" w:hAnsi="Segoe UI" w:cs="Segoe UI"/>
      <w:sz w:val="18"/>
      <w:szCs w:val="18"/>
    </w:rPr>
  </w:style>
  <w:style w:type="character" w:customStyle="1" w:styleId="Char">
    <w:name w:val="نص في بالون Char"/>
    <w:basedOn w:val="a0"/>
    <w:link w:val="a3"/>
    <w:uiPriority w:val="99"/>
    <w:semiHidden/>
    <w:rsid w:val="00E14D68"/>
    <w:rPr>
      <w:rFonts w:ascii="Segoe UI" w:hAnsi="Segoe UI" w:cs="Segoe UI"/>
      <w:sz w:val="18"/>
      <w:szCs w:val="18"/>
    </w:rPr>
  </w:style>
  <w:style w:type="character" w:styleId="Hyperlink">
    <w:name w:val="Hyperlink"/>
    <w:basedOn w:val="a0"/>
    <w:uiPriority w:val="99"/>
    <w:semiHidden/>
    <w:unhideWhenUsed/>
    <w:rsid w:val="005E168B"/>
    <w:rPr>
      <w:color w:val="0000FF"/>
      <w:u w:val="single"/>
    </w:rPr>
  </w:style>
  <w:style w:type="paragraph" w:styleId="a4">
    <w:name w:val="header"/>
    <w:basedOn w:val="a"/>
    <w:link w:val="Char0"/>
    <w:uiPriority w:val="99"/>
    <w:unhideWhenUsed/>
    <w:rsid w:val="00DA7D3B"/>
    <w:pPr>
      <w:tabs>
        <w:tab w:val="center" w:pos="4153"/>
        <w:tab w:val="right" w:pos="8306"/>
      </w:tabs>
      <w:spacing w:after="0" w:line="240" w:lineRule="auto"/>
    </w:pPr>
  </w:style>
  <w:style w:type="character" w:customStyle="1" w:styleId="Char0">
    <w:name w:val="رأس الصفحة Char"/>
    <w:basedOn w:val="a0"/>
    <w:link w:val="a4"/>
    <w:uiPriority w:val="99"/>
    <w:rsid w:val="00DA7D3B"/>
  </w:style>
  <w:style w:type="paragraph" w:styleId="a5">
    <w:name w:val="footer"/>
    <w:basedOn w:val="a"/>
    <w:link w:val="Char1"/>
    <w:uiPriority w:val="99"/>
    <w:unhideWhenUsed/>
    <w:rsid w:val="00DA7D3B"/>
    <w:pPr>
      <w:tabs>
        <w:tab w:val="center" w:pos="4153"/>
        <w:tab w:val="right" w:pos="8306"/>
      </w:tabs>
      <w:spacing w:after="0" w:line="240" w:lineRule="auto"/>
    </w:pPr>
  </w:style>
  <w:style w:type="character" w:customStyle="1" w:styleId="Char1">
    <w:name w:val="تذييل الصفحة Char"/>
    <w:basedOn w:val="a0"/>
    <w:link w:val="a5"/>
    <w:uiPriority w:val="99"/>
    <w:rsid w:val="00DA7D3B"/>
  </w:style>
  <w:style w:type="character" w:customStyle="1" w:styleId="ref-journal">
    <w:name w:val="ref-journal"/>
    <w:basedOn w:val="a0"/>
    <w:rsid w:val="00371381"/>
  </w:style>
  <w:style w:type="character" w:styleId="a6">
    <w:name w:val="Emphasis"/>
    <w:basedOn w:val="a0"/>
    <w:uiPriority w:val="20"/>
    <w:qFormat/>
    <w:rsid w:val="00371381"/>
    <w:rPr>
      <w:i/>
      <w:iCs/>
    </w:rPr>
  </w:style>
  <w:style w:type="character" w:customStyle="1" w:styleId="ref-vol">
    <w:name w:val="ref-vol"/>
    <w:basedOn w:val="a0"/>
    <w:rsid w:val="00371381"/>
  </w:style>
  <w:style w:type="paragraph" w:styleId="a7">
    <w:name w:val="List Paragraph"/>
    <w:basedOn w:val="a"/>
    <w:uiPriority w:val="34"/>
    <w:qFormat/>
    <w:rsid w:val="00371381"/>
    <w:pPr>
      <w:ind w:left="720"/>
      <w:contextualSpacing/>
    </w:pPr>
  </w:style>
  <w:style w:type="character" w:customStyle="1" w:styleId="ref-title">
    <w:name w:val="ref-title"/>
    <w:basedOn w:val="a0"/>
    <w:rsid w:val="00371381"/>
  </w:style>
  <w:style w:type="character" w:customStyle="1" w:styleId="element-citation">
    <w:name w:val="element-citation"/>
    <w:basedOn w:val="a0"/>
    <w:rsid w:val="00EA6D58"/>
  </w:style>
  <w:style w:type="character" w:customStyle="1" w:styleId="nowrap">
    <w:name w:val="nowrap"/>
    <w:basedOn w:val="a0"/>
    <w:rsid w:val="00EA6D5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854101">
      <w:bodyDiv w:val="1"/>
      <w:marLeft w:val="0"/>
      <w:marRight w:val="0"/>
      <w:marTop w:val="0"/>
      <w:marBottom w:val="0"/>
      <w:divBdr>
        <w:top w:val="none" w:sz="0" w:space="0" w:color="auto"/>
        <w:left w:val="none" w:sz="0" w:space="0" w:color="auto"/>
        <w:bottom w:val="none" w:sz="0" w:space="0" w:color="auto"/>
        <w:right w:val="none" w:sz="0" w:space="0" w:color="auto"/>
      </w:divBdr>
    </w:div>
    <w:div w:id="104690628">
      <w:bodyDiv w:val="1"/>
      <w:marLeft w:val="0"/>
      <w:marRight w:val="0"/>
      <w:marTop w:val="0"/>
      <w:marBottom w:val="0"/>
      <w:divBdr>
        <w:top w:val="none" w:sz="0" w:space="0" w:color="auto"/>
        <w:left w:val="none" w:sz="0" w:space="0" w:color="auto"/>
        <w:bottom w:val="none" w:sz="0" w:space="0" w:color="auto"/>
        <w:right w:val="none" w:sz="0" w:space="0" w:color="auto"/>
      </w:divBdr>
    </w:div>
    <w:div w:id="190921322">
      <w:bodyDiv w:val="1"/>
      <w:marLeft w:val="0"/>
      <w:marRight w:val="0"/>
      <w:marTop w:val="0"/>
      <w:marBottom w:val="0"/>
      <w:divBdr>
        <w:top w:val="none" w:sz="0" w:space="0" w:color="auto"/>
        <w:left w:val="none" w:sz="0" w:space="0" w:color="auto"/>
        <w:bottom w:val="none" w:sz="0" w:space="0" w:color="auto"/>
        <w:right w:val="none" w:sz="0" w:space="0" w:color="auto"/>
      </w:divBdr>
    </w:div>
    <w:div w:id="212039406">
      <w:bodyDiv w:val="1"/>
      <w:marLeft w:val="0"/>
      <w:marRight w:val="0"/>
      <w:marTop w:val="0"/>
      <w:marBottom w:val="0"/>
      <w:divBdr>
        <w:top w:val="none" w:sz="0" w:space="0" w:color="auto"/>
        <w:left w:val="none" w:sz="0" w:space="0" w:color="auto"/>
        <w:bottom w:val="none" w:sz="0" w:space="0" w:color="auto"/>
        <w:right w:val="none" w:sz="0" w:space="0" w:color="auto"/>
      </w:divBdr>
    </w:div>
    <w:div w:id="280232892">
      <w:bodyDiv w:val="1"/>
      <w:marLeft w:val="0"/>
      <w:marRight w:val="0"/>
      <w:marTop w:val="0"/>
      <w:marBottom w:val="0"/>
      <w:divBdr>
        <w:top w:val="none" w:sz="0" w:space="0" w:color="auto"/>
        <w:left w:val="none" w:sz="0" w:space="0" w:color="auto"/>
        <w:bottom w:val="none" w:sz="0" w:space="0" w:color="auto"/>
        <w:right w:val="none" w:sz="0" w:space="0" w:color="auto"/>
      </w:divBdr>
    </w:div>
    <w:div w:id="348724041">
      <w:bodyDiv w:val="1"/>
      <w:marLeft w:val="0"/>
      <w:marRight w:val="0"/>
      <w:marTop w:val="0"/>
      <w:marBottom w:val="0"/>
      <w:divBdr>
        <w:top w:val="none" w:sz="0" w:space="0" w:color="auto"/>
        <w:left w:val="none" w:sz="0" w:space="0" w:color="auto"/>
        <w:bottom w:val="none" w:sz="0" w:space="0" w:color="auto"/>
        <w:right w:val="none" w:sz="0" w:space="0" w:color="auto"/>
      </w:divBdr>
    </w:div>
    <w:div w:id="747577280">
      <w:bodyDiv w:val="1"/>
      <w:marLeft w:val="0"/>
      <w:marRight w:val="0"/>
      <w:marTop w:val="0"/>
      <w:marBottom w:val="0"/>
      <w:divBdr>
        <w:top w:val="none" w:sz="0" w:space="0" w:color="auto"/>
        <w:left w:val="none" w:sz="0" w:space="0" w:color="auto"/>
        <w:bottom w:val="none" w:sz="0" w:space="0" w:color="auto"/>
        <w:right w:val="none" w:sz="0" w:space="0" w:color="auto"/>
      </w:divBdr>
    </w:div>
    <w:div w:id="774787248">
      <w:bodyDiv w:val="1"/>
      <w:marLeft w:val="0"/>
      <w:marRight w:val="0"/>
      <w:marTop w:val="0"/>
      <w:marBottom w:val="0"/>
      <w:divBdr>
        <w:top w:val="none" w:sz="0" w:space="0" w:color="auto"/>
        <w:left w:val="none" w:sz="0" w:space="0" w:color="auto"/>
        <w:bottom w:val="none" w:sz="0" w:space="0" w:color="auto"/>
        <w:right w:val="none" w:sz="0" w:space="0" w:color="auto"/>
      </w:divBdr>
    </w:div>
    <w:div w:id="853306216">
      <w:bodyDiv w:val="1"/>
      <w:marLeft w:val="0"/>
      <w:marRight w:val="0"/>
      <w:marTop w:val="0"/>
      <w:marBottom w:val="0"/>
      <w:divBdr>
        <w:top w:val="none" w:sz="0" w:space="0" w:color="auto"/>
        <w:left w:val="none" w:sz="0" w:space="0" w:color="auto"/>
        <w:bottom w:val="none" w:sz="0" w:space="0" w:color="auto"/>
        <w:right w:val="none" w:sz="0" w:space="0" w:color="auto"/>
      </w:divBdr>
    </w:div>
    <w:div w:id="915744587">
      <w:bodyDiv w:val="1"/>
      <w:marLeft w:val="0"/>
      <w:marRight w:val="0"/>
      <w:marTop w:val="0"/>
      <w:marBottom w:val="0"/>
      <w:divBdr>
        <w:top w:val="none" w:sz="0" w:space="0" w:color="auto"/>
        <w:left w:val="none" w:sz="0" w:space="0" w:color="auto"/>
        <w:bottom w:val="none" w:sz="0" w:space="0" w:color="auto"/>
        <w:right w:val="none" w:sz="0" w:space="0" w:color="auto"/>
      </w:divBdr>
    </w:div>
    <w:div w:id="942298872">
      <w:bodyDiv w:val="1"/>
      <w:marLeft w:val="0"/>
      <w:marRight w:val="0"/>
      <w:marTop w:val="0"/>
      <w:marBottom w:val="0"/>
      <w:divBdr>
        <w:top w:val="none" w:sz="0" w:space="0" w:color="auto"/>
        <w:left w:val="none" w:sz="0" w:space="0" w:color="auto"/>
        <w:bottom w:val="none" w:sz="0" w:space="0" w:color="auto"/>
        <w:right w:val="none" w:sz="0" w:space="0" w:color="auto"/>
      </w:divBdr>
    </w:div>
    <w:div w:id="1067654804">
      <w:bodyDiv w:val="1"/>
      <w:marLeft w:val="0"/>
      <w:marRight w:val="0"/>
      <w:marTop w:val="0"/>
      <w:marBottom w:val="0"/>
      <w:divBdr>
        <w:top w:val="none" w:sz="0" w:space="0" w:color="auto"/>
        <w:left w:val="none" w:sz="0" w:space="0" w:color="auto"/>
        <w:bottom w:val="none" w:sz="0" w:space="0" w:color="auto"/>
        <w:right w:val="none" w:sz="0" w:space="0" w:color="auto"/>
      </w:divBdr>
    </w:div>
    <w:div w:id="1546528254">
      <w:bodyDiv w:val="1"/>
      <w:marLeft w:val="0"/>
      <w:marRight w:val="0"/>
      <w:marTop w:val="0"/>
      <w:marBottom w:val="0"/>
      <w:divBdr>
        <w:top w:val="none" w:sz="0" w:space="0" w:color="auto"/>
        <w:left w:val="none" w:sz="0" w:space="0" w:color="auto"/>
        <w:bottom w:val="none" w:sz="0" w:space="0" w:color="auto"/>
        <w:right w:val="none" w:sz="0" w:space="0" w:color="auto"/>
      </w:divBdr>
    </w:div>
    <w:div w:id="1698196949">
      <w:bodyDiv w:val="1"/>
      <w:marLeft w:val="0"/>
      <w:marRight w:val="0"/>
      <w:marTop w:val="0"/>
      <w:marBottom w:val="0"/>
      <w:divBdr>
        <w:top w:val="none" w:sz="0" w:space="0" w:color="auto"/>
        <w:left w:val="none" w:sz="0" w:space="0" w:color="auto"/>
        <w:bottom w:val="none" w:sz="0" w:space="0" w:color="auto"/>
        <w:right w:val="none" w:sz="0" w:space="0" w:color="auto"/>
      </w:divBdr>
    </w:div>
    <w:div w:id="1744376302">
      <w:bodyDiv w:val="1"/>
      <w:marLeft w:val="0"/>
      <w:marRight w:val="0"/>
      <w:marTop w:val="0"/>
      <w:marBottom w:val="0"/>
      <w:divBdr>
        <w:top w:val="none" w:sz="0" w:space="0" w:color="auto"/>
        <w:left w:val="none" w:sz="0" w:space="0" w:color="auto"/>
        <w:bottom w:val="none" w:sz="0" w:space="0" w:color="auto"/>
        <w:right w:val="none" w:sz="0" w:space="0" w:color="auto"/>
      </w:divBdr>
    </w:div>
    <w:div w:id="1756776732">
      <w:bodyDiv w:val="1"/>
      <w:marLeft w:val="0"/>
      <w:marRight w:val="0"/>
      <w:marTop w:val="0"/>
      <w:marBottom w:val="0"/>
      <w:divBdr>
        <w:top w:val="none" w:sz="0" w:space="0" w:color="auto"/>
        <w:left w:val="none" w:sz="0" w:space="0" w:color="auto"/>
        <w:bottom w:val="none" w:sz="0" w:space="0" w:color="auto"/>
        <w:right w:val="none" w:sz="0" w:space="0" w:color="auto"/>
      </w:divBdr>
    </w:div>
    <w:div w:id="1777559583">
      <w:bodyDiv w:val="1"/>
      <w:marLeft w:val="0"/>
      <w:marRight w:val="0"/>
      <w:marTop w:val="0"/>
      <w:marBottom w:val="0"/>
      <w:divBdr>
        <w:top w:val="none" w:sz="0" w:space="0" w:color="auto"/>
        <w:left w:val="none" w:sz="0" w:space="0" w:color="auto"/>
        <w:bottom w:val="none" w:sz="0" w:space="0" w:color="auto"/>
        <w:right w:val="none" w:sz="0" w:space="0" w:color="auto"/>
      </w:divBdr>
      <w:divsChild>
        <w:div w:id="1312444311">
          <w:marLeft w:val="0"/>
          <w:marRight w:val="0"/>
          <w:marTop w:val="166"/>
          <w:marBottom w:val="166"/>
          <w:divBdr>
            <w:top w:val="none" w:sz="0" w:space="0" w:color="auto"/>
            <w:left w:val="none" w:sz="0" w:space="0" w:color="auto"/>
            <w:bottom w:val="none" w:sz="0" w:space="0" w:color="auto"/>
            <w:right w:val="none" w:sz="0" w:space="0" w:color="auto"/>
          </w:divBdr>
        </w:div>
        <w:div w:id="1630549349">
          <w:marLeft w:val="0"/>
          <w:marRight w:val="0"/>
          <w:marTop w:val="166"/>
          <w:marBottom w:val="166"/>
          <w:divBdr>
            <w:top w:val="none" w:sz="0" w:space="0" w:color="auto"/>
            <w:left w:val="none" w:sz="0" w:space="0" w:color="auto"/>
            <w:bottom w:val="none" w:sz="0" w:space="0" w:color="auto"/>
            <w:right w:val="none" w:sz="0" w:space="0" w:color="auto"/>
          </w:divBdr>
        </w:div>
      </w:divsChild>
    </w:div>
    <w:div w:id="1835341255">
      <w:bodyDiv w:val="1"/>
      <w:marLeft w:val="0"/>
      <w:marRight w:val="0"/>
      <w:marTop w:val="0"/>
      <w:marBottom w:val="0"/>
      <w:divBdr>
        <w:top w:val="none" w:sz="0" w:space="0" w:color="auto"/>
        <w:left w:val="none" w:sz="0" w:space="0" w:color="auto"/>
        <w:bottom w:val="none" w:sz="0" w:space="0" w:color="auto"/>
        <w:right w:val="none" w:sz="0" w:space="0" w:color="auto"/>
      </w:divBdr>
    </w:div>
    <w:div w:id="2096129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 /><Relationship Id="rId3" Type="http://schemas.openxmlformats.org/officeDocument/2006/relationships/styles" Target="styles.xml" /><Relationship Id="rId7" Type="http://schemas.openxmlformats.org/officeDocument/2006/relationships/endnotes" Target="endnotes.xml" /><Relationship Id="rId12" Type="http://schemas.openxmlformats.org/officeDocument/2006/relationships/theme" Target="theme/theme1.xml" /><Relationship Id="rId2" Type="http://schemas.openxmlformats.org/officeDocument/2006/relationships/numbering" Target="numbering.xm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fontTable" Target="fontTable.xml" /><Relationship Id="rId5" Type="http://schemas.openxmlformats.org/officeDocument/2006/relationships/webSettings" Target="webSettings.xml" /><Relationship Id="rId10" Type="http://schemas.openxmlformats.org/officeDocument/2006/relationships/footer" Target="footer1.xml" /><Relationship Id="rId4" Type="http://schemas.openxmlformats.org/officeDocument/2006/relationships/settings" Target="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936857-37CA-4379-8023-67EA6639D171}">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958</Words>
  <Characters>6010</Characters>
  <Application>Microsoft Office Word</Application>
  <DocSecurity>0</DocSecurity>
  <Lines>50</Lines>
  <Paragraphs>13</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ALI EL SHAGABI</cp:lastModifiedBy>
  <cp:revision>2</cp:revision>
  <cp:lastPrinted>2019-03-09T11:37:00Z</cp:lastPrinted>
  <dcterms:created xsi:type="dcterms:W3CDTF">2022-06-20T15:36:00Z</dcterms:created>
  <dcterms:modified xsi:type="dcterms:W3CDTF">2022-06-20T15:36:00Z</dcterms:modified>
</cp:coreProperties>
</file>