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1D13" w:rsidRDefault="00161D13" w:rsidP="00161D13">
      <w:pPr>
        <w:jc w:val="center"/>
        <w:rPr>
          <w:rFonts w:asciiTheme="majorBidi" w:hAnsiTheme="majorBidi" w:cstheme="majorBidi"/>
          <w:sz w:val="32"/>
          <w:szCs w:val="32"/>
        </w:rPr>
      </w:pPr>
      <w:bookmarkStart w:id="0" w:name="_GoBack"/>
      <w:bookmarkEnd w:id="0"/>
      <w:r>
        <w:rPr>
          <w:noProof/>
        </w:rPr>
        <w:drawing>
          <wp:anchor distT="0" distB="0" distL="114300" distR="114300" simplePos="0" relativeHeight="251659264" behindDoc="0" locked="0" layoutInCell="1" allowOverlap="1">
            <wp:simplePos x="0" y="0"/>
            <wp:positionH relativeFrom="column">
              <wp:posOffset>-327025</wp:posOffset>
            </wp:positionH>
            <wp:positionV relativeFrom="paragraph">
              <wp:posOffset>-288925</wp:posOffset>
            </wp:positionV>
            <wp:extent cx="936625" cy="932815"/>
            <wp:effectExtent l="0" t="0" r="0" b="635"/>
            <wp:wrapNone/>
            <wp:docPr id="3" name="صورة 3" descr="الوصف: C:\Users\HP\Desktop\b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وصف: C:\Users\HP\Desktop\bms.png"/>
                    <pic:cNvPicPr>
                      <a:picLocks noChangeAspect="1" noChangeArrowheads="1"/>
                    </pic:cNvPicPr>
                  </pic:nvPicPr>
                  <pic:blipFill>
                    <a:blip r:embed="rId8">
                      <a:extLst>
                        <a:ext uri="{28A0092B-C50C-407E-A947-70E740481C1C}">
                          <a14:useLocalDpi xmlns:a14="http://schemas.microsoft.com/office/drawing/2010/main" val="0"/>
                        </a:ext>
                      </a:extLst>
                    </a:blip>
                    <a:srcRect l="22810" r="17886"/>
                    <a:stretch>
                      <a:fillRect/>
                    </a:stretch>
                  </pic:blipFill>
                  <pic:spPr bwMode="auto">
                    <a:xfrm>
                      <a:off x="0" y="0"/>
                      <a:ext cx="936625" cy="93281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1" locked="0" layoutInCell="1" allowOverlap="1">
            <wp:simplePos x="0" y="0"/>
            <wp:positionH relativeFrom="column">
              <wp:posOffset>5451475</wp:posOffset>
            </wp:positionH>
            <wp:positionV relativeFrom="paragraph">
              <wp:posOffset>-373380</wp:posOffset>
            </wp:positionV>
            <wp:extent cx="1016000" cy="1022350"/>
            <wp:effectExtent l="0" t="0" r="0" b="6350"/>
            <wp:wrapThrough wrapText="bothSides">
              <wp:wrapPolygon edited="0">
                <wp:start x="0" y="0"/>
                <wp:lineTo x="0" y="21332"/>
                <wp:lineTo x="21060" y="21332"/>
                <wp:lineTo x="21060" y="0"/>
                <wp:lineTo x="0" y="0"/>
              </wp:wrapPolygon>
            </wp:wrapThrough>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6000" cy="1022350"/>
                    </a:xfrm>
                    <a:prstGeom prst="rect">
                      <a:avLst/>
                    </a:prstGeom>
                    <a:noFill/>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32"/>
          <w:szCs w:val="32"/>
        </w:rPr>
        <w:t xml:space="preserve">         Libyan International Medical University</w:t>
      </w:r>
    </w:p>
    <w:p w:rsidR="00161D13" w:rsidRDefault="00161D13" w:rsidP="00161D13">
      <w:pPr>
        <w:jc w:val="center"/>
        <w:rPr>
          <w:rFonts w:asciiTheme="majorBidi" w:hAnsiTheme="majorBidi" w:cstheme="majorBidi"/>
          <w:b/>
          <w:bCs/>
          <w:sz w:val="32"/>
          <w:szCs w:val="32"/>
        </w:rPr>
      </w:pPr>
      <w:r>
        <w:rPr>
          <w:rFonts w:asciiTheme="majorBidi" w:hAnsiTheme="majorBidi" w:cstheme="majorBidi"/>
          <w:b/>
          <w:bCs/>
          <w:sz w:val="28"/>
          <w:szCs w:val="28"/>
        </w:rPr>
        <w:t xml:space="preserve">        Faculty of Basic Medical Science</w:t>
      </w:r>
    </w:p>
    <w:p w:rsidR="00161D13" w:rsidRDefault="00161D13" w:rsidP="00161D13">
      <w:pPr>
        <w:jc w:val="both"/>
        <w:rPr>
          <w:rFonts w:asciiTheme="majorBidi" w:hAnsiTheme="majorBidi" w:cstheme="majorBidi"/>
          <w:sz w:val="32"/>
          <w:szCs w:val="32"/>
          <w:shd w:val="clear" w:color="auto" w:fill="FFFFFF"/>
        </w:rPr>
      </w:pPr>
    </w:p>
    <w:p w:rsidR="00161D13" w:rsidRDefault="00161D13" w:rsidP="00161D13">
      <w:pPr>
        <w:jc w:val="center"/>
        <w:rPr>
          <w:rFonts w:asciiTheme="majorBidi" w:hAnsiTheme="majorBidi" w:cstheme="majorBidi"/>
          <w:b/>
          <w:bCs/>
          <w:sz w:val="32"/>
          <w:szCs w:val="32"/>
        </w:rPr>
      </w:pPr>
    </w:p>
    <w:p w:rsidR="00161D13" w:rsidRDefault="00161D13" w:rsidP="00161D13">
      <w:pPr>
        <w:jc w:val="center"/>
        <w:rPr>
          <w:rFonts w:asciiTheme="majorBidi" w:hAnsiTheme="majorBidi" w:cstheme="majorBidi"/>
          <w:b/>
          <w:bCs/>
          <w:sz w:val="32"/>
          <w:szCs w:val="32"/>
        </w:rPr>
      </w:pPr>
    </w:p>
    <w:p w:rsidR="00161D13" w:rsidRPr="009918D5" w:rsidRDefault="00161D13" w:rsidP="00161D13">
      <w:pPr>
        <w:shd w:val="clear" w:color="auto" w:fill="FFFFFF"/>
        <w:spacing w:after="0"/>
        <w:jc w:val="center"/>
        <w:rPr>
          <w:rFonts w:asciiTheme="majorBidi" w:eastAsia="Times New Roman" w:hAnsiTheme="majorBidi" w:cstheme="majorBidi"/>
          <w:b/>
          <w:bCs/>
          <w:color w:val="333333"/>
          <w:sz w:val="36"/>
          <w:szCs w:val="36"/>
        </w:rPr>
      </w:pPr>
      <w:r>
        <w:rPr>
          <w:rFonts w:asciiTheme="majorBidi" w:eastAsia="Times New Roman" w:hAnsiTheme="majorBidi" w:cstheme="majorBidi"/>
          <w:b/>
          <w:bCs/>
          <w:color w:val="000000" w:themeColor="text1"/>
          <w:sz w:val="36"/>
          <w:szCs w:val="32"/>
        </w:rPr>
        <w:t xml:space="preserve"> </w:t>
      </w:r>
      <w:r w:rsidRPr="009918D5">
        <w:rPr>
          <w:rFonts w:asciiTheme="majorBidi" w:eastAsia="Times New Roman" w:hAnsiTheme="majorBidi" w:cstheme="majorBidi"/>
          <w:b/>
          <w:bCs/>
          <w:color w:val="000000" w:themeColor="text1"/>
          <w:sz w:val="36"/>
          <w:szCs w:val="36"/>
        </w:rPr>
        <w:t>Asymptomatic Bacteriuria among LIMU studen</w:t>
      </w:r>
      <w:r w:rsidRPr="009918D5">
        <w:rPr>
          <w:rFonts w:asciiTheme="majorBidi" w:eastAsia="Times New Roman" w:hAnsiTheme="majorBidi" w:cstheme="majorBidi"/>
          <w:b/>
          <w:bCs/>
          <w:color w:val="333333"/>
          <w:sz w:val="36"/>
          <w:szCs w:val="36"/>
        </w:rPr>
        <w:t>ts</w:t>
      </w:r>
    </w:p>
    <w:p w:rsidR="00161D13" w:rsidRDefault="00161D13" w:rsidP="00161D13">
      <w:pPr>
        <w:shd w:val="clear" w:color="auto" w:fill="FFFFFF"/>
        <w:spacing w:after="0"/>
        <w:jc w:val="center"/>
        <w:rPr>
          <w:rFonts w:asciiTheme="majorBidi" w:eastAsia="Times New Roman" w:hAnsiTheme="majorBidi" w:cstheme="majorBidi"/>
          <w:b/>
          <w:bCs/>
          <w:color w:val="333333"/>
          <w:sz w:val="36"/>
          <w:szCs w:val="32"/>
        </w:rPr>
      </w:pPr>
      <w:r>
        <w:rPr>
          <w:rFonts w:asciiTheme="majorBidi" w:eastAsia="Times New Roman" w:hAnsiTheme="majorBidi" w:cstheme="majorBidi"/>
          <w:b/>
          <w:bCs/>
          <w:color w:val="333333"/>
          <w:sz w:val="36"/>
          <w:szCs w:val="32"/>
        </w:rPr>
        <w:t xml:space="preserve"> </w:t>
      </w:r>
    </w:p>
    <w:p w:rsidR="00161D13" w:rsidRDefault="00161D13" w:rsidP="00161D13">
      <w:pPr>
        <w:jc w:val="center"/>
        <w:rPr>
          <w:rFonts w:asciiTheme="majorBidi" w:hAnsiTheme="majorBidi" w:cstheme="majorBidi"/>
          <w:b/>
          <w:bCs/>
          <w:sz w:val="36"/>
          <w:szCs w:val="36"/>
        </w:rPr>
      </w:pPr>
    </w:p>
    <w:p w:rsidR="00161D13" w:rsidRDefault="00161D13" w:rsidP="00161D13">
      <w:pPr>
        <w:jc w:val="center"/>
        <w:rPr>
          <w:rFonts w:asciiTheme="majorBidi" w:hAnsiTheme="majorBidi" w:cstheme="majorBidi"/>
          <w:b/>
          <w:bCs/>
          <w:sz w:val="36"/>
          <w:szCs w:val="36"/>
        </w:rPr>
      </w:pPr>
    </w:p>
    <w:p w:rsidR="00161D13" w:rsidRDefault="00161D13" w:rsidP="00161D13">
      <w:pPr>
        <w:pStyle w:val="a3"/>
        <w:bidi/>
        <w:spacing w:before="0" w:beforeAutospacing="0" w:after="0" w:afterAutospacing="0" w:line="276" w:lineRule="auto"/>
        <w:jc w:val="center"/>
        <w:rPr>
          <w:rFonts w:asciiTheme="majorBidi" w:hAnsiTheme="majorBidi" w:cstheme="majorBidi"/>
          <w:sz w:val="32"/>
          <w:szCs w:val="32"/>
        </w:rPr>
      </w:pPr>
    </w:p>
    <w:p w:rsidR="00161D13" w:rsidRDefault="00161D13" w:rsidP="00161D13">
      <w:pPr>
        <w:pStyle w:val="a3"/>
        <w:bidi/>
        <w:spacing w:before="0" w:beforeAutospacing="0" w:after="0" w:afterAutospacing="0" w:line="276" w:lineRule="auto"/>
        <w:jc w:val="center"/>
        <w:rPr>
          <w:rFonts w:asciiTheme="majorBidi" w:eastAsia="+mn-ea" w:hAnsiTheme="majorBidi" w:cstheme="majorBidi"/>
          <w:color w:val="17365D" w:themeColor="text2" w:themeShade="BF"/>
          <w:kern w:val="24"/>
          <w:sz w:val="32"/>
          <w:szCs w:val="32"/>
        </w:rPr>
      </w:pPr>
      <w:r>
        <w:rPr>
          <w:rFonts w:asciiTheme="majorBidi" w:hAnsiTheme="majorBidi" w:cstheme="majorBidi"/>
          <w:color w:val="17365D" w:themeColor="text2" w:themeShade="BF"/>
          <w:sz w:val="32"/>
          <w:szCs w:val="32"/>
        </w:rPr>
        <w:t xml:space="preserve">Student Name : Fatma Fahmi Gaouda </w:t>
      </w:r>
    </w:p>
    <w:p w:rsidR="00161D13" w:rsidRDefault="00161D13" w:rsidP="00161D13">
      <w:pPr>
        <w:pStyle w:val="a3"/>
        <w:bidi/>
        <w:spacing w:before="0" w:beforeAutospacing="0" w:after="0" w:afterAutospacing="0" w:line="276" w:lineRule="auto"/>
        <w:jc w:val="center"/>
        <w:rPr>
          <w:rFonts w:asciiTheme="majorBidi" w:hAnsiTheme="majorBidi" w:cstheme="majorBidi"/>
          <w:sz w:val="32"/>
          <w:szCs w:val="32"/>
          <w:rtl/>
        </w:rPr>
      </w:pPr>
    </w:p>
    <w:p w:rsidR="00161D13" w:rsidRDefault="00161D13" w:rsidP="00161D13">
      <w:pPr>
        <w:jc w:val="center"/>
        <w:rPr>
          <w:rFonts w:asciiTheme="majorBidi" w:hAnsiTheme="majorBidi" w:cstheme="majorBidi"/>
          <w:color w:val="17365D" w:themeColor="text2" w:themeShade="BF"/>
          <w:sz w:val="32"/>
          <w:szCs w:val="32"/>
        </w:rPr>
      </w:pPr>
      <w:r>
        <w:rPr>
          <w:rFonts w:asciiTheme="majorBidi" w:hAnsiTheme="majorBidi" w:cstheme="majorBidi"/>
          <w:color w:val="17365D" w:themeColor="text2" w:themeShade="BF"/>
          <w:sz w:val="32"/>
          <w:szCs w:val="32"/>
        </w:rPr>
        <w:t>Student Number  : 2993</w:t>
      </w:r>
    </w:p>
    <w:p w:rsidR="00161D13" w:rsidRDefault="00161D13" w:rsidP="00161D13">
      <w:pPr>
        <w:jc w:val="center"/>
        <w:rPr>
          <w:rFonts w:asciiTheme="majorBidi" w:hAnsiTheme="majorBidi" w:cstheme="majorBidi"/>
          <w:sz w:val="32"/>
          <w:szCs w:val="32"/>
          <w:lang w:bidi="ar-LY"/>
        </w:rPr>
      </w:pPr>
    </w:p>
    <w:p w:rsidR="00161D13" w:rsidRDefault="00161D13" w:rsidP="00161D13">
      <w:pPr>
        <w:jc w:val="center"/>
        <w:rPr>
          <w:rFonts w:asciiTheme="majorBidi" w:hAnsiTheme="majorBidi" w:cstheme="majorBidi"/>
          <w:sz w:val="32"/>
          <w:szCs w:val="32"/>
          <w:rtl/>
        </w:rPr>
      </w:pPr>
    </w:p>
    <w:p w:rsidR="00161D13" w:rsidRDefault="00161D13" w:rsidP="00161D13">
      <w:pPr>
        <w:jc w:val="center"/>
        <w:rPr>
          <w:rFonts w:asciiTheme="majorBidi" w:hAnsiTheme="majorBidi" w:cstheme="majorBidi"/>
          <w:sz w:val="32"/>
          <w:szCs w:val="32"/>
        </w:rPr>
      </w:pPr>
    </w:p>
    <w:p w:rsidR="00161D13" w:rsidRDefault="00161D13" w:rsidP="00161D13">
      <w:pPr>
        <w:jc w:val="center"/>
        <w:rPr>
          <w:rFonts w:asciiTheme="majorBidi" w:hAnsiTheme="majorBidi" w:cstheme="majorBidi"/>
          <w:sz w:val="32"/>
          <w:szCs w:val="32"/>
          <w:rtl/>
        </w:rPr>
      </w:pPr>
    </w:p>
    <w:p w:rsidR="00161D13" w:rsidRDefault="00161D13" w:rsidP="00161D13">
      <w:pPr>
        <w:jc w:val="center"/>
        <w:rPr>
          <w:rFonts w:asciiTheme="majorBidi" w:hAnsiTheme="majorBidi" w:cstheme="majorBidi"/>
          <w:sz w:val="32"/>
          <w:szCs w:val="32"/>
        </w:rPr>
      </w:pPr>
    </w:p>
    <w:p w:rsidR="00161D13" w:rsidRDefault="00161D13" w:rsidP="00161D13">
      <w:pPr>
        <w:jc w:val="center"/>
        <w:rPr>
          <w:rFonts w:asciiTheme="majorBidi" w:hAnsiTheme="majorBidi" w:cstheme="majorBidi"/>
          <w:sz w:val="32"/>
          <w:szCs w:val="32"/>
        </w:rPr>
      </w:pPr>
    </w:p>
    <w:p w:rsidR="00161D13" w:rsidRDefault="00161D13" w:rsidP="00161D13">
      <w:pPr>
        <w:rPr>
          <w:rFonts w:asciiTheme="majorBidi" w:hAnsiTheme="majorBidi" w:cstheme="majorBidi"/>
          <w:sz w:val="32"/>
          <w:szCs w:val="32"/>
        </w:rPr>
      </w:pPr>
    </w:p>
    <w:p w:rsidR="00161D13" w:rsidRPr="009918D5" w:rsidRDefault="00161D13" w:rsidP="00161D13">
      <w:pPr>
        <w:pStyle w:val="a3"/>
        <w:spacing w:before="0" w:beforeAutospacing="0" w:after="0" w:afterAutospacing="0"/>
        <w:rPr>
          <w:rFonts w:asciiTheme="minorBidi" w:hAnsiTheme="minorBidi" w:cstheme="minorBidi"/>
          <w:sz w:val="32"/>
          <w:szCs w:val="32"/>
        </w:rPr>
      </w:pPr>
      <w:r w:rsidRPr="009918D5">
        <w:rPr>
          <w:rFonts w:asciiTheme="minorBidi" w:hAnsiTheme="minorBidi" w:cstheme="minorBidi"/>
          <w:b/>
          <w:bCs/>
          <w:color w:val="002060"/>
          <w:sz w:val="32"/>
          <w:szCs w:val="32"/>
        </w:rPr>
        <w:t>Supervisor:</w:t>
      </w:r>
      <w:r w:rsidRPr="009918D5">
        <w:rPr>
          <w:rFonts w:asciiTheme="minorBidi" w:hAnsiTheme="minorBidi" w:cstheme="minorBidi"/>
          <w:sz w:val="32"/>
          <w:szCs w:val="32"/>
        </w:rPr>
        <w:t xml:space="preserve"> Dr. Intisar Alnagi</w:t>
      </w:r>
    </w:p>
    <w:p w:rsidR="00161D13" w:rsidRDefault="007A034C" w:rsidP="007A034C">
      <w:pPr>
        <w:tabs>
          <w:tab w:val="left" w:pos="2614"/>
        </w:tabs>
        <w:rPr>
          <w:rFonts w:asciiTheme="minorBidi" w:hAnsiTheme="minorBidi"/>
          <w:sz w:val="28"/>
          <w:szCs w:val="28"/>
        </w:rPr>
      </w:pPr>
      <w:r>
        <w:rPr>
          <w:rFonts w:asciiTheme="minorBidi" w:hAnsiTheme="minorBidi"/>
          <w:sz w:val="28"/>
          <w:szCs w:val="28"/>
        </w:rPr>
        <w:tab/>
      </w:r>
    </w:p>
    <w:p w:rsidR="00161D13" w:rsidRPr="009918D5" w:rsidRDefault="00161D13" w:rsidP="00161D13">
      <w:pPr>
        <w:spacing w:after="0"/>
        <w:jc w:val="both"/>
        <w:rPr>
          <w:rFonts w:asciiTheme="minorBidi" w:hAnsiTheme="minorBidi"/>
          <w:color w:val="17365D" w:themeColor="text2" w:themeShade="BF"/>
          <w:sz w:val="32"/>
          <w:szCs w:val="32"/>
          <w:rtl/>
        </w:rPr>
      </w:pPr>
      <w:r w:rsidRPr="009918D5">
        <w:rPr>
          <w:rFonts w:asciiTheme="minorBidi" w:hAnsiTheme="minorBidi"/>
          <w:b/>
          <w:bCs/>
          <w:color w:val="002060"/>
          <w:sz w:val="32"/>
          <w:szCs w:val="32"/>
        </w:rPr>
        <w:t>Assisted by:</w:t>
      </w:r>
      <w:r w:rsidR="007A034C">
        <w:rPr>
          <w:rFonts w:asciiTheme="minorBidi" w:hAnsiTheme="minorBidi"/>
          <w:color w:val="002060"/>
          <w:sz w:val="32"/>
          <w:szCs w:val="32"/>
        </w:rPr>
        <w:t xml:space="preserve"> </w:t>
      </w:r>
      <w:r w:rsidR="007A034C" w:rsidRPr="007A034C">
        <w:rPr>
          <w:rFonts w:asciiTheme="minorBidi" w:hAnsiTheme="minorBidi"/>
          <w:color w:val="000000" w:themeColor="text1"/>
          <w:sz w:val="32"/>
          <w:szCs w:val="32"/>
        </w:rPr>
        <w:t>Dr</w:t>
      </w:r>
      <w:r w:rsidR="007A034C">
        <w:rPr>
          <w:rFonts w:asciiTheme="minorBidi" w:hAnsiTheme="minorBidi"/>
          <w:color w:val="002060"/>
          <w:sz w:val="32"/>
          <w:szCs w:val="32"/>
        </w:rPr>
        <w:t>.</w:t>
      </w:r>
      <w:r w:rsidRPr="009918D5">
        <w:rPr>
          <w:rFonts w:asciiTheme="minorBidi" w:hAnsiTheme="minorBidi"/>
          <w:color w:val="002060"/>
          <w:sz w:val="32"/>
          <w:szCs w:val="32"/>
        </w:rPr>
        <w:t xml:space="preserve"> </w:t>
      </w:r>
      <w:r w:rsidRPr="009918D5">
        <w:rPr>
          <w:rFonts w:asciiTheme="minorBidi" w:hAnsiTheme="minorBidi"/>
          <w:sz w:val="32"/>
          <w:szCs w:val="32"/>
        </w:rPr>
        <w:t>Najee Elhemri</w:t>
      </w:r>
    </w:p>
    <w:p w:rsidR="00161D13" w:rsidRDefault="00161D13" w:rsidP="00161D13">
      <w:pPr>
        <w:spacing w:after="0"/>
        <w:jc w:val="both"/>
        <w:rPr>
          <w:rFonts w:asciiTheme="majorBidi" w:hAnsiTheme="majorBidi" w:cstheme="majorBidi"/>
          <w:b/>
          <w:bCs/>
          <w:color w:val="17365D" w:themeColor="text2" w:themeShade="BF"/>
          <w:sz w:val="28"/>
          <w:szCs w:val="28"/>
        </w:rPr>
      </w:pPr>
    </w:p>
    <w:p w:rsidR="00161D13" w:rsidRDefault="00161D13" w:rsidP="00161D13">
      <w:pPr>
        <w:spacing w:after="0"/>
        <w:jc w:val="both"/>
        <w:rPr>
          <w:rFonts w:asciiTheme="majorBidi" w:hAnsiTheme="majorBidi" w:cstheme="majorBidi"/>
          <w:b/>
          <w:bCs/>
          <w:color w:val="17365D" w:themeColor="text2" w:themeShade="BF"/>
          <w:sz w:val="28"/>
          <w:szCs w:val="28"/>
        </w:rPr>
      </w:pPr>
    </w:p>
    <w:p w:rsidR="00161D13" w:rsidRDefault="00161D13" w:rsidP="00161D13">
      <w:pPr>
        <w:spacing w:after="0"/>
        <w:jc w:val="both"/>
        <w:rPr>
          <w:rFonts w:asciiTheme="majorBidi" w:hAnsiTheme="majorBidi" w:cstheme="majorBidi"/>
          <w:b/>
          <w:bCs/>
          <w:color w:val="17365D" w:themeColor="text2" w:themeShade="BF"/>
          <w:sz w:val="28"/>
          <w:szCs w:val="28"/>
        </w:rPr>
      </w:pPr>
    </w:p>
    <w:p w:rsidR="00161D13" w:rsidRDefault="00161D13" w:rsidP="00161D13">
      <w:pPr>
        <w:spacing w:after="0"/>
        <w:jc w:val="both"/>
        <w:rPr>
          <w:rFonts w:asciiTheme="majorBidi" w:hAnsiTheme="majorBidi" w:cstheme="majorBidi"/>
          <w:b/>
          <w:bCs/>
          <w:color w:val="17365D" w:themeColor="text2" w:themeShade="BF"/>
          <w:sz w:val="28"/>
          <w:szCs w:val="28"/>
        </w:rPr>
      </w:pPr>
    </w:p>
    <w:p w:rsidR="00161D13" w:rsidRDefault="00161D13" w:rsidP="00161D13"/>
    <w:p w:rsidR="00161D13" w:rsidRDefault="00161D13" w:rsidP="00161D13">
      <w:pPr>
        <w:spacing w:after="0"/>
        <w:jc w:val="both"/>
        <w:rPr>
          <w:rtl/>
        </w:rPr>
      </w:pPr>
    </w:p>
    <w:p w:rsidR="00161D13" w:rsidRDefault="00161D13" w:rsidP="00161D13">
      <w:pPr>
        <w:spacing w:after="0"/>
        <w:jc w:val="both"/>
        <w:rPr>
          <w:rFonts w:asciiTheme="minorBidi" w:hAnsiTheme="minorBidi"/>
          <w:b/>
          <w:bCs/>
          <w:color w:val="17365D" w:themeColor="text2" w:themeShade="BF"/>
          <w:sz w:val="28"/>
          <w:szCs w:val="28"/>
        </w:rPr>
      </w:pPr>
      <w:r>
        <w:rPr>
          <w:rFonts w:asciiTheme="minorBidi" w:hAnsiTheme="minorBidi"/>
          <w:b/>
          <w:bCs/>
          <w:color w:val="17365D" w:themeColor="text2" w:themeShade="BF"/>
          <w:sz w:val="28"/>
          <w:szCs w:val="28"/>
        </w:rPr>
        <w:t xml:space="preserve">1- Abstract </w:t>
      </w:r>
    </w:p>
    <w:p w:rsidR="00161D13" w:rsidRDefault="00161D13" w:rsidP="00161D13">
      <w:pPr>
        <w:ind w:left="360"/>
        <w:jc w:val="both"/>
        <w:rPr>
          <w:rFonts w:asciiTheme="minorBidi" w:hAnsiTheme="minorBidi"/>
          <w:sz w:val="24"/>
          <w:szCs w:val="24"/>
        </w:rPr>
      </w:pPr>
      <w:r>
        <w:rPr>
          <w:rFonts w:asciiTheme="minorBidi" w:hAnsiTheme="minorBidi"/>
          <w:sz w:val="24"/>
          <w:szCs w:val="24"/>
          <w:shd w:val="clear" w:color="auto" w:fill="FFFFFF"/>
        </w:rPr>
        <w:t>The goal of this study is to seek out how common asymptomatic bacteriuria is among Libyan International Medical University students. There are twenty-four participants students during this study. urine samples were taken from each man and woman. Around 54.1 % of LIMU students have asymptomatic bacteriuria, which is outlined as a significant microorganism count within the urine. during this study, the chi-squared test and also the Fisher's exact test was used, and the results revealed that (P=0.018) there have been statistically significant variations in asymptomatic bacteriuria by gender. Females were more possible than males to possess asymptomatic bacteriuria. E.coli, the foremost common reason for asymptomatic bacteriuria, was discovered.</w:t>
      </w: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2C49BB" w:rsidRDefault="002C49BB" w:rsidP="00161D13">
      <w:pPr>
        <w:ind w:left="360"/>
        <w:jc w:val="both"/>
        <w:rPr>
          <w:rFonts w:asciiTheme="minorBidi" w:hAnsiTheme="minorBidi"/>
          <w:sz w:val="24"/>
          <w:szCs w:val="24"/>
        </w:rPr>
      </w:pPr>
    </w:p>
    <w:p w:rsidR="00161D13" w:rsidRDefault="00161D13" w:rsidP="00161D13">
      <w:pPr>
        <w:jc w:val="both"/>
        <w:rPr>
          <w:rFonts w:asciiTheme="minorBidi" w:hAnsiTheme="minorBidi"/>
          <w:b/>
          <w:bCs/>
          <w:color w:val="17365D" w:themeColor="text2" w:themeShade="BF"/>
          <w:sz w:val="28"/>
          <w:szCs w:val="28"/>
        </w:rPr>
      </w:pPr>
      <w:r>
        <w:rPr>
          <w:rFonts w:asciiTheme="minorBidi" w:hAnsiTheme="minorBidi"/>
          <w:b/>
          <w:bCs/>
          <w:color w:val="17365D" w:themeColor="text2" w:themeShade="BF"/>
          <w:sz w:val="28"/>
          <w:szCs w:val="28"/>
        </w:rPr>
        <w:lastRenderedPageBreak/>
        <w:t>2- Introduction</w:t>
      </w:r>
    </w:p>
    <w:p w:rsidR="00161D13" w:rsidRDefault="00161D13" w:rsidP="00161D13">
      <w:pPr>
        <w:spacing w:after="0" w:line="240" w:lineRule="auto"/>
        <w:ind w:left="360"/>
        <w:rPr>
          <w:rFonts w:asciiTheme="minorBidi" w:hAnsiTheme="minorBidi"/>
          <w:sz w:val="24"/>
          <w:szCs w:val="24"/>
          <w:shd w:val="clear" w:color="auto" w:fill="FFFFFF"/>
        </w:rPr>
      </w:pPr>
      <w:r>
        <w:rPr>
          <w:rFonts w:asciiTheme="minorBidi" w:hAnsiTheme="minorBidi"/>
          <w:sz w:val="24"/>
          <w:szCs w:val="24"/>
          <w:shd w:val="clear" w:color="auto" w:fill="FFFFFF"/>
        </w:rPr>
        <w:t>The presence of bacteria in properly collected urine of a patient who seems to have no signs or symptoms of a urinary tract infection is identified as asymptomatic bacteriuria.</w:t>
      </w:r>
      <w:r>
        <w:rPr>
          <w:rFonts w:asciiTheme="minorBidi" w:hAnsiTheme="minorBidi"/>
          <w:sz w:val="24"/>
          <w:szCs w:val="24"/>
        </w:rPr>
        <w:t xml:space="preserve"> </w:t>
      </w:r>
      <w:r>
        <w:rPr>
          <w:rFonts w:asciiTheme="minorBidi" w:hAnsiTheme="minorBidi"/>
          <w:sz w:val="24"/>
          <w:szCs w:val="24"/>
          <w:shd w:val="clear" w:color="auto" w:fill="FFFFFF"/>
        </w:rPr>
        <w:t>It's caused by bacterial colonization of the urinary tract.</w:t>
      </w:r>
    </w:p>
    <w:p w:rsidR="00161D13" w:rsidRDefault="00161D13" w:rsidP="00161D13">
      <w:pPr>
        <w:spacing w:after="0" w:line="240" w:lineRule="auto"/>
        <w:ind w:left="360"/>
        <w:rPr>
          <w:rFonts w:asciiTheme="minorBidi" w:hAnsiTheme="minorBidi"/>
          <w:sz w:val="24"/>
          <w:szCs w:val="24"/>
          <w:shd w:val="clear" w:color="auto" w:fill="FFFFFF"/>
        </w:rPr>
      </w:pPr>
    </w:p>
    <w:p w:rsidR="00161D13" w:rsidRDefault="00161D13" w:rsidP="00161D13">
      <w:pPr>
        <w:spacing w:after="0" w:line="240" w:lineRule="auto"/>
        <w:ind w:left="360"/>
        <w:rPr>
          <w:rFonts w:asciiTheme="minorBidi" w:hAnsiTheme="minorBidi"/>
          <w:sz w:val="24"/>
          <w:szCs w:val="24"/>
          <w:shd w:val="clear" w:color="auto" w:fill="FFFFFF"/>
        </w:rPr>
      </w:pPr>
      <w:r>
        <w:rPr>
          <w:rFonts w:asciiTheme="minorBidi" w:hAnsiTheme="minorBidi"/>
          <w:sz w:val="24"/>
          <w:szCs w:val="24"/>
          <w:shd w:val="clear" w:color="auto" w:fill="FFFFFF"/>
        </w:rPr>
        <w:t>The growth of bacteria on culture media is measured in colony-forming units (CFU), also the method of the collection must be taken into account.</w:t>
      </w:r>
    </w:p>
    <w:p w:rsidR="00161D13" w:rsidRDefault="00161D13" w:rsidP="00161D13">
      <w:pPr>
        <w:spacing w:after="0" w:line="240" w:lineRule="auto"/>
        <w:ind w:left="360"/>
        <w:rPr>
          <w:rFonts w:asciiTheme="minorBidi" w:hAnsiTheme="minorBidi"/>
          <w:sz w:val="24"/>
          <w:szCs w:val="24"/>
          <w:shd w:val="clear" w:color="auto" w:fill="FFFFFF"/>
        </w:rPr>
      </w:pPr>
    </w:p>
    <w:p w:rsidR="00161D13" w:rsidRDefault="00161D13" w:rsidP="00161D13">
      <w:pPr>
        <w:spacing w:after="0" w:line="240" w:lineRule="auto"/>
        <w:ind w:left="360"/>
        <w:rPr>
          <w:rFonts w:asciiTheme="minorBidi" w:eastAsia="Times New Roman" w:hAnsiTheme="minorBidi"/>
          <w:sz w:val="24"/>
          <w:szCs w:val="24"/>
        </w:rPr>
      </w:pPr>
      <w:r>
        <w:rPr>
          <w:rFonts w:asciiTheme="minorBidi" w:hAnsiTheme="minorBidi"/>
          <w:sz w:val="24"/>
          <w:szCs w:val="24"/>
          <w:shd w:val="clear" w:color="auto" w:fill="FFFFFF"/>
        </w:rPr>
        <w:t>A urinary tract infection (UI) is an infection of any part of the urinary system, such as the kidneys, urinary tract, bladder, and urethra. Most infections involve the lower urinary tract (bladder and urethra). A urinary tract infection (UTI) usually occurs when bacteria enter the urinary tract through the urethra and begin to multiply in the bladder. and the bacteria become a complete urinary tract infection. (6)</w:t>
      </w:r>
    </w:p>
    <w:p w:rsidR="00161D13" w:rsidRDefault="00161D13" w:rsidP="00161D13">
      <w:pPr>
        <w:spacing w:after="0" w:line="240" w:lineRule="auto"/>
        <w:ind w:left="360"/>
        <w:rPr>
          <w:rFonts w:asciiTheme="minorBidi" w:eastAsia="Times New Roman" w:hAnsiTheme="minorBidi"/>
          <w:sz w:val="24"/>
          <w:szCs w:val="24"/>
        </w:rPr>
      </w:pPr>
    </w:p>
    <w:p w:rsidR="00161D13" w:rsidRDefault="00161D13" w:rsidP="00161D13">
      <w:pPr>
        <w:spacing w:after="0" w:line="240" w:lineRule="auto"/>
        <w:ind w:left="360"/>
        <w:rPr>
          <w:rFonts w:asciiTheme="minorBidi" w:eastAsia="Times New Roman" w:hAnsiTheme="minorBidi"/>
          <w:sz w:val="24"/>
          <w:szCs w:val="24"/>
        </w:rPr>
      </w:pPr>
      <w:r>
        <w:rPr>
          <w:rFonts w:asciiTheme="minorBidi" w:eastAsia="Times New Roman" w:hAnsiTheme="minorBidi"/>
          <w:sz w:val="24"/>
          <w:szCs w:val="24"/>
        </w:rPr>
        <w:t>it can be caused by a variety of factors, including E. coli.</w:t>
      </w:r>
    </w:p>
    <w:p w:rsidR="00161D13" w:rsidRDefault="00161D13" w:rsidP="00161D13">
      <w:pPr>
        <w:spacing w:after="0" w:line="240" w:lineRule="auto"/>
        <w:ind w:left="360"/>
        <w:rPr>
          <w:rFonts w:asciiTheme="minorBidi" w:eastAsia="Times New Roman" w:hAnsiTheme="minorBidi"/>
          <w:sz w:val="24"/>
          <w:szCs w:val="24"/>
        </w:rPr>
      </w:pPr>
      <w:r>
        <w:rPr>
          <w:rFonts w:asciiTheme="minorBidi" w:eastAsia="Times New Roman" w:hAnsiTheme="minorBidi"/>
          <w:sz w:val="24"/>
          <w:szCs w:val="24"/>
        </w:rPr>
        <w:t xml:space="preserve">Most strains of (E. coli) are harmless or only cause mild diarrhea, but some strains, </w:t>
      </w:r>
    </w:p>
    <w:p w:rsidR="00161D13" w:rsidRDefault="00161D13" w:rsidP="00161D13">
      <w:pPr>
        <w:spacing w:after="0" w:line="240" w:lineRule="auto"/>
        <w:ind w:left="360"/>
        <w:rPr>
          <w:rFonts w:asciiTheme="minorBidi" w:eastAsia="Times New Roman" w:hAnsiTheme="minorBidi"/>
          <w:sz w:val="24"/>
          <w:szCs w:val="24"/>
        </w:rPr>
      </w:pPr>
    </w:p>
    <w:p w:rsidR="00161D13" w:rsidRDefault="00161D13" w:rsidP="00161D13">
      <w:pPr>
        <w:spacing w:after="0" w:line="240" w:lineRule="auto"/>
        <w:ind w:left="360"/>
        <w:rPr>
          <w:rFonts w:asciiTheme="minorBidi" w:eastAsia="Times New Roman" w:hAnsiTheme="minorBidi"/>
          <w:sz w:val="24"/>
          <w:szCs w:val="24"/>
        </w:rPr>
      </w:pPr>
      <w:r>
        <w:rPr>
          <w:rFonts w:asciiTheme="minorBidi" w:eastAsia="Times New Roman" w:hAnsiTheme="minorBidi"/>
          <w:sz w:val="24"/>
          <w:szCs w:val="24"/>
        </w:rPr>
        <w:t xml:space="preserve">If you have a UTI, and it spreads to your kidneys, some serious consequences could occur. </w:t>
      </w:r>
    </w:p>
    <w:p w:rsidR="00161D13" w:rsidRDefault="00161D13" w:rsidP="00161D13">
      <w:pPr>
        <w:spacing w:after="0" w:line="240" w:lineRule="auto"/>
        <w:ind w:left="360"/>
        <w:rPr>
          <w:rFonts w:asciiTheme="minorBidi" w:eastAsia="Times New Roman" w:hAnsiTheme="minorBidi"/>
          <w:sz w:val="24"/>
          <w:szCs w:val="24"/>
        </w:rPr>
      </w:pPr>
    </w:p>
    <w:p w:rsidR="00161D13" w:rsidRDefault="00161D13" w:rsidP="00161D13">
      <w:pPr>
        <w:spacing w:after="0" w:line="240" w:lineRule="auto"/>
        <w:ind w:left="360"/>
        <w:rPr>
          <w:rFonts w:asciiTheme="minorBidi" w:eastAsia="Times New Roman" w:hAnsiTheme="minorBidi"/>
          <w:sz w:val="24"/>
          <w:szCs w:val="24"/>
        </w:rPr>
      </w:pPr>
      <w:r>
        <w:rPr>
          <w:rFonts w:asciiTheme="minorBidi" w:eastAsia="Times New Roman" w:hAnsiTheme="minorBidi"/>
          <w:sz w:val="24"/>
          <w:szCs w:val="24"/>
        </w:rPr>
        <w:t xml:space="preserve">In this study report we will discuss the association between gender and </w:t>
      </w:r>
      <w:r>
        <w:rPr>
          <w:rFonts w:asciiTheme="minorBidi" w:hAnsiTheme="minorBidi"/>
          <w:sz w:val="24"/>
          <w:szCs w:val="24"/>
        </w:rPr>
        <w:t xml:space="preserve">the incidence of asymptotic bacteriuria  </w:t>
      </w:r>
    </w:p>
    <w:p w:rsidR="00161D13" w:rsidRDefault="00161D13" w:rsidP="00161D13">
      <w:pPr>
        <w:rPr>
          <w:rFonts w:asciiTheme="minorBidi" w:hAnsiTheme="minorBidi"/>
        </w:rPr>
      </w:pPr>
    </w:p>
    <w:p w:rsidR="00161D13" w:rsidRDefault="00161D13" w:rsidP="00161D13">
      <w:pPr>
        <w:rPr>
          <w:rFonts w:asciiTheme="minorBidi" w:hAnsiTheme="minorBidi"/>
          <w:rtl/>
        </w:rPr>
      </w:pPr>
    </w:p>
    <w:p w:rsidR="00161D13" w:rsidRDefault="00161D13" w:rsidP="00161D13">
      <w:pPr>
        <w:rPr>
          <w:rFonts w:asciiTheme="minorBidi" w:hAnsiTheme="minorBidi"/>
          <w:rtl/>
        </w:rPr>
      </w:pPr>
    </w:p>
    <w:p w:rsidR="00161D13" w:rsidRDefault="00161D13" w:rsidP="00161D13">
      <w:pPr>
        <w:rPr>
          <w:rFonts w:asciiTheme="minorBidi" w:hAnsiTheme="minorBidi"/>
          <w:rtl/>
        </w:rPr>
      </w:pPr>
    </w:p>
    <w:p w:rsidR="00161D13" w:rsidRDefault="00161D13" w:rsidP="00161D13">
      <w:pPr>
        <w:rPr>
          <w:rFonts w:asciiTheme="minorBidi" w:hAnsiTheme="minorBidi"/>
          <w:rtl/>
        </w:rPr>
      </w:pPr>
    </w:p>
    <w:p w:rsidR="00161D13" w:rsidRDefault="00161D13" w:rsidP="00161D13">
      <w:pPr>
        <w:rPr>
          <w:rFonts w:asciiTheme="minorBidi" w:hAnsiTheme="minorBidi"/>
          <w:rtl/>
        </w:rPr>
      </w:pPr>
    </w:p>
    <w:p w:rsidR="00161D13" w:rsidRDefault="00161D13" w:rsidP="00161D13">
      <w:pPr>
        <w:pStyle w:val="a4"/>
        <w:spacing w:line="276" w:lineRule="auto"/>
        <w:jc w:val="both"/>
        <w:rPr>
          <w:rFonts w:asciiTheme="minorBidi" w:hAnsiTheme="minorBidi"/>
          <w:b/>
          <w:bCs/>
          <w:color w:val="17365D" w:themeColor="text2" w:themeShade="BF"/>
          <w:sz w:val="28"/>
          <w:szCs w:val="28"/>
          <w:rtl/>
        </w:rPr>
      </w:pPr>
      <w:r>
        <w:rPr>
          <w:rFonts w:asciiTheme="minorBidi" w:hAnsiTheme="minorBidi"/>
          <w:b/>
          <w:bCs/>
          <w:color w:val="17365D" w:themeColor="text2" w:themeShade="BF"/>
          <w:sz w:val="28"/>
          <w:szCs w:val="28"/>
        </w:rPr>
        <w:t xml:space="preserve">3-  methods and Materials  </w:t>
      </w:r>
    </w:p>
    <w:p w:rsidR="00161D13" w:rsidRDefault="00161D13" w:rsidP="00161D13">
      <w:pPr>
        <w:pStyle w:val="a4"/>
        <w:spacing w:line="276" w:lineRule="auto"/>
        <w:jc w:val="both"/>
        <w:rPr>
          <w:rFonts w:asciiTheme="minorBidi" w:hAnsiTheme="minorBidi"/>
          <w:b/>
          <w:bCs/>
          <w:color w:val="17365D" w:themeColor="text2" w:themeShade="BF"/>
          <w:sz w:val="28"/>
          <w:szCs w:val="28"/>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 xml:space="preserve">In this study we have 24  healthy LIMU students  12 female and 12 male, Asymptomatic </w:t>
      </w: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bacteriuria was tested.</w:t>
      </w:r>
    </w:p>
    <w:p w:rsidR="00161D13" w:rsidRDefault="00161D13" w:rsidP="00161D13">
      <w:pPr>
        <w:pStyle w:val="a4"/>
        <w:tabs>
          <w:tab w:val="left" w:pos="945"/>
        </w:tabs>
        <w:jc w:val="both"/>
        <w:rPr>
          <w:rFonts w:asciiTheme="minorBidi" w:hAnsiTheme="minorBidi"/>
          <w:sz w:val="24"/>
          <w:szCs w:val="24"/>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In the sample collection, we have many different methods and we use the mid-stream clean catch in our study which is one of the most accurate and common methods.</w:t>
      </w:r>
    </w:p>
    <w:p w:rsidR="00161D13" w:rsidRDefault="00161D13" w:rsidP="00161D13">
      <w:pPr>
        <w:pStyle w:val="a4"/>
        <w:tabs>
          <w:tab w:val="left" w:pos="945"/>
        </w:tabs>
        <w:jc w:val="both"/>
        <w:rPr>
          <w:rFonts w:asciiTheme="minorBidi" w:hAnsiTheme="minorBidi"/>
          <w:sz w:val="24"/>
          <w:szCs w:val="24"/>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lastRenderedPageBreak/>
        <w:t xml:space="preserve">samples are collected by Holding a sterile container beneath the urethra and avoiding any skin contact with the specimen bottle </w:t>
      </w: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we asked The participants to clean their external genital parts and stop any antibiotics before.</w:t>
      </w:r>
    </w:p>
    <w:p w:rsidR="00161D13" w:rsidRDefault="00161D13" w:rsidP="00161D13">
      <w:pPr>
        <w:pStyle w:val="a4"/>
        <w:tabs>
          <w:tab w:val="left" w:pos="945"/>
        </w:tabs>
        <w:jc w:val="both"/>
        <w:rPr>
          <w:rFonts w:asciiTheme="minorBidi" w:hAnsiTheme="minorBidi"/>
          <w:sz w:val="24"/>
          <w:szCs w:val="24"/>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 xml:space="preserve">For urine culture, we use two types of media: MacConkey agar and the 5% sheep blood which facilitate the growth of most organisms that cause asymptomatic bacteriuria. </w:t>
      </w:r>
    </w:p>
    <w:p w:rsidR="00161D13" w:rsidRDefault="00161D13" w:rsidP="00161D13">
      <w:pPr>
        <w:pStyle w:val="a4"/>
        <w:tabs>
          <w:tab w:val="left" w:pos="945"/>
        </w:tabs>
        <w:jc w:val="both"/>
        <w:rPr>
          <w:rFonts w:asciiTheme="minorBidi" w:hAnsiTheme="minorBidi"/>
          <w:sz w:val="24"/>
          <w:szCs w:val="24"/>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 xml:space="preserve">Using a calibrated loop to inculcate urine </w:t>
      </w: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Insert the loop into the urine vertically to allow the urine to adhere to the loop.  spread the urine all over the agar plate's surface.</w:t>
      </w: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Colonies are counted on each plate after 24 hours of incubation at 37 degrees Celsius. (3)</w:t>
      </w:r>
    </w:p>
    <w:p w:rsidR="00161D13" w:rsidRDefault="00161D13" w:rsidP="00161D13">
      <w:pPr>
        <w:pStyle w:val="a4"/>
        <w:tabs>
          <w:tab w:val="left" w:pos="945"/>
        </w:tabs>
        <w:jc w:val="both"/>
        <w:rPr>
          <w:rFonts w:asciiTheme="minorBidi" w:hAnsiTheme="minorBidi"/>
          <w:sz w:val="24"/>
          <w:szCs w:val="24"/>
        </w:rPr>
      </w:pPr>
    </w:p>
    <w:p w:rsidR="00161D13" w:rsidRDefault="00161D13" w:rsidP="00161D13">
      <w:pPr>
        <w:pStyle w:val="a4"/>
        <w:tabs>
          <w:tab w:val="left" w:pos="945"/>
        </w:tabs>
        <w:jc w:val="both"/>
        <w:rPr>
          <w:rFonts w:asciiTheme="minorBidi" w:hAnsiTheme="minorBidi"/>
          <w:sz w:val="24"/>
          <w:szCs w:val="24"/>
        </w:rPr>
      </w:pPr>
      <w:r>
        <w:rPr>
          <w:rFonts w:asciiTheme="minorBidi" w:hAnsiTheme="minorBidi"/>
          <w:sz w:val="24"/>
          <w:szCs w:val="24"/>
        </w:rPr>
        <w:t>The previous methods and materials were used on 24 LIMU students (12 males and 12 females) and the data was used in the SPSS program to see if there was a relationship between gender and the occurrence of asymptotic bacteriuria.</w:t>
      </w:r>
    </w:p>
    <w:p w:rsidR="00161D13" w:rsidRDefault="00161D13" w:rsidP="00161D13">
      <w:pPr>
        <w:pStyle w:val="a4"/>
        <w:tabs>
          <w:tab w:val="left" w:pos="945"/>
        </w:tabs>
        <w:spacing w:line="276" w:lineRule="auto"/>
        <w:jc w:val="both"/>
        <w:rPr>
          <w:rFonts w:asciiTheme="minorBidi" w:hAnsiTheme="minorBidi"/>
          <w:sz w:val="24"/>
          <w:szCs w:val="24"/>
        </w:rPr>
      </w:pPr>
      <w:r>
        <w:rPr>
          <w:rFonts w:asciiTheme="minorBidi" w:hAnsiTheme="minorBidi"/>
          <w:sz w:val="24"/>
          <w:szCs w:val="24"/>
        </w:rPr>
        <w:t>For the statistical analysis, we used the chi-squared test and Fisher's Exact Test in the SPSS program.</w:t>
      </w:r>
    </w:p>
    <w:p w:rsidR="00161D13" w:rsidRDefault="00161D13" w:rsidP="00161D13">
      <w:pPr>
        <w:jc w:val="both"/>
        <w:rPr>
          <w:rFonts w:asciiTheme="minorBidi" w:hAnsiTheme="minorBidi"/>
        </w:rPr>
      </w:pPr>
    </w:p>
    <w:p w:rsidR="00161D13" w:rsidRDefault="00161D13" w:rsidP="00161D13">
      <w:pPr>
        <w:jc w:val="both"/>
        <w:rPr>
          <w:rFonts w:asciiTheme="minorBidi" w:hAnsiTheme="minorBidi"/>
          <w:b/>
          <w:bCs/>
          <w:noProof/>
          <w:color w:val="17365D" w:themeColor="text2" w:themeShade="BF"/>
          <w:sz w:val="24"/>
          <w:szCs w:val="24"/>
        </w:rPr>
      </w:pPr>
      <w:r>
        <w:rPr>
          <w:rFonts w:asciiTheme="minorBidi" w:hAnsiTheme="minorBidi"/>
          <w:b/>
          <w:bCs/>
          <w:color w:val="17365D" w:themeColor="text2" w:themeShade="BF"/>
          <w:sz w:val="28"/>
          <w:szCs w:val="28"/>
        </w:rPr>
        <w:t>4- Results and</w:t>
      </w:r>
      <w:r>
        <w:rPr>
          <w:rFonts w:asciiTheme="minorBidi" w:hAnsiTheme="minorBidi"/>
          <w:b/>
          <w:bCs/>
          <w:noProof/>
          <w:color w:val="17365D" w:themeColor="text2" w:themeShade="BF"/>
          <w:sz w:val="28"/>
          <w:szCs w:val="28"/>
        </w:rPr>
        <w:t xml:space="preserve"> Statistical analysis  </w:t>
      </w:r>
    </w:p>
    <w:p w:rsidR="00161D13" w:rsidRDefault="00161D13" w:rsidP="00161D13">
      <w:pPr>
        <w:rPr>
          <w:rFonts w:asciiTheme="minorBidi" w:hAnsiTheme="minorBidi"/>
          <w:sz w:val="24"/>
          <w:szCs w:val="24"/>
        </w:rPr>
      </w:pPr>
      <w:r>
        <w:rPr>
          <w:rFonts w:asciiTheme="minorBidi" w:hAnsiTheme="minorBidi"/>
          <w:sz w:val="24"/>
          <w:szCs w:val="24"/>
        </w:rPr>
        <w:t>By using the SPSS program , we will do the chi-square test first</w:t>
      </w:r>
    </w:p>
    <w:p w:rsidR="00161D13" w:rsidRDefault="00161D13" w:rsidP="00161D13">
      <w:pPr>
        <w:rPr>
          <w:rFonts w:asciiTheme="minorBidi" w:hAnsiTheme="minorBidi"/>
          <w:b/>
          <w:bCs/>
          <w:color w:val="002060"/>
          <w:sz w:val="24"/>
          <w:szCs w:val="24"/>
        </w:rPr>
      </w:pPr>
      <w:r>
        <w:rPr>
          <w:rFonts w:asciiTheme="minorBidi" w:hAnsiTheme="minorBidi"/>
          <w:b/>
          <w:bCs/>
          <w:color w:val="002060"/>
          <w:sz w:val="24"/>
          <w:szCs w:val="24"/>
        </w:rPr>
        <w:t>Hypothesis:</w:t>
      </w:r>
    </w:p>
    <w:p w:rsidR="00161D13" w:rsidRDefault="00161D13" w:rsidP="00161D13">
      <w:pPr>
        <w:rPr>
          <w:rFonts w:asciiTheme="minorBidi" w:hAnsiTheme="minorBidi"/>
          <w:sz w:val="24"/>
          <w:szCs w:val="24"/>
        </w:rPr>
      </w:pPr>
      <w:r>
        <w:rPr>
          <w:rFonts w:asciiTheme="minorBidi" w:hAnsiTheme="minorBidi"/>
          <w:sz w:val="24"/>
          <w:szCs w:val="24"/>
        </w:rPr>
        <w:t xml:space="preserve">The null hypothesis: There is no association (relationship) between gender and ASBU </w:t>
      </w:r>
    </w:p>
    <w:p w:rsidR="00161D13" w:rsidRDefault="00161D13" w:rsidP="00161D13">
      <w:pPr>
        <w:rPr>
          <w:rFonts w:asciiTheme="minorBidi" w:hAnsiTheme="minorBidi"/>
          <w:sz w:val="24"/>
          <w:szCs w:val="24"/>
        </w:rPr>
      </w:pPr>
      <w:r>
        <w:rPr>
          <w:rFonts w:asciiTheme="minorBidi" w:hAnsiTheme="minorBidi"/>
          <w:sz w:val="24"/>
          <w:szCs w:val="24"/>
        </w:rPr>
        <w:t>The alternative hypothesis: they are associated</w:t>
      </w:r>
    </w:p>
    <w:p w:rsidR="00161D13" w:rsidRDefault="00161D13" w:rsidP="00161D13">
      <w:pPr>
        <w:autoSpaceDE w:val="0"/>
        <w:autoSpaceDN w:val="0"/>
        <w:adjustRightInd w:val="0"/>
        <w:spacing w:after="0" w:line="240" w:lineRule="auto"/>
        <w:rPr>
          <w:rFonts w:asciiTheme="minorBidi" w:hAnsiTheme="minorBidi"/>
          <w:b/>
          <w:bCs/>
          <w:color w:val="002060"/>
          <w:sz w:val="24"/>
          <w:szCs w:val="24"/>
        </w:rPr>
      </w:pPr>
      <w:r>
        <w:rPr>
          <w:rFonts w:asciiTheme="minorBidi" w:hAnsiTheme="minorBidi"/>
          <w:b/>
          <w:bCs/>
          <w:color w:val="002060"/>
          <w:sz w:val="24"/>
          <w:szCs w:val="24"/>
        </w:rPr>
        <w:t>Assumptions:</w:t>
      </w:r>
    </w:p>
    <w:p w:rsidR="00161D13" w:rsidRDefault="00161D13" w:rsidP="00161D13">
      <w:pPr>
        <w:autoSpaceDE w:val="0"/>
        <w:autoSpaceDN w:val="0"/>
        <w:adjustRightInd w:val="0"/>
        <w:spacing w:after="0" w:line="240" w:lineRule="auto"/>
        <w:rPr>
          <w:rFonts w:asciiTheme="minorBidi" w:hAnsiTheme="minorBidi"/>
          <w:color w:val="000000"/>
          <w:sz w:val="24"/>
          <w:szCs w:val="24"/>
        </w:rPr>
      </w:pPr>
    </w:p>
    <w:p w:rsidR="00161D13" w:rsidRDefault="00161D13" w:rsidP="00161D13">
      <w:pPr>
        <w:pStyle w:val="Default"/>
        <w:rPr>
          <w:rFonts w:asciiTheme="minorBidi" w:hAnsiTheme="minorBidi" w:cstheme="minorBidi"/>
        </w:rPr>
      </w:pPr>
      <w:r>
        <w:rPr>
          <w:rFonts w:asciiTheme="minorBidi" w:hAnsiTheme="minorBidi" w:cstheme="minorBidi"/>
          <w:b/>
          <w:bCs/>
        </w:rPr>
        <w:t>Random Sample:</w:t>
      </w:r>
      <w:r>
        <w:rPr>
          <w:rFonts w:asciiTheme="minorBidi" w:hAnsiTheme="minorBidi" w:cstheme="minorBidi"/>
        </w:rPr>
        <w:t xml:space="preserve"> The sample should be randomly selected from the population Independence</w:t>
      </w:r>
    </w:p>
    <w:p w:rsidR="00161D13" w:rsidRDefault="00161D13" w:rsidP="00161D13">
      <w:pPr>
        <w:autoSpaceDE w:val="0"/>
        <w:autoSpaceDN w:val="0"/>
        <w:adjustRightInd w:val="0"/>
        <w:spacing w:after="0" w:line="240" w:lineRule="auto"/>
        <w:rPr>
          <w:rFonts w:asciiTheme="minorBidi" w:hAnsiTheme="minorBidi"/>
          <w:color w:val="000000"/>
          <w:sz w:val="24"/>
          <w:szCs w:val="24"/>
        </w:rPr>
      </w:pPr>
    </w:p>
    <w:p w:rsidR="00161D13" w:rsidRDefault="00161D13" w:rsidP="00161D13">
      <w:pPr>
        <w:pStyle w:val="Default"/>
        <w:rPr>
          <w:rFonts w:asciiTheme="minorBidi" w:hAnsiTheme="minorBidi" w:cstheme="minorBidi"/>
          <w:b/>
          <w:bCs/>
        </w:rPr>
      </w:pPr>
      <w:r>
        <w:rPr>
          <w:rFonts w:asciiTheme="minorBidi" w:hAnsiTheme="minorBidi" w:cstheme="minorBidi"/>
          <w:b/>
          <w:bCs/>
        </w:rPr>
        <w:t xml:space="preserve">Adequate sample size: </w:t>
      </w:r>
    </w:p>
    <w:p w:rsidR="00161D13" w:rsidRDefault="00161D13" w:rsidP="00161D13">
      <w:pPr>
        <w:pStyle w:val="Default"/>
        <w:rPr>
          <w:rFonts w:asciiTheme="minorBidi" w:hAnsiTheme="minorBidi" w:cstheme="minorBidi"/>
          <w:color w:val="auto"/>
        </w:rPr>
      </w:pPr>
      <w:r>
        <w:rPr>
          <w:rFonts w:asciiTheme="minorBidi" w:hAnsiTheme="minorBidi" w:cstheme="minorBidi"/>
          <w:color w:val="auto"/>
        </w:rPr>
        <w:t>No more than 20% of the cells have expected count &lt; 5.</w:t>
      </w:r>
    </w:p>
    <w:p w:rsidR="00161D13" w:rsidRDefault="00161D13" w:rsidP="00161D13">
      <w:pPr>
        <w:pStyle w:val="Default"/>
        <w:rPr>
          <w:rFonts w:asciiTheme="minorBidi" w:hAnsiTheme="minorBidi" w:cstheme="minorBidi"/>
          <w:b/>
          <w:bCs/>
        </w:rPr>
      </w:pPr>
      <w:r>
        <w:rPr>
          <w:rFonts w:asciiTheme="minorBidi" w:hAnsiTheme="minorBidi" w:cstheme="minorBidi"/>
        </w:rPr>
        <w:t>The expected frequency (count) in each cell must be ≥1</w:t>
      </w:r>
    </w:p>
    <w:p w:rsidR="00161D13" w:rsidRDefault="00161D13" w:rsidP="00161D13">
      <w:pPr>
        <w:autoSpaceDE w:val="0"/>
        <w:autoSpaceDN w:val="0"/>
        <w:adjustRightInd w:val="0"/>
        <w:spacing w:after="443" w:line="240" w:lineRule="auto"/>
        <w:rPr>
          <w:rFonts w:asciiTheme="minorBidi" w:hAnsiTheme="minorBidi"/>
          <w:b/>
          <w:bCs/>
          <w:color w:val="002060"/>
          <w:sz w:val="24"/>
          <w:szCs w:val="24"/>
        </w:rPr>
      </w:pPr>
      <w:r>
        <w:rPr>
          <w:rFonts w:asciiTheme="minorBidi" w:hAnsiTheme="minorBidi"/>
          <w:b/>
          <w:bCs/>
          <w:color w:val="002060"/>
          <w:sz w:val="24"/>
          <w:szCs w:val="24"/>
        </w:rPr>
        <w:t>SPSS Output:</w:t>
      </w:r>
    </w:p>
    <w:tbl>
      <w:tblPr>
        <w:tblW w:w="8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860"/>
        <w:gridCol w:w="1030"/>
        <w:gridCol w:w="1030"/>
        <w:gridCol w:w="1030"/>
        <w:gridCol w:w="1030"/>
        <w:gridCol w:w="1030"/>
        <w:gridCol w:w="1030"/>
      </w:tblGrid>
      <w:tr w:rsidR="00161D13" w:rsidTr="00161D13">
        <w:trPr>
          <w:cantSplit/>
        </w:trPr>
        <w:tc>
          <w:tcPr>
            <w:tcW w:w="8033" w:type="dxa"/>
            <w:gridSpan w:val="7"/>
            <w:tcBorders>
              <w:top w:val="nil"/>
              <w:left w:val="nil"/>
              <w:bottom w:val="nil"/>
              <w:right w:val="nil"/>
            </w:tcBorders>
            <w:shd w:val="clear" w:color="auto" w:fill="FFFFFF"/>
            <w:vAlign w:val="center"/>
            <w:hideMark/>
          </w:tcPr>
          <w:p w:rsidR="00161D13" w:rsidRDefault="00161D13">
            <w:pPr>
              <w:autoSpaceDE w:val="0"/>
              <w:autoSpaceDN w:val="0"/>
              <w:adjustRightInd w:val="0"/>
              <w:spacing w:after="0" w:line="320" w:lineRule="atLeast"/>
              <w:ind w:left="60" w:right="60"/>
              <w:jc w:val="center"/>
              <w:rPr>
                <w:rFonts w:ascii="Arial" w:hAnsi="Arial" w:cs="Arial"/>
                <w:color w:val="010205"/>
                <w:lang w:val="en-GB"/>
              </w:rPr>
            </w:pPr>
            <w:r>
              <w:rPr>
                <w:rFonts w:ascii="Arial" w:hAnsi="Arial" w:cs="Arial"/>
                <w:b/>
                <w:bCs/>
                <w:color w:val="010205"/>
                <w:lang w:val="en-GB"/>
              </w:rPr>
              <w:t>Case Processing Summary</w:t>
            </w:r>
          </w:p>
        </w:tc>
      </w:tr>
      <w:tr w:rsidR="00161D13" w:rsidTr="00161D13">
        <w:trPr>
          <w:cantSplit/>
        </w:trPr>
        <w:tc>
          <w:tcPr>
            <w:tcW w:w="1859" w:type="dxa"/>
            <w:vMerge w:val="restart"/>
            <w:tcBorders>
              <w:top w:val="nil"/>
              <w:left w:val="nil"/>
              <w:bottom w:val="nil"/>
              <w:right w:val="nil"/>
            </w:tcBorders>
            <w:shd w:val="clear" w:color="auto" w:fill="FFFFFF"/>
            <w:vAlign w:val="bottom"/>
          </w:tcPr>
          <w:p w:rsidR="00161D13" w:rsidRDefault="00161D13">
            <w:pPr>
              <w:autoSpaceDE w:val="0"/>
              <w:autoSpaceDN w:val="0"/>
              <w:adjustRightInd w:val="0"/>
              <w:spacing w:after="0" w:line="240" w:lineRule="auto"/>
              <w:rPr>
                <w:rFonts w:ascii="Times New Roman" w:hAnsi="Times New Roman" w:cs="Times New Roman"/>
                <w:sz w:val="24"/>
                <w:szCs w:val="24"/>
                <w:lang w:val="en-GB"/>
              </w:rPr>
            </w:pPr>
          </w:p>
        </w:tc>
        <w:tc>
          <w:tcPr>
            <w:tcW w:w="6174" w:type="dxa"/>
            <w:gridSpan w:val="6"/>
            <w:tcBorders>
              <w:top w:val="nil"/>
              <w:left w:val="nil"/>
              <w:bottom w:val="nil"/>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Cases</w:t>
            </w:r>
          </w:p>
        </w:tc>
      </w:tr>
      <w:tr w:rsidR="00161D13" w:rsidTr="00161D13">
        <w:trPr>
          <w:cantSplit/>
        </w:trPr>
        <w:tc>
          <w:tcPr>
            <w:tcW w:w="8033" w:type="dxa"/>
            <w:vMerge/>
            <w:tcBorders>
              <w:top w:val="nil"/>
              <w:left w:val="nil"/>
              <w:bottom w:val="nil"/>
              <w:right w:val="nil"/>
            </w:tcBorders>
            <w:vAlign w:val="center"/>
            <w:hideMark/>
          </w:tcPr>
          <w:p w:rsidR="00161D13" w:rsidRDefault="00161D13">
            <w:pPr>
              <w:spacing w:after="0" w:line="240" w:lineRule="auto"/>
              <w:rPr>
                <w:rFonts w:ascii="Times New Roman" w:hAnsi="Times New Roman" w:cs="Times New Roman"/>
                <w:sz w:val="24"/>
                <w:szCs w:val="24"/>
                <w:lang w:val="en-GB"/>
              </w:rPr>
            </w:pPr>
          </w:p>
        </w:tc>
        <w:tc>
          <w:tcPr>
            <w:tcW w:w="2058" w:type="dxa"/>
            <w:gridSpan w:val="2"/>
            <w:tcBorders>
              <w:top w:val="nil"/>
              <w:left w:val="nil"/>
              <w:bottom w:val="nil"/>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Valid</w:t>
            </w:r>
          </w:p>
        </w:tc>
        <w:tc>
          <w:tcPr>
            <w:tcW w:w="2058" w:type="dxa"/>
            <w:gridSpan w:val="2"/>
            <w:tcBorders>
              <w:top w:val="nil"/>
              <w:left w:val="single" w:sz="8" w:space="0" w:color="E0E0E0"/>
              <w:bottom w:val="nil"/>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Missing</w:t>
            </w:r>
          </w:p>
        </w:tc>
        <w:tc>
          <w:tcPr>
            <w:tcW w:w="2058" w:type="dxa"/>
            <w:gridSpan w:val="2"/>
            <w:tcBorders>
              <w:top w:val="nil"/>
              <w:left w:val="single" w:sz="8" w:space="0" w:color="E0E0E0"/>
              <w:bottom w:val="nil"/>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Total</w:t>
            </w:r>
          </w:p>
        </w:tc>
      </w:tr>
      <w:tr w:rsidR="00161D13" w:rsidTr="00161D13">
        <w:trPr>
          <w:cantSplit/>
        </w:trPr>
        <w:tc>
          <w:tcPr>
            <w:tcW w:w="8033" w:type="dxa"/>
            <w:vMerge/>
            <w:tcBorders>
              <w:top w:val="nil"/>
              <w:left w:val="nil"/>
              <w:bottom w:val="nil"/>
              <w:right w:val="nil"/>
            </w:tcBorders>
            <w:vAlign w:val="center"/>
            <w:hideMark/>
          </w:tcPr>
          <w:p w:rsidR="00161D13" w:rsidRDefault="00161D13">
            <w:pPr>
              <w:spacing w:after="0" w:line="240" w:lineRule="auto"/>
              <w:rPr>
                <w:rFonts w:ascii="Times New Roman" w:hAnsi="Times New Roman" w:cs="Times New Roman"/>
                <w:sz w:val="24"/>
                <w:szCs w:val="24"/>
                <w:lang w:val="en-GB"/>
              </w:rPr>
            </w:pPr>
          </w:p>
        </w:tc>
        <w:tc>
          <w:tcPr>
            <w:tcW w:w="1029" w:type="dxa"/>
            <w:tcBorders>
              <w:top w:val="nil"/>
              <w:left w:val="nil"/>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N</w:t>
            </w:r>
          </w:p>
        </w:tc>
        <w:tc>
          <w:tcPr>
            <w:tcW w:w="1029" w:type="dxa"/>
            <w:tcBorders>
              <w:top w:val="nil"/>
              <w:left w:val="single" w:sz="8" w:space="0" w:color="E0E0E0"/>
              <w:bottom w:val="single" w:sz="8" w:space="0" w:color="152935"/>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N</w:t>
            </w:r>
          </w:p>
        </w:tc>
        <w:tc>
          <w:tcPr>
            <w:tcW w:w="1029" w:type="dxa"/>
            <w:tcBorders>
              <w:top w:val="nil"/>
              <w:left w:val="single" w:sz="8" w:space="0" w:color="E0E0E0"/>
              <w:bottom w:val="single" w:sz="8" w:space="0" w:color="152935"/>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N</w:t>
            </w:r>
          </w:p>
        </w:tc>
        <w:tc>
          <w:tcPr>
            <w:tcW w:w="1029" w:type="dxa"/>
            <w:tcBorders>
              <w:top w:val="nil"/>
              <w:left w:val="single" w:sz="8" w:space="0" w:color="E0E0E0"/>
              <w:bottom w:val="single" w:sz="8" w:space="0" w:color="152935"/>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Percent</w:t>
            </w:r>
          </w:p>
        </w:tc>
      </w:tr>
      <w:tr w:rsidR="00161D13" w:rsidTr="00161D13">
        <w:trPr>
          <w:cantSplit/>
        </w:trPr>
        <w:tc>
          <w:tcPr>
            <w:tcW w:w="1859" w:type="dxa"/>
            <w:tcBorders>
              <w:top w:val="single" w:sz="8" w:space="0" w:color="152935"/>
              <w:left w:val="nil"/>
              <w:bottom w:val="single" w:sz="8" w:space="0" w:color="152935"/>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lastRenderedPageBreak/>
              <w:t>Gender * UTICATS</w:t>
            </w:r>
          </w:p>
        </w:tc>
        <w:tc>
          <w:tcPr>
            <w:tcW w:w="1029" w:type="dxa"/>
            <w:tcBorders>
              <w:top w:val="single" w:sz="8" w:space="0" w:color="152935"/>
              <w:left w:val="nil"/>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24</w:t>
            </w:r>
          </w:p>
        </w:tc>
        <w:tc>
          <w:tcPr>
            <w:tcW w:w="1029" w:type="dxa"/>
            <w:tcBorders>
              <w:top w:val="single" w:sz="8" w:space="0" w:color="152935"/>
              <w:left w:val="single" w:sz="8" w:space="0" w:color="E0E0E0"/>
              <w:bottom w:val="single" w:sz="8" w:space="0" w:color="152935"/>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0</w:t>
            </w:r>
          </w:p>
        </w:tc>
        <w:tc>
          <w:tcPr>
            <w:tcW w:w="1029" w:type="dxa"/>
            <w:tcBorders>
              <w:top w:val="single" w:sz="8" w:space="0" w:color="152935"/>
              <w:left w:val="single" w:sz="8" w:space="0" w:color="E0E0E0"/>
              <w:bottom w:val="single" w:sz="8" w:space="0" w:color="152935"/>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24</w:t>
            </w:r>
          </w:p>
        </w:tc>
        <w:tc>
          <w:tcPr>
            <w:tcW w:w="1029" w:type="dxa"/>
            <w:tcBorders>
              <w:top w:val="single" w:sz="8" w:space="0" w:color="152935"/>
              <w:left w:val="single" w:sz="8" w:space="0" w:color="E0E0E0"/>
              <w:bottom w:val="single" w:sz="8" w:space="0" w:color="152935"/>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r>
    </w:tbl>
    <w:p w:rsidR="00161D13" w:rsidRDefault="00161D13" w:rsidP="00161D13">
      <w:pPr>
        <w:autoSpaceDE w:val="0"/>
        <w:autoSpaceDN w:val="0"/>
        <w:adjustRightInd w:val="0"/>
        <w:spacing w:after="443" w:line="240" w:lineRule="auto"/>
        <w:rPr>
          <w:rFonts w:cstheme="minorHAnsi"/>
          <w:sz w:val="24"/>
          <w:szCs w:val="24"/>
        </w:rPr>
      </w:pPr>
      <w:r>
        <w:rPr>
          <w:rFonts w:cstheme="minorHAnsi"/>
          <w:sz w:val="24"/>
          <w:szCs w:val="24"/>
        </w:rPr>
        <w:t xml:space="preserve">Figure 1.1 </w:t>
      </w:r>
    </w:p>
    <w:tbl>
      <w:tblPr>
        <w:tblW w:w="8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23"/>
        <w:gridCol w:w="938"/>
        <w:gridCol w:w="1813"/>
        <w:gridCol w:w="1152"/>
        <w:gridCol w:w="1475"/>
        <w:gridCol w:w="1475"/>
        <w:gridCol w:w="1029"/>
      </w:tblGrid>
      <w:tr w:rsidR="00161D13" w:rsidTr="00161D13">
        <w:trPr>
          <w:cantSplit/>
        </w:trPr>
        <w:tc>
          <w:tcPr>
            <w:tcW w:w="8803" w:type="dxa"/>
            <w:gridSpan w:val="7"/>
            <w:tcBorders>
              <w:top w:val="nil"/>
              <w:left w:val="nil"/>
              <w:bottom w:val="nil"/>
              <w:right w:val="nil"/>
            </w:tcBorders>
            <w:shd w:val="clear" w:color="auto" w:fill="FFFFFF"/>
            <w:vAlign w:val="center"/>
            <w:hideMark/>
          </w:tcPr>
          <w:p w:rsidR="00161D13" w:rsidRDefault="00161D13">
            <w:pPr>
              <w:autoSpaceDE w:val="0"/>
              <w:autoSpaceDN w:val="0"/>
              <w:adjustRightInd w:val="0"/>
              <w:spacing w:after="0" w:line="320" w:lineRule="atLeast"/>
              <w:ind w:left="60" w:right="60"/>
              <w:jc w:val="center"/>
              <w:rPr>
                <w:rFonts w:ascii="Arial" w:hAnsi="Arial" w:cs="Arial"/>
                <w:color w:val="010205"/>
                <w:lang w:val="en-GB"/>
              </w:rPr>
            </w:pPr>
            <w:r>
              <w:rPr>
                <w:rFonts w:ascii="Arial" w:hAnsi="Arial" w:cs="Arial"/>
                <w:b/>
                <w:bCs/>
                <w:color w:val="010205"/>
                <w:lang w:val="en-GB"/>
              </w:rPr>
              <w:t>Gender * UTICATS Crosstabulation</w:t>
            </w:r>
          </w:p>
        </w:tc>
      </w:tr>
      <w:tr w:rsidR="00161D13" w:rsidTr="00161D13">
        <w:trPr>
          <w:cantSplit/>
        </w:trPr>
        <w:tc>
          <w:tcPr>
            <w:tcW w:w="3672" w:type="dxa"/>
            <w:gridSpan w:val="3"/>
            <w:vMerge w:val="restart"/>
            <w:tcBorders>
              <w:top w:val="nil"/>
              <w:left w:val="nil"/>
              <w:bottom w:val="nil"/>
              <w:right w:val="nil"/>
            </w:tcBorders>
            <w:shd w:val="clear" w:color="auto" w:fill="FFFFFF"/>
            <w:vAlign w:val="bottom"/>
          </w:tcPr>
          <w:p w:rsidR="00161D13" w:rsidRDefault="00161D13">
            <w:pPr>
              <w:autoSpaceDE w:val="0"/>
              <w:autoSpaceDN w:val="0"/>
              <w:adjustRightInd w:val="0"/>
              <w:spacing w:after="0" w:line="240" w:lineRule="auto"/>
              <w:rPr>
                <w:rFonts w:ascii="Times New Roman" w:hAnsi="Times New Roman" w:cs="Times New Roman"/>
                <w:sz w:val="24"/>
                <w:szCs w:val="24"/>
                <w:lang w:val="en-GB"/>
              </w:rPr>
            </w:pPr>
          </w:p>
        </w:tc>
        <w:tc>
          <w:tcPr>
            <w:tcW w:w="4102" w:type="dxa"/>
            <w:gridSpan w:val="3"/>
            <w:tcBorders>
              <w:top w:val="nil"/>
              <w:left w:val="nil"/>
              <w:bottom w:val="nil"/>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UTICATS</w:t>
            </w:r>
          </w:p>
        </w:tc>
        <w:tc>
          <w:tcPr>
            <w:tcW w:w="1029" w:type="dxa"/>
            <w:vMerge w:val="restart"/>
            <w:tcBorders>
              <w:top w:val="nil"/>
              <w:left w:val="single" w:sz="8" w:space="0" w:color="E0E0E0"/>
              <w:bottom w:val="nil"/>
              <w:right w:val="nil"/>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Total</w:t>
            </w:r>
          </w:p>
        </w:tc>
      </w:tr>
      <w:tr w:rsidR="00161D13" w:rsidTr="00161D13">
        <w:trPr>
          <w:cantSplit/>
        </w:trPr>
        <w:tc>
          <w:tcPr>
            <w:tcW w:w="11553" w:type="dxa"/>
            <w:gridSpan w:val="3"/>
            <w:vMerge/>
            <w:tcBorders>
              <w:top w:val="nil"/>
              <w:left w:val="nil"/>
              <w:bottom w:val="nil"/>
              <w:right w:val="nil"/>
            </w:tcBorders>
            <w:vAlign w:val="center"/>
            <w:hideMark/>
          </w:tcPr>
          <w:p w:rsidR="00161D13" w:rsidRDefault="00161D13">
            <w:pPr>
              <w:spacing w:after="0" w:line="240" w:lineRule="auto"/>
              <w:rPr>
                <w:rFonts w:ascii="Times New Roman" w:hAnsi="Times New Roman" w:cs="Times New Roman"/>
                <w:sz w:val="24"/>
                <w:szCs w:val="24"/>
                <w:lang w:val="en-GB"/>
              </w:rPr>
            </w:pPr>
          </w:p>
        </w:tc>
        <w:tc>
          <w:tcPr>
            <w:tcW w:w="1152" w:type="dxa"/>
            <w:tcBorders>
              <w:top w:val="nil"/>
              <w:left w:val="nil"/>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hideMark/>
          </w:tcPr>
          <w:p w:rsidR="00161D13" w:rsidRDefault="00161D13">
            <w:pPr>
              <w:autoSpaceDE w:val="0"/>
              <w:autoSpaceDN w:val="0"/>
              <w:adjustRightInd w:val="0"/>
              <w:spacing w:after="0" w:line="320" w:lineRule="atLeast"/>
              <w:ind w:left="60" w:right="60"/>
              <w:jc w:val="center"/>
              <w:rPr>
                <w:rFonts w:ascii="Arial" w:hAnsi="Arial" w:cs="Arial"/>
                <w:color w:val="264A60"/>
                <w:sz w:val="18"/>
                <w:szCs w:val="18"/>
                <w:lang w:val="en-GB"/>
              </w:rPr>
            </w:pPr>
            <w:r>
              <w:rPr>
                <w:rFonts w:ascii="Arial" w:hAnsi="Arial" w:cs="Arial"/>
                <w:color w:val="264A60"/>
                <w:sz w:val="18"/>
                <w:szCs w:val="18"/>
                <w:lang w:val="en-GB"/>
              </w:rPr>
              <w:t>Significant growth</w:t>
            </w:r>
          </w:p>
        </w:tc>
        <w:tc>
          <w:tcPr>
            <w:tcW w:w="1029" w:type="dxa"/>
            <w:vMerge/>
            <w:tcBorders>
              <w:top w:val="nil"/>
              <w:left w:val="single" w:sz="8" w:space="0" w:color="E0E0E0"/>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r>
      <w:tr w:rsidR="00161D13" w:rsidTr="00161D13">
        <w:trPr>
          <w:cantSplit/>
        </w:trPr>
        <w:tc>
          <w:tcPr>
            <w:tcW w:w="922" w:type="dxa"/>
            <w:vMerge w:val="restart"/>
            <w:tcBorders>
              <w:top w:val="single" w:sz="8" w:space="0" w:color="152935"/>
              <w:left w:val="nil"/>
              <w:bottom w:val="nil"/>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Gender</w:t>
            </w:r>
          </w:p>
        </w:tc>
        <w:tc>
          <w:tcPr>
            <w:tcW w:w="937" w:type="dxa"/>
            <w:vMerge w:val="restart"/>
            <w:tcBorders>
              <w:top w:val="single" w:sz="8" w:space="0" w:color="152935"/>
              <w:left w:val="nil"/>
              <w:bottom w:val="nil"/>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Male</w:t>
            </w:r>
          </w:p>
        </w:tc>
        <w:tc>
          <w:tcPr>
            <w:tcW w:w="1813" w:type="dxa"/>
            <w:tcBorders>
              <w:top w:val="single" w:sz="8" w:space="0" w:color="152935"/>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Count</w:t>
            </w:r>
          </w:p>
        </w:tc>
        <w:tc>
          <w:tcPr>
            <w:tcW w:w="1152" w:type="dxa"/>
            <w:tcBorders>
              <w:top w:val="single" w:sz="8" w:space="0" w:color="152935"/>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0</w:t>
            </w:r>
          </w:p>
        </w:tc>
        <w:tc>
          <w:tcPr>
            <w:tcW w:w="1029" w:type="dxa"/>
            <w:tcBorders>
              <w:top w:val="single" w:sz="8" w:space="0" w:color="152935"/>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12</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Expected Count</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12.0</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Gender</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0.0%</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nil"/>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UTICATS</w:t>
            </w:r>
          </w:p>
        </w:tc>
        <w:tc>
          <w:tcPr>
            <w:tcW w:w="1152" w:type="dxa"/>
            <w:tcBorders>
              <w:top w:val="single" w:sz="8" w:space="0" w:color="AEAEAE"/>
              <w:left w:val="nil"/>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81.8%</w:t>
            </w:r>
          </w:p>
        </w:tc>
        <w:tc>
          <w:tcPr>
            <w:tcW w:w="1475" w:type="dxa"/>
            <w:tcBorders>
              <w:top w:val="single" w:sz="8" w:space="0" w:color="AEAEAE"/>
              <w:left w:val="single" w:sz="8" w:space="0" w:color="E0E0E0"/>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27.3%</w:t>
            </w:r>
          </w:p>
        </w:tc>
        <w:tc>
          <w:tcPr>
            <w:tcW w:w="1475" w:type="dxa"/>
            <w:tcBorders>
              <w:top w:val="single" w:sz="8" w:space="0" w:color="AEAEAE"/>
              <w:left w:val="single" w:sz="8" w:space="0" w:color="E0E0E0"/>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0.0%</w:t>
            </w:r>
          </w:p>
        </w:tc>
        <w:tc>
          <w:tcPr>
            <w:tcW w:w="1029" w:type="dxa"/>
            <w:tcBorders>
              <w:top w:val="single" w:sz="8" w:space="0" w:color="AEAEAE"/>
              <w:left w:val="single" w:sz="8" w:space="0" w:color="E0E0E0"/>
              <w:bottom w:val="nil"/>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50.0%</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val="restart"/>
            <w:tcBorders>
              <w:top w:val="single" w:sz="8" w:space="0" w:color="AEAEAE"/>
              <w:left w:val="nil"/>
              <w:bottom w:val="nil"/>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Female</w:t>
            </w: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Count</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12</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AEAEAE"/>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Expected Count</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12.0</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AEAEAE"/>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Gender</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16.7%</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r>
      <w:tr w:rsidR="00161D13" w:rsidTr="00161D13">
        <w:trPr>
          <w:cantSplit/>
        </w:trPr>
        <w:tc>
          <w:tcPr>
            <w:tcW w:w="8803" w:type="dxa"/>
            <w:vMerge/>
            <w:tcBorders>
              <w:top w:val="single" w:sz="8" w:space="0" w:color="152935"/>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937" w:type="dxa"/>
            <w:vMerge/>
            <w:tcBorders>
              <w:top w:val="single" w:sz="8" w:space="0" w:color="AEAEAE"/>
              <w:left w:val="nil"/>
              <w:bottom w:val="nil"/>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nil"/>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UTICATS</w:t>
            </w:r>
          </w:p>
        </w:tc>
        <w:tc>
          <w:tcPr>
            <w:tcW w:w="1152" w:type="dxa"/>
            <w:tcBorders>
              <w:top w:val="single" w:sz="8" w:space="0" w:color="AEAEAE"/>
              <w:left w:val="nil"/>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18.2%</w:t>
            </w:r>
          </w:p>
        </w:tc>
        <w:tc>
          <w:tcPr>
            <w:tcW w:w="1475" w:type="dxa"/>
            <w:tcBorders>
              <w:top w:val="single" w:sz="8" w:space="0" w:color="AEAEAE"/>
              <w:left w:val="single" w:sz="8" w:space="0" w:color="E0E0E0"/>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72.7%</w:t>
            </w:r>
          </w:p>
        </w:tc>
        <w:tc>
          <w:tcPr>
            <w:tcW w:w="1475" w:type="dxa"/>
            <w:tcBorders>
              <w:top w:val="single" w:sz="8" w:space="0" w:color="AEAEAE"/>
              <w:left w:val="single" w:sz="8" w:space="0" w:color="E0E0E0"/>
              <w:bottom w:val="nil"/>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c>
          <w:tcPr>
            <w:tcW w:w="1029" w:type="dxa"/>
            <w:tcBorders>
              <w:top w:val="single" w:sz="8" w:space="0" w:color="AEAEAE"/>
              <w:left w:val="single" w:sz="8" w:space="0" w:color="E0E0E0"/>
              <w:bottom w:val="nil"/>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50.0%</w:t>
            </w:r>
          </w:p>
        </w:tc>
      </w:tr>
      <w:tr w:rsidR="00161D13" w:rsidTr="00161D13">
        <w:trPr>
          <w:cantSplit/>
        </w:trPr>
        <w:tc>
          <w:tcPr>
            <w:tcW w:w="1859" w:type="dxa"/>
            <w:gridSpan w:val="2"/>
            <w:vMerge w:val="restart"/>
            <w:tcBorders>
              <w:top w:val="single" w:sz="8" w:space="0" w:color="AEAEAE"/>
              <w:left w:val="nil"/>
              <w:bottom w:val="single" w:sz="8" w:space="0" w:color="152935"/>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Total</w:t>
            </w: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Count</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24</w:t>
            </w:r>
          </w:p>
        </w:tc>
      </w:tr>
      <w:tr w:rsidR="00161D13" w:rsidTr="00161D13">
        <w:trPr>
          <w:cantSplit/>
        </w:trPr>
        <w:tc>
          <w:tcPr>
            <w:tcW w:w="9740" w:type="dxa"/>
            <w:gridSpan w:val="2"/>
            <w:vMerge/>
            <w:tcBorders>
              <w:top w:val="single" w:sz="8" w:space="0" w:color="AEAEAE"/>
              <w:left w:val="nil"/>
              <w:bottom w:val="single" w:sz="8" w:space="0" w:color="152935"/>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Expected Count</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2.0</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24.0</w:t>
            </w:r>
          </w:p>
        </w:tc>
      </w:tr>
      <w:tr w:rsidR="00161D13" w:rsidTr="00161D13">
        <w:trPr>
          <w:cantSplit/>
        </w:trPr>
        <w:tc>
          <w:tcPr>
            <w:tcW w:w="9740" w:type="dxa"/>
            <w:gridSpan w:val="2"/>
            <w:vMerge/>
            <w:tcBorders>
              <w:top w:val="single" w:sz="8" w:space="0" w:color="AEAEAE"/>
              <w:left w:val="nil"/>
              <w:bottom w:val="single" w:sz="8" w:space="0" w:color="152935"/>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AEAEAE"/>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Gender</w:t>
            </w:r>
          </w:p>
        </w:tc>
        <w:tc>
          <w:tcPr>
            <w:tcW w:w="1152" w:type="dxa"/>
            <w:tcBorders>
              <w:top w:val="single" w:sz="8" w:space="0" w:color="AEAEAE"/>
              <w:left w:val="nil"/>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8.3%</w:t>
            </w:r>
          </w:p>
        </w:tc>
        <w:tc>
          <w:tcPr>
            <w:tcW w:w="1029" w:type="dxa"/>
            <w:tcBorders>
              <w:top w:val="single" w:sz="8" w:space="0" w:color="AEAEAE"/>
              <w:left w:val="single" w:sz="8" w:space="0" w:color="E0E0E0"/>
              <w:bottom w:val="single" w:sz="8" w:space="0" w:color="AEAEAE"/>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r>
      <w:tr w:rsidR="00161D13" w:rsidTr="00161D13">
        <w:trPr>
          <w:cantSplit/>
        </w:trPr>
        <w:tc>
          <w:tcPr>
            <w:tcW w:w="9740" w:type="dxa"/>
            <w:gridSpan w:val="2"/>
            <w:vMerge/>
            <w:tcBorders>
              <w:top w:val="single" w:sz="8" w:space="0" w:color="AEAEAE"/>
              <w:left w:val="nil"/>
              <w:bottom w:val="single" w:sz="8" w:space="0" w:color="152935"/>
              <w:right w:val="nil"/>
            </w:tcBorders>
            <w:vAlign w:val="center"/>
            <w:hideMark/>
          </w:tcPr>
          <w:p w:rsidR="00161D13" w:rsidRDefault="00161D13">
            <w:pPr>
              <w:spacing w:after="0" w:line="240" w:lineRule="auto"/>
              <w:rPr>
                <w:rFonts w:ascii="Arial" w:hAnsi="Arial" w:cs="Arial"/>
                <w:color w:val="264A60"/>
                <w:sz w:val="18"/>
                <w:szCs w:val="18"/>
                <w:lang w:val="en-GB"/>
              </w:rPr>
            </w:pPr>
          </w:p>
        </w:tc>
        <w:tc>
          <w:tcPr>
            <w:tcW w:w="1813" w:type="dxa"/>
            <w:tcBorders>
              <w:top w:val="single" w:sz="8" w:space="0" w:color="AEAEAE"/>
              <w:left w:val="nil"/>
              <w:bottom w:val="single" w:sz="8" w:space="0" w:color="152935"/>
              <w:right w:val="nil"/>
            </w:tcBorders>
            <w:shd w:val="clear" w:color="auto" w:fill="E0E0E0"/>
            <w:hideMark/>
          </w:tcPr>
          <w:p w:rsidR="00161D13" w:rsidRDefault="00161D13">
            <w:pPr>
              <w:autoSpaceDE w:val="0"/>
              <w:autoSpaceDN w:val="0"/>
              <w:adjustRightInd w:val="0"/>
              <w:spacing w:after="0" w:line="320" w:lineRule="atLeast"/>
              <w:ind w:left="60" w:right="60"/>
              <w:rPr>
                <w:rFonts w:ascii="Arial" w:hAnsi="Arial" w:cs="Arial"/>
                <w:color w:val="264A60"/>
                <w:sz w:val="18"/>
                <w:szCs w:val="18"/>
                <w:lang w:val="en-GB"/>
              </w:rPr>
            </w:pPr>
            <w:r>
              <w:rPr>
                <w:rFonts w:ascii="Arial" w:hAnsi="Arial" w:cs="Arial"/>
                <w:color w:val="264A60"/>
                <w:sz w:val="18"/>
                <w:szCs w:val="18"/>
                <w:lang w:val="en-GB"/>
              </w:rPr>
              <w:t>% within UTICATS</w:t>
            </w:r>
          </w:p>
        </w:tc>
        <w:tc>
          <w:tcPr>
            <w:tcW w:w="1152" w:type="dxa"/>
            <w:tcBorders>
              <w:top w:val="single" w:sz="8" w:space="0" w:color="AEAEAE"/>
              <w:left w:val="nil"/>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rsidR="00161D13" w:rsidRDefault="00161D13">
            <w:pPr>
              <w:autoSpaceDE w:val="0"/>
              <w:autoSpaceDN w:val="0"/>
              <w:adjustRightInd w:val="0"/>
              <w:spacing w:after="0" w:line="320" w:lineRule="atLeast"/>
              <w:ind w:left="60" w:right="60"/>
              <w:jc w:val="right"/>
              <w:rPr>
                <w:rFonts w:ascii="Arial" w:hAnsi="Arial" w:cs="Arial"/>
                <w:color w:val="010205"/>
                <w:sz w:val="18"/>
                <w:szCs w:val="18"/>
                <w:lang w:val="en-GB"/>
              </w:rPr>
            </w:pPr>
            <w:r>
              <w:rPr>
                <w:rFonts w:ascii="Arial" w:hAnsi="Arial" w:cs="Arial"/>
                <w:color w:val="010205"/>
                <w:sz w:val="18"/>
                <w:szCs w:val="18"/>
                <w:lang w:val="en-GB"/>
              </w:rPr>
              <w:t>100.0%</w:t>
            </w:r>
          </w:p>
        </w:tc>
      </w:tr>
    </w:tbl>
    <w:p w:rsidR="00161D13" w:rsidRDefault="00161D13" w:rsidP="00161D13">
      <w:r>
        <w:t>Figure 1.2</w:t>
      </w:r>
    </w:p>
    <w:p w:rsidR="00161D13" w:rsidRDefault="00161D13" w:rsidP="00161D13">
      <w:r>
        <w:rPr>
          <w:noProof/>
        </w:rPr>
        <w:drawing>
          <wp:inline distT="0" distB="0" distL="0" distR="0">
            <wp:extent cx="5725160" cy="2305685"/>
            <wp:effectExtent l="0" t="0" r="889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5160" cy="2305685"/>
                    </a:xfrm>
                    <a:prstGeom prst="rect">
                      <a:avLst/>
                    </a:prstGeom>
                    <a:noFill/>
                    <a:ln>
                      <a:noFill/>
                    </a:ln>
                  </pic:spPr>
                </pic:pic>
              </a:graphicData>
            </a:graphic>
          </wp:inline>
        </w:drawing>
      </w:r>
    </w:p>
    <w:p w:rsidR="00161D13" w:rsidRDefault="00161D13" w:rsidP="00161D13">
      <w:r>
        <w:t>Figure 1.3</w:t>
      </w:r>
    </w:p>
    <w:p w:rsidR="00161D13" w:rsidRDefault="00161D13" w:rsidP="00161D13">
      <w:pPr>
        <w:rPr>
          <w:rFonts w:asciiTheme="minorBidi" w:hAnsiTheme="minorBidi"/>
          <w:sz w:val="24"/>
          <w:szCs w:val="24"/>
        </w:rPr>
      </w:pPr>
      <w:r>
        <w:rPr>
          <w:rFonts w:asciiTheme="minorBidi" w:hAnsiTheme="minorBidi"/>
          <w:sz w:val="24"/>
          <w:szCs w:val="24"/>
        </w:rPr>
        <w:t>Figure 1.3 shows that the p-value is less than 0.05, but figure 1.2 shows that two cells (33.3 percent) have an expected count of less than five. The minimum expected count is 1.00, indicating that the chi-square test assumption is not met; instead, the fisher's exact test will be used.</w:t>
      </w:r>
    </w:p>
    <w:p w:rsidR="00161D13" w:rsidRDefault="00161D13" w:rsidP="00161D13"/>
    <w:p w:rsidR="00161D13" w:rsidRDefault="00161D13" w:rsidP="00161D13">
      <w:pPr>
        <w:autoSpaceDE w:val="0"/>
        <w:autoSpaceDN w:val="0"/>
        <w:adjustRightInd w:val="0"/>
        <w:spacing w:after="0" w:line="400" w:lineRule="atLeast"/>
        <w:jc w:val="center"/>
        <w:rPr>
          <w:rFonts w:cstheme="minorHAnsi"/>
          <w:b/>
          <w:bCs/>
          <w:sz w:val="28"/>
          <w:szCs w:val="28"/>
          <w:lang w:val="en-GB" w:bidi="ar-LY"/>
        </w:rPr>
      </w:pPr>
      <w:r>
        <w:rPr>
          <w:rFonts w:cstheme="minorHAnsi"/>
          <w:b/>
          <w:bCs/>
          <w:sz w:val="28"/>
          <w:szCs w:val="28"/>
        </w:rPr>
        <w:lastRenderedPageBreak/>
        <w:t>Summary table of fisher’s exact test</w:t>
      </w:r>
    </w:p>
    <w:p w:rsidR="00161D13" w:rsidRDefault="00161D13" w:rsidP="00161D13"/>
    <w:tbl>
      <w:tblPr>
        <w:tblStyle w:val="2-5"/>
        <w:tblW w:w="0" w:type="auto"/>
        <w:tblLook w:val="04A0" w:firstRow="1" w:lastRow="0" w:firstColumn="1" w:lastColumn="0" w:noHBand="0" w:noVBand="1"/>
      </w:tblPr>
      <w:tblGrid>
        <w:gridCol w:w="1412"/>
        <w:gridCol w:w="1396"/>
        <w:gridCol w:w="1413"/>
        <w:gridCol w:w="1445"/>
        <w:gridCol w:w="1454"/>
        <w:gridCol w:w="1402"/>
      </w:tblGrid>
      <w:tr w:rsidR="00161D13" w:rsidTr="00161D13">
        <w:trPr>
          <w:cnfStyle w:val="100000000000" w:firstRow="1" w:lastRow="0" w:firstColumn="0" w:lastColumn="0" w:oddVBand="0" w:evenVBand="0" w:oddHBand="0" w:evenHBand="0" w:firstRowFirstColumn="0" w:firstRowLastColumn="0" w:lastRowFirstColumn="0" w:lastRowLastColumn="0"/>
          <w:trHeight w:val="765"/>
        </w:trPr>
        <w:tc>
          <w:tcPr>
            <w:cnfStyle w:val="001000000100" w:firstRow="0" w:lastRow="0" w:firstColumn="1" w:lastColumn="0" w:oddVBand="0" w:evenVBand="0" w:oddHBand="0" w:evenHBand="0" w:firstRowFirstColumn="1" w:firstRowLastColumn="0" w:lastRowFirstColumn="0" w:lastRowLastColumn="0"/>
            <w:tcW w:w="1604" w:type="dxa"/>
          </w:tcPr>
          <w:p w:rsidR="00161D13" w:rsidRDefault="00161D13"/>
          <w:p w:rsidR="00161D13" w:rsidRDefault="00161D13"/>
        </w:tc>
        <w:tc>
          <w:tcPr>
            <w:tcW w:w="1604" w:type="dxa"/>
          </w:tcPr>
          <w:p w:rsidR="00161D13" w:rsidRDefault="00161D13">
            <w:pPr>
              <w:cnfStyle w:val="100000000000" w:firstRow="1" w:lastRow="0" w:firstColumn="0" w:lastColumn="0" w:oddVBand="0" w:evenVBand="0" w:oddHBand="0" w:evenHBand="0" w:firstRowFirstColumn="0" w:firstRowLastColumn="0" w:lastRowFirstColumn="0" w:lastRowLastColumn="0"/>
            </w:pPr>
          </w:p>
        </w:tc>
        <w:tc>
          <w:tcPr>
            <w:tcW w:w="4812" w:type="dxa"/>
            <w:gridSpan w:val="3"/>
            <w:hideMark/>
          </w:tcPr>
          <w:p w:rsidR="00161D13" w:rsidRDefault="00161D13">
            <w:pPr>
              <w:cnfStyle w:val="100000000000" w:firstRow="1" w:lastRow="0" w:firstColumn="0" w:lastColumn="0" w:oddVBand="0" w:evenVBand="0" w:oddHBand="0" w:evenHBand="0" w:firstRowFirstColumn="0" w:firstRowLastColumn="0" w:lastRowFirstColumn="0" w:lastRowLastColumn="0"/>
            </w:pPr>
            <w:r>
              <w:t>UTI colony forming units</w:t>
            </w:r>
          </w:p>
        </w:tc>
        <w:tc>
          <w:tcPr>
            <w:tcW w:w="1604" w:type="dxa"/>
            <w:hideMark/>
          </w:tcPr>
          <w:p w:rsidR="00161D13" w:rsidRDefault="00161D13">
            <w:pPr>
              <w:cnfStyle w:val="100000000000" w:firstRow="1" w:lastRow="0" w:firstColumn="0" w:lastColumn="0" w:oddVBand="0" w:evenVBand="0" w:oddHBand="0" w:evenHBand="0" w:firstRowFirstColumn="0" w:firstRowLastColumn="0" w:lastRowFirstColumn="0" w:lastRowLastColumn="0"/>
            </w:pPr>
            <w:r>
              <w:t>p-value</w:t>
            </w:r>
          </w:p>
        </w:tc>
      </w:tr>
      <w:tr w:rsidR="00161D13" w:rsidTr="00161D13">
        <w:trPr>
          <w:cnfStyle w:val="000000100000" w:firstRow="0" w:lastRow="0" w:firstColumn="0" w:lastColumn="0" w:oddVBand="0" w:evenVBand="0" w:oddHBand="1"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604" w:type="dxa"/>
            <w:tcBorders>
              <w:top w:val="nil"/>
            </w:tcBorders>
          </w:tcPr>
          <w:p w:rsidR="00161D13" w:rsidRDefault="00161D13"/>
        </w:tc>
        <w:tc>
          <w:tcPr>
            <w:tcW w:w="1604" w:type="dxa"/>
            <w:tcBorders>
              <w:top w:val="nil"/>
              <w:left w:val="nil"/>
              <w:bottom w:val="nil"/>
              <w:right w:val="nil"/>
            </w:tcBorders>
          </w:tcPr>
          <w:p w:rsidR="00161D13" w:rsidRDefault="00161D13">
            <w:pPr>
              <w:cnfStyle w:val="000000100000" w:firstRow="0" w:lastRow="0" w:firstColumn="0" w:lastColumn="0" w:oddVBand="0" w:evenVBand="0" w:oddHBand="1" w:evenHBand="0" w:firstRowFirstColumn="0" w:firstRowLastColumn="0" w:lastRowFirstColumn="0" w:lastRowLastColumn="0"/>
            </w:pPr>
          </w:p>
        </w:tc>
        <w:tc>
          <w:tcPr>
            <w:tcW w:w="1604" w:type="dxa"/>
            <w:tcBorders>
              <w:top w:val="nil"/>
              <w:left w:val="nil"/>
              <w:bottom w:val="nil"/>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rPr>
                <w:rFonts w:ascii="Arial" w:hAnsi="Arial" w:cs="Arial"/>
                <w:color w:val="264A60"/>
                <w:sz w:val="18"/>
                <w:szCs w:val="18"/>
              </w:rPr>
              <w:t>No growth</w:t>
            </w:r>
          </w:p>
        </w:tc>
        <w:tc>
          <w:tcPr>
            <w:tcW w:w="1604" w:type="dxa"/>
            <w:tcBorders>
              <w:top w:val="nil"/>
              <w:left w:val="nil"/>
              <w:bottom w:val="nil"/>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rPr>
                <w:rFonts w:ascii="Arial" w:hAnsi="Arial" w:cs="Arial"/>
                <w:color w:val="264A60"/>
                <w:sz w:val="18"/>
                <w:szCs w:val="18"/>
              </w:rPr>
              <w:t>No significant growth</w:t>
            </w:r>
          </w:p>
        </w:tc>
        <w:tc>
          <w:tcPr>
            <w:tcW w:w="1604" w:type="dxa"/>
            <w:tcBorders>
              <w:top w:val="nil"/>
              <w:left w:val="nil"/>
              <w:bottom w:val="nil"/>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rPr>
                <w:rFonts w:ascii="Arial" w:hAnsi="Arial" w:cs="Arial"/>
                <w:color w:val="264A60"/>
                <w:sz w:val="18"/>
                <w:szCs w:val="18"/>
              </w:rPr>
              <w:t>Significant growth</w:t>
            </w:r>
          </w:p>
        </w:tc>
        <w:tc>
          <w:tcPr>
            <w:tcW w:w="1604" w:type="dxa"/>
            <w:vMerge w:val="restart"/>
            <w:tcBorders>
              <w:top w:val="nil"/>
              <w:left w:val="nil"/>
              <w:bottom w:val="single" w:sz="18" w:space="0" w:color="auto"/>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0.018</w:t>
            </w:r>
          </w:p>
        </w:tc>
      </w:tr>
      <w:tr w:rsidR="00161D13" w:rsidTr="00161D13">
        <w:trPr>
          <w:trHeight w:val="1181"/>
        </w:trPr>
        <w:tc>
          <w:tcPr>
            <w:cnfStyle w:val="001000000000" w:firstRow="0" w:lastRow="0" w:firstColumn="1" w:lastColumn="0" w:oddVBand="0" w:evenVBand="0" w:oddHBand="0" w:evenHBand="0" w:firstRowFirstColumn="0" w:firstRowLastColumn="0" w:lastRowFirstColumn="0" w:lastRowLastColumn="0"/>
            <w:tcW w:w="1604" w:type="dxa"/>
            <w:vMerge w:val="restart"/>
            <w:tcBorders>
              <w:top w:val="nil"/>
              <w:bottom w:val="single" w:sz="18" w:space="0" w:color="auto"/>
            </w:tcBorders>
            <w:hideMark/>
          </w:tcPr>
          <w:p w:rsidR="00161D13" w:rsidRDefault="00161D13">
            <w:r>
              <w:t>Gender</w:t>
            </w:r>
          </w:p>
        </w:tc>
        <w:tc>
          <w:tcPr>
            <w:tcW w:w="1604" w:type="dxa"/>
            <w:tcBorders>
              <w:top w:val="nil"/>
              <w:left w:val="nil"/>
              <w:bottom w:val="nil"/>
              <w:right w:val="nil"/>
            </w:tcBorders>
            <w:hideMark/>
          </w:tcPr>
          <w:p w:rsidR="00161D13" w:rsidRDefault="00161D13">
            <w:pPr>
              <w:cnfStyle w:val="000000000000" w:firstRow="0" w:lastRow="0" w:firstColumn="0" w:lastColumn="0" w:oddVBand="0" w:evenVBand="0" w:oddHBand="0" w:evenHBand="0" w:firstRowFirstColumn="0" w:firstRowLastColumn="0" w:lastRowFirstColumn="0" w:lastRowLastColumn="0"/>
            </w:pPr>
            <w:r>
              <w:t>Male</w:t>
            </w:r>
          </w:p>
        </w:tc>
        <w:tc>
          <w:tcPr>
            <w:tcW w:w="1604" w:type="dxa"/>
            <w:tcBorders>
              <w:top w:val="nil"/>
              <w:left w:val="nil"/>
              <w:bottom w:val="nil"/>
              <w:right w:val="nil"/>
            </w:tcBorders>
            <w:hideMark/>
          </w:tcPr>
          <w:p w:rsidR="00161D13" w:rsidRDefault="00161D13">
            <w:pPr>
              <w:cnfStyle w:val="000000000000" w:firstRow="0" w:lastRow="0" w:firstColumn="0" w:lastColumn="0" w:oddVBand="0" w:evenVBand="0" w:oddHBand="0" w:evenHBand="0" w:firstRowFirstColumn="0" w:firstRowLastColumn="0" w:lastRowFirstColumn="0" w:lastRowLastColumn="0"/>
            </w:pPr>
            <w:r>
              <w:t>9  (81.8%)</w:t>
            </w:r>
          </w:p>
        </w:tc>
        <w:tc>
          <w:tcPr>
            <w:tcW w:w="1604" w:type="dxa"/>
            <w:tcBorders>
              <w:top w:val="nil"/>
              <w:left w:val="nil"/>
              <w:bottom w:val="nil"/>
              <w:right w:val="nil"/>
            </w:tcBorders>
            <w:hideMark/>
          </w:tcPr>
          <w:p w:rsidR="00161D13" w:rsidRDefault="00161D13">
            <w:pPr>
              <w:cnfStyle w:val="000000000000" w:firstRow="0" w:lastRow="0" w:firstColumn="0" w:lastColumn="0" w:oddVBand="0" w:evenVBand="0" w:oddHBand="0" w:evenHBand="0" w:firstRowFirstColumn="0" w:firstRowLastColumn="0" w:lastRowFirstColumn="0" w:lastRowLastColumn="0"/>
            </w:pPr>
            <w:r>
              <w:t>3  (25%)</w:t>
            </w:r>
          </w:p>
        </w:tc>
        <w:tc>
          <w:tcPr>
            <w:tcW w:w="1604" w:type="dxa"/>
            <w:tcBorders>
              <w:top w:val="nil"/>
              <w:left w:val="nil"/>
              <w:bottom w:val="nil"/>
              <w:right w:val="nil"/>
            </w:tcBorders>
            <w:hideMark/>
          </w:tcPr>
          <w:p w:rsidR="00161D13" w:rsidRDefault="00161D13">
            <w:pPr>
              <w:cnfStyle w:val="000000000000" w:firstRow="0" w:lastRow="0" w:firstColumn="0" w:lastColumn="0" w:oddVBand="0" w:evenVBand="0" w:oddHBand="0" w:evenHBand="0" w:firstRowFirstColumn="0" w:firstRowLastColumn="0" w:lastRowFirstColumn="0" w:lastRowLastColumn="0"/>
            </w:pPr>
            <w:r>
              <w:t>0  (0%)</w:t>
            </w:r>
          </w:p>
        </w:tc>
        <w:tc>
          <w:tcPr>
            <w:tcW w:w="0" w:type="auto"/>
            <w:vMerge/>
            <w:tcBorders>
              <w:top w:val="nil"/>
              <w:left w:val="nil"/>
              <w:bottom w:val="single" w:sz="18" w:space="0" w:color="auto"/>
              <w:right w:val="nil"/>
            </w:tcBorders>
            <w:vAlign w:val="center"/>
            <w:hideMark/>
          </w:tcPr>
          <w:p w:rsidR="00161D13" w:rsidRDefault="00161D13">
            <w:pPr>
              <w:cnfStyle w:val="000000000000" w:firstRow="0" w:lastRow="0" w:firstColumn="0" w:lastColumn="0" w:oddVBand="0" w:evenVBand="0" w:oddHBand="0" w:evenHBand="0" w:firstRowFirstColumn="0" w:firstRowLastColumn="0" w:lastRowFirstColumn="0" w:lastRowLastColumn="0"/>
              <w:rPr>
                <w:sz w:val="28"/>
                <w:szCs w:val="28"/>
              </w:rPr>
            </w:pPr>
          </w:p>
        </w:tc>
      </w:tr>
      <w:tr w:rsidR="00161D13" w:rsidTr="00161D13">
        <w:trPr>
          <w:cnfStyle w:val="000000100000" w:firstRow="0" w:lastRow="0" w:firstColumn="0" w:lastColumn="0" w:oddVBand="0" w:evenVBand="0" w:oddHBand="1" w:evenHBand="0" w:firstRowFirstColumn="0" w:firstRowLastColumn="0" w:lastRowFirstColumn="0" w:lastRowLastColumn="0"/>
          <w:trHeight w:val="937"/>
        </w:trPr>
        <w:tc>
          <w:tcPr>
            <w:cnfStyle w:val="001000000000" w:firstRow="0" w:lastRow="0" w:firstColumn="1" w:lastColumn="0" w:oddVBand="0" w:evenVBand="0" w:oddHBand="0" w:evenHBand="0" w:firstRowFirstColumn="0" w:firstRowLastColumn="0" w:lastRowFirstColumn="0" w:lastRowLastColumn="0"/>
            <w:tcW w:w="0" w:type="auto"/>
            <w:vMerge/>
            <w:tcBorders>
              <w:top w:val="nil"/>
            </w:tcBorders>
            <w:vAlign w:val="center"/>
            <w:hideMark/>
          </w:tcPr>
          <w:p w:rsidR="00161D13" w:rsidRDefault="00161D13"/>
        </w:tc>
        <w:tc>
          <w:tcPr>
            <w:tcW w:w="1604" w:type="dxa"/>
            <w:tcBorders>
              <w:top w:val="nil"/>
              <w:left w:val="nil"/>
              <w:bottom w:val="single" w:sz="18" w:space="0" w:color="auto"/>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t>female</w:t>
            </w:r>
          </w:p>
        </w:tc>
        <w:tc>
          <w:tcPr>
            <w:tcW w:w="1604" w:type="dxa"/>
            <w:tcBorders>
              <w:top w:val="nil"/>
              <w:left w:val="nil"/>
              <w:bottom w:val="single" w:sz="18" w:space="0" w:color="auto"/>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t>2  (18.2%)</w:t>
            </w:r>
          </w:p>
        </w:tc>
        <w:tc>
          <w:tcPr>
            <w:tcW w:w="1604" w:type="dxa"/>
            <w:tcBorders>
              <w:top w:val="nil"/>
              <w:left w:val="nil"/>
              <w:bottom w:val="single" w:sz="18" w:space="0" w:color="auto"/>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t>8  (72.7%)</w:t>
            </w:r>
          </w:p>
        </w:tc>
        <w:tc>
          <w:tcPr>
            <w:tcW w:w="1604" w:type="dxa"/>
            <w:tcBorders>
              <w:top w:val="nil"/>
              <w:left w:val="nil"/>
              <w:bottom w:val="single" w:sz="18" w:space="0" w:color="auto"/>
              <w:right w:val="nil"/>
            </w:tcBorders>
            <w:hideMark/>
          </w:tcPr>
          <w:p w:rsidR="00161D13" w:rsidRDefault="00161D13">
            <w:pPr>
              <w:cnfStyle w:val="000000100000" w:firstRow="0" w:lastRow="0" w:firstColumn="0" w:lastColumn="0" w:oddVBand="0" w:evenVBand="0" w:oddHBand="1" w:evenHBand="0" w:firstRowFirstColumn="0" w:firstRowLastColumn="0" w:lastRowFirstColumn="0" w:lastRowLastColumn="0"/>
            </w:pPr>
            <w:r>
              <w:t>2  (16.7)</w:t>
            </w:r>
          </w:p>
        </w:tc>
        <w:tc>
          <w:tcPr>
            <w:tcW w:w="0" w:type="auto"/>
            <w:vMerge/>
            <w:tcBorders>
              <w:top w:val="nil"/>
              <w:left w:val="nil"/>
              <w:bottom w:val="single" w:sz="18" w:space="0" w:color="auto"/>
              <w:right w:val="nil"/>
            </w:tcBorders>
            <w:vAlign w:val="center"/>
            <w:hideMark/>
          </w:tcPr>
          <w:p w:rsidR="00161D13" w:rsidRDefault="00161D13">
            <w:pPr>
              <w:cnfStyle w:val="000000100000" w:firstRow="0" w:lastRow="0" w:firstColumn="0" w:lastColumn="0" w:oddVBand="0" w:evenVBand="0" w:oddHBand="1" w:evenHBand="0" w:firstRowFirstColumn="0" w:firstRowLastColumn="0" w:lastRowFirstColumn="0" w:lastRowLastColumn="0"/>
              <w:rPr>
                <w:sz w:val="28"/>
                <w:szCs w:val="28"/>
              </w:rPr>
            </w:pPr>
          </w:p>
        </w:tc>
      </w:tr>
    </w:tbl>
    <w:p w:rsidR="00161D13" w:rsidRDefault="00161D13" w:rsidP="00161D13">
      <w:pPr>
        <w:rPr>
          <w:rtl/>
          <w:lang w:val="en-GB"/>
        </w:rPr>
      </w:pPr>
    </w:p>
    <w:p w:rsidR="00161D13" w:rsidRDefault="00161D13" w:rsidP="00161D13">
      <w:pPr>
        <w:jc w:val="both"/>
        <w:rPr>
          <w:rFonts w:asciiTheme="minorBidi" w:hAnsiTheme="minorBidi"/>
          <w:sz w:val="24"/>
          <w:szCs w:val="24"/>
        </w:rPr>
      </w:pPr>
      <w:r>
        <w:rPr>
          <w:rFonts w:asciiTheme="minorBidi" w:hAnsiTheme="minorBidi"/>
          <w:sz w:val="24"/>
          <w:szCs w:val="24"/>
        </w:rPr>
        <w:t>- p-value is less than 0.05 (significant).</w:t>
      </w:r>
    </w:p>
    <w:p w:rsidR="00161D13" w:rsidRDefault="00161D13" w:rsidP="00161D13">
      <w:pPr>
        <w:jc w:val="both"/>
        <w:rPr>
          <w:rFonts w:asciiTheme="minorBidi" w:eastAsiaTheme="minorEastAsia" w:hAnsiTheme="minorBidi"/>
          <w:color w:val="000000" w:themeColor="text1"/>
          <w:kern w:val="24"/>
          <w:sz w:val="24"/>
          <w:szCs w:val="24"/>
          <w:lang w:eastAsia="en-GB"/>
        </w:rPr>
      </w:pPr>
      <w:r>
        <w:rPr>
          <w:rFonts w:asciiTheme="minorBidi" w:hAnsiTheme="minorBidi"/>
          <w:sz w:val="24"/>
          <w:szCs w:val="24"/>
        </w:rPr>
        <w:t xml:space="preserve">-We Reject </w:t>
      </w:r>
      <w:r>
        <w:rPr>
          <w:rFonts w:asciiTheme="minorBidi" w:eastAsiaTheme="minorEastAsia" w:hAnsiTheme="minorBidi"/>
          <w:color w:val="000000" w:themeColor="text1"/>
          <w:kern w:val="24"/>
          <w:sz w:val="24"/>
          <w:szCs w:val="24"/>
          <w:lang w:eastAsia="en-GB"/>
        </w:rPr>
        <w:t>the null hypothesis.</w:t>
      </w:r>
      <w:r>
        <w:rPr>
          <w:rFonts w:asciiTheme="minorBidi" w:eastAsiaTheme="minorEastAsia" w:hAnsiTheme="minorBidi"/>
          <w:color w:val="000000" w:themeColor="text1"/>
          <w:kern w:val="24"/>
          <w:sz w:val="24"/>
          <w:szCs w:val="24"/>
          <w:lang w:eastAsia="en-GB"/>
        </w:rPr>
        <w:sym w:font="Wingdings" w:char="F0FC"/>
      </w:r>
    </w:p>
    <w:p w:rsidR="00161D13" w:rsidRDefault="00161D13" w:rsidP="00161D13">
      <w:pPr>
        <w:jc w:val="both"/>
        <w:rPr>
          <w:rFonts w:asciiTheme="minorBidi" w:hAnsiTheme="minorBidi"/>
          <w:sz w:val="24"/>
          <w:szCs w:val="24"/>
        </w:rPr>
      </w:pPr>
      <w:r>
        <w:rPr>
          <w:rFonts w:asciiTheme="minorBidi" w:hAnsiTheme="minorBidi"/>
          <w:sz w:val="24"/>
          <w:szCs w:val="24"/>
        </w:rPr>
        <w:t>-there is an association between gender and ASBU</w:t>
      </w:r>
    </w:p>
    <w:p w:rsidR="00161D13" w:rsidRDefault="00161D13" w:rsidP="00161D13">
      <w:pPr>
        <w:jc w:val="both"/>
        <w:rPr>
          <w:rFonts w:asciiTheme="minorBidi" w:eastAsiaTheme="minorEastAsia" w:hAnsiTheme="minorBidi"/>
          <w:color w:val="000000" w:themeColor="text1"/>
          <w:kern w:val="24"/>
          <w:sz w:val="24"/>
          <w:szCs w:val="24"/>
          <w:lang w:eastAsia="en-GB"/>
        </w:rPr>
      </w:pPr>
      <w:r>
        <w:rPr>
          <w:rFonts w:asciiTheme="minorBidi" w:hAnsiTheme="minorBidi"/>
          <w:sz w:val="24"/>
          <w:szCs w:val="24"/>
        </w:rPr>
        <w:t>Figure 2 also shows that females had significantly more bacterial growth than males, which is to be expected</w:t>
      </w:r>
    </w:p>
    <w:p w:rsidR="00161D13" w:rsidRDefault="00161D13" w:rsidP="00161D13">
      <w:pPr>
        <w:rPr>
          <w:rFonts w:asciiTheme="minorBidi" w:hAnsiTheme="minorBidi"/>
          <w:sz w:val="24"/>
          <w:szCs w:val="24"/>
        </w:rPr>
      </w:pPr>
    </w:p>
    <w:p w:rsidR="00161D13" w:rsidRDefault="00161D13" w:rsidP="00161D13">
      <w:pPr>
        <w:pStyle w:val="a4"/>
        <w:spacing w:line="360" w:lineRule="auto"/>
        <w:jc w:val="both"/>
        <w:rPr>
          <w:rFonts w:asciiTheme="minorBidi" w:hAnsiTheme="minorBidi"/>
          <w:b/>
          <w:bCs/>
          <w:color w:val="17365D" w:themeColor="text2" w:themeShade="BF"/>
          <w:sz w:val="32"/>
          <w:szCs w:val="32"/>
        </w:rPr>
      </w:pPr>
      <w:r>
        <w:rPr>
          <w:rFonts w:asciiTheme="minorBidi" w:hAnsiTheme="minorBidi"/>
          <w:b/>
          <w:bCs/>
          <w:color w:val="17365D" w:themeColor="text2" w:themeShade="BF"/>
          <w:sz w:val="32"/>
          <w:szCs w:val="32"/>
        </w:rPr>
        <w:t>5- Discussion</w:t>
      </w:r>
    </w:p>
    <w:p w:rsidR="00161D13" w:rsidRDefault="00161D13" w:rsidP="00161D13">
      <w:pPr>
        <w:pStyle w:val="a4"/>
        <w:spacing w:line="360" w:lineRule="auto"/>
        <w:ind w:left="360"/>
        <w:jc w:val="both"/>
        <w:rPr>
          <w:rFonts w:asciiTheme="minorBidi" w:hAnsiTheme="minorBidi"/>
          <w:b/>
          <w:bCs/>
          <w:color w:val="17365D" w:themeColor="text2" w:themeShade="BF"/>
          <w:sz w:val="24"/>
          <w:szCs w:val="24"/>
        </w:rPr>
      </w:pP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Asymptomatic bacteriuria (ABU) is analogous to urinary tract infection (UTI) therein it's caused by an equivalent microorganism. the foremost common bacteria that cause Asymptomatic bacteriuria are Klebsiella species and E.coli B streptococci.</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Urine culture is used to diagnose asymptomatic bacteriuria. A catheterized specimen or a properly collected clean-catch specimen are both acceptable.(3)</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In an individual without infectious symptoms, ASB is defined as the presence of two consecutive urine specimens showing positive cultures (&gt;105 CFU/mL) with the same pathogenic organism. It's unclear why some people with ASB </w:t>
      </w:r>
      <w:r>
        <w:rPr>
          <w:rFonts w:asciiTheme="minorBidi" w:hAnsiTheme="minorBidi"/>
          <w:sz w:val="24"/>
          <w:szCs w:val="24"/>
          <w:shd w:val="clear" w:color="auto" w:fill="FFFFFF"/>
        </w:rPr>
        <w:lastRenderedPageBreak/>
        <w:t>don't get symptoms, especially since the organisms found in their urine are often the same as those found in symptomatic UTI patients.</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Escherichia coli is the commonest bacteria found in these ASB patients. One plausible theory is that the bacteria infecting these asymptomatic individuals are less virulent, leading to colonization instead of infection.</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Asymptomatic bacteriuria is common, and therefore the incidence varies supported age, sex, sexual activity, and the presence of reproductive organ diseases. </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the prevalence is higher in females than in males this could be explained by several reasons a number of them are genetic and hormonal however the foremost important one is that the anatomy of the genital system of the female urethra is way shorter than the male urethra, therefore it's much easier for the microorganism to colonize the tract </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another reason is the nearer proximity of the anus to the female urethra, therefore, the bacteria from the normal gut flora can move to the urethra and cause ABU and generally UTI. (4)</w:t>
      </w:r>
    </w:p>
    <w:p w:rsidR="00161D13" w:rsidRDefault="00161D13" w:rsidP="00161D13">
      <w:pPr>
        <w:pStyle w:val="a4"/>
        <w:spacing w:line="360" w:lineRule="auto"/>
        <w:jc w:val="both"/>
        <w:rPr>
          <w:rFonts w:asciiTheme="minorBidi" w:hAnsiTheme="minorBidi"/>
          <w:sz w:val="24"/>
          <w:szCs w:val="24"/>
          <w:shd w:val="clear" w:color="auto" w:fill="FFFFFF"/>
          <w:lang w:val="en-GB"/>
        </w:rPr>
      </w:pPr>
      <w:r>
        <w:rPr>
          <w:rFonts w:asciiTheme="minorBidi" w:hAnsiTheme="minorBidi"/>
          <w:sz w:val="24"/>
          <w:szCs w:val="24"/>
          <w:shd w:val="clear" w:color="auto" w:fill="FFFFFF"/>
        </w:rPr>
        <w:t>In healthy women, bacteriuria is additional common in ladies than in community women. They're in line with one study, the prevalence of asymptomatic bacteriuria is a pair to three times higher in diabetic women than in non-diabetic women. (5)</w:t>
      </w:r>
      <w:r>
        <w:rPr>
          <w:rFonts w:asciiTheme="minorBidi" w:hAnsiTheme="minorBidi" w:hint="cs"/>
          <w:sz w:val="24"/>
          <w:szCs w:val="24"/>
          <w:shd w:val="clear" w:color="auto" w:fill="FFFFFF"/>
          <w:rtl/>
        </w:rPr>
        <w:t xml:space="preserve">     </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On whether or not to screen for asymptomatic bacteriuria, there are several points of view. Because they may be incubating asymptomatic infection, we believe asymptomatic bacteriuria investigation should be included as part of the health requirements. The presence of bacteria in samples confirmed the diagnostic criteria for a severe urinary tract infection (UTI), the most common cause of UTI. Some </w:t>
      </w: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bacterial isolates are more susceptible to antibiotic treatment than others, according to this research. If asymptomatic bacteria are discovered, this should be taken into account when choosing an antibiotic. They should be evaluated and appropriate antibiotic treatment is given. Urinary tract disorders can be avoided with early detection and treatment. (6)</w:t>
      </w:r>
    </w:p>
    <w:p w:rsidR="00161D13" w:rsidRDefault="00161D13" w:rsidP="00161D13">
      <w:pPr>
        <w:pStyle w:val="a4"/>
        <w:spacing w:line="360" w:lineRule="auto"/>
        <w:jc w:val="both"/>
        <w:rPr>
          <w:rFonts w:asciiTheme="minorBidi" w:hAnsiTheme="minorBidi"/>
          <w:sz w:val="24"/>
          <w:szCs w:val="24"/>
        </w:rPr>
      </w:pPr>
    </w:p>
    <w:p w:rsidR="00161D13" w:rsidRDefault="00161D13" w:rsidP="00161D13">
      <w:pPr>
        <w:pStyle w:val="a4"/>
        <w:spacing w:line="276" w:lineRule="auto"/>
        <w:rPr>
          <w:rFonts w:asciiTheme="minorBidi" w:hAnsiTheme="minorBidi"/>
          <w:b/>
          <w:bCs/>
          <w:color w:val="17365D" w:themeColor="text2" w:themeShade="BF"/>
          <w:sz w:val="32"/>
          <w:szCs w:val="32"/>
        </w:rPr>
      </w:pPr>
      <w:r>
        <w:rPr>
          <w:rFonts w:asciiTheme="minorBidi" w:hAnsiTheme="minorBidi"/>
          <w:b/>
          <w:bCs/>
          <w:color w:val="17365D" w:themeColor="text2" w:themeShade="BF"/>
          <w:sz w:val="32"/>
          <w:szCs w:val="32"/>
        </w:rPr>
        <w:t xml:space="preserve">6- Conclusion </w:t>
      </w:r>
    </w:p>
    <w:p w:rsidR="00161D13" w:rsidRDefault="00161D13" w:rsidP="00161D13">
      <w:pPr>
        <w:pStyle w:val="a4"/>
        <w:spacing w:line="276" w:lineRule="auto"/>
        <w:ind w:left="720"/>
        <w:rPr>
          <w:rFonts w:asciiTheme="minorBidi" w:hAnsiTheme="minorBidi"/>
          <w:b/>
          <w:bCs/>
          <w:sz w:val="24"/>
          <w:szCs w:val="24"/>
        </w:rPr>
      </w:pPr>
    </w:p>
    <w:p w:rsidR="00161D13" w:rsidRDefault="00161D13" w:rsidP="00161D13">
      <w:pPr>
        <w:pStyle w:val="a4"/>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Asymptomatic bacteriuria has progressed over the last fifty years from a potentially harmful clinical finding that required identification and treatment to a benign observation that, in the vast majority of cases, required no treatment. In some patient groups, ASBU is the most common. E. coli is the most common etiological agent that causes ASBU, and it is more common among female LIMU students than male students. Proper hygiene should be encouraged, but self-prescription of medicines should be avoided because it will lead to antibiotic resistance.</w:t>
      </w:r>
    </w:p>
    <w:p w:rsidR="00161D13" w:rsidRDefault="00161D13" w:rsidP="00161D13">
      <w:pPr>
        <w:pStyle w:val="a4"/>
        <w:spacing w:line="360" w:lineRule="auto"/>
        <w:jc w:val="both"/>
        <w:rPr>
          <w:rFonts w:asciiTheme="minorBidi" w:hAnsiTheme="minorBidi"/>
          <w:sz w:val="24"/>
          <w:szCs w:val="24"/>
          <w:shd w:val="clear" w:color="auto" w:fill="FFFFFF"/>
        </w:rPr>
      </w:pPr>
    </w:p>
    <w:p w:rsidR="00161D13" w:rsidRDefault="00161D13" w:rsidP="00161D13">
      <w:pPr>
        <w:widowControl w:val="0"/>
        <w:autoSpaceDE w:val="0"/>
        <w:autoSpaceDN w:val="0"/>
        <w:adjustRightInd w:val="0"/>
        <w:rPr>
          <w:rFonts w:asciiTheme="minorBidi" w:hAnsiTheme="minorBidi"/>
          <w:b/>
          <w:bCs/>
          <w:color w:val="17365D" w:themeColor="text2" w:themeShade="BF"/>
          <w:sz w:val="32"/>
          <w:szCs w:val="32"/>
        </w:rPr>
      </w:pPr>
      <w:r>
        <w:rPr>
          <w:rFonts w:asciiTheme="minorBidi" w:hAnsiTheme="minorBidi"/>
          <w:b/>
          <w:bCs/>
          <w:color w:val="17365D" w:themeColor="text2" w:themeShade="BF"/>
          <w:sz w:val="32"/>
          <w:szCs w:val="32"/>
        </w:rPr>
        <w:t>7- References</w:t>
      </w:r>
    </w:p>
    <w:p w:rsidR="00161D13" w:rsidRDefault="00161D13" w:rsidP="00161D13">
      <w:pPr>
        <w:pStyle w:val="a4"/>
        <w:spacing w:line="360" w:lineRule="auto"/>
        <w:jc w:val="both"/>
        <w:rPr>
          <w:rFonts w:asciiTheme="minorBidi" w:hAnsiTheme="minorBidi"/>
          <w:sz w:val="24"/>
          <w:szCs w:val="24"/>
        </w:rPr>
      </w:pPr>
    </w:p>
    <w:p w:rsidR="00161D13" w:rsidRDefault="00161D13" w:rsidP="00161D13">
      <w:pPr>
        <w:pStyle w:val="a4"/>
        <w:spacing w:line="360" w:lineRule="auto"/>
        <w:jc w:val="both"/>
        <w:rPr>
          <w:rFonts w:asciiTheme="minorBidi" w:hAnsiTheme="minorBidi"/>
          <w:sz w:val="24"/>
          <w:szCs w:val="24"/>
          <w:rtl/>
        </w:rPr>
      </w:pPr>
      <w:r>
        <w:rPr>
          <w:rFonts w:ascii="Arial" w:hAnsi="Arial" w:cs="Arial"/>
          <w:color w:val="000000"/>
          <w:sz w:val="20"/>
          <w:szCs w:val="20"/>
          <w:shd w:val="clear" w:color="auto" w:fill="FFFFFF"/>
        </w:rPr>
        <w:t xml:space="preserve"> </w:t>
      </w:r>
    </w:p>
    <w:p w:rsidR="00161D13" w:rsidRDefault="00161D13" w:rsidP="00161D13">
      <w:pPr>
        <w:pStyle w:val="a4"/>
        <w:numPr>
          <w:ilvl w:val="0"/>
          <w:numId w:val="1"/>
        </w:numPr>
        <w:spacing w:line="360" w:lineRule="auto"/>
        <w:jc w:val="both"/>
        <w:rPr>
          <w:rFonts w:asciiTheme="minorBidi" w:hAnsiTheme="minorBidi"/>
          <w:sz w:val="24"/>
          <w:szCs w:val="24"/>
        </w:rPr>
      </w:pPr>
      <w:r>
        <w:rPr>
          <w:rFonts w:asciiTheme="minorBidi" w:hAnsiTheme="minorBidi"/>
          <w:sz w:val="24"/>
          <w:szCs w:val="24"/>
          <w:shd w:val="clear" w:color="auto" w:fill="FFFFFF"/>
        </w:rPr>
        <w:t>Abrutyn E, Mossey J, Levison M, Boscia J, Pitsakis P, Kaye D. Epidemiology of Asymptomatic Bacteriuria in Elderly Women. Journal of the American Geriatrics Society. 1991</w:t>
      </w:r>
    </w:p>
    <w:p w:rsidR="00161D13" w:rsidRDefault="00161D13" w:rsidP="00161D13">
      <w:pPr>
        <w:pStyle w:val="a4"/>
        <w:spacing w:line="360" w:lineRule="auto"/>
        <w:ind w:firstLine="60"/>
        <w:jc w:val="both"/>
        <w:rPr>
          <w:rFonts w:asciiTheme="minorBidi" w:hAnsiTheme="minorBidi"/>
          <w:sz w:val="24"/>
          <w:szCs w:val="24"/>
          <w:shd w:val="clear" w:color="auto" w:fill="FFFFFF"/>
        </w:rPr>
      </w:pPr>
    </w:p>
    <w:p w:rsidR="00161D13" w:rsidRDefault="00161D13" w:rsidP="00161D13">
      <w:pPr>
        <w:pStyle w:val="a4"/>
        <w:numPr>
          <w:ilvl w:val="0"/>
          <w:numId w:val="1"/>
        </w:numPr>
        <w:spacing w:line="360" w:lineRule="auto"/>
        <w:jc w:val="both"/>
        <w:rPr>
          <w:rFonts w:asciiTheme="minorBidi" w:hAnsiTheme="minorBidi"/>
          <w:sz w:val="24"/>
          <w:szCs w:val="24"/>
          <w:shd w:val="clear" w:color="auto" w:fill="FFFFFF"/>
        </w:rPr>
      </w:pPr>
      <w:r>
        <w:rPr>
          <w:rFonts w:asciiTheme="minorBidi" w:hAnsiTheme="minorBidi"/>
          <w:sz w:val="24"/>
          <w:szCs w:val="24"/>
          <w:shd w:val="clear" w:color="auto" w:fill="FFFFFF"/>
        </w:rPr>
        <w:t xml:space="preserve"> Hooton T, Scholes D, Stapleton A et al. A Prospective Study of Asymptomatic Bacteriuria in Sexually Active Young Women. New England Journal of Medicine. 2000;343(14):992-997. </w:t>
      </w:r>
    </w:p>
    <w:p w:rsidR="00161D13" w:rsidRDefault="00161D13" w:rsidP="00161D13">
      <w:pPr>
        <w:pStyle w:val="a5"/>
        <w:rPr>
          <w:rFonts w:asciiTheme="minorBidi" w:hAnsiTheme="minorBidi"/>
          <w:sz w:val="24"/>
          <w:szCs w:val="24"/>
          <w:shd w:val="clear" w:color="auto" w:fill="FFFFFF"/>
        </w:rPr>
      </w:pPr>
    </w:p>
    <w:p w:rsidR="00161D13" w:rsidRDefault="00161D13" w:rsidP="00161D13">
      <w:pPr>
        <w:pStyle w:val="a5"/>
        <w:numPr>
          <w:ilvl w:val="0"/>
          <w:numId w:val="1"/>
        </w:numPr>
        <w:tabs>
          <w:tab w:val="left" w:pos="4020"/>
        </w:tabs>
        <w:spacing w:after="160" w:line="256" w:lineRule="auto"/>
        <w:rPr>
          <w:rFonts w:asciiTheme="minorBidi" w:hAnsiTheme="minorBidi"/>
          <w:sz w:val="24"/>
          <w:szCs w:val="24"/>
        </w:rPr>
      </w:pPr>
      <w:r>
        <w:rPr>
          <w:rFonts w:asciiTheme="minorBidi" w:hAnsiTheme="minorBidi"/>
          <w:sz w:val="24"/>
          <w:szCs w:val="24"/>
        </w:rPr>
        <w:t>LEVINSON W. REVIEW OF MEDICAL MICROBIOLOGY AND IMMUNOLOGY. 14th ed. [S.l.]: MCGRAW-HILL EDUCATION; 2022.</w:t>
      </w:r>
    </w:p>
    <w:p w:rsidR="00161D13" w:rsidRDefault="00161D13" w:rsidP="00161D13">
      <w:pPr>
        <w:pStyle w:val="a4"/>
        <w:spacing w:line="360" w:lineRule="auto"/>
        <w:jc w:val="both"/>
        <w:rPr>
          <w:rFonts w:asciiTheme="minorBidi" w:hAnsiTheme="minorBidi"/>
          <w:sz w:val="24"/>
          <w:szCs w:val="24"/>
        </w:rPr>
      </w:pPr>
    </w:p>
    <w:p w:rsidR="00161D13" w:rsidRDefault="00161D13" w:rsidP="00161D13">
      <w:pPr>
        <w:pStyle w:val="a4"/>
        <w:spacing w:line="360" w:lineRule="auto"/>
        <w:jc w:val="both"/>
        <w:rPr>
          <w:rFonts w:asciiTheme="minorBidi" w:hAnsiTheme="minorBidi"/>
          <w:sz w:val="24"/>
          <w:szCs w:val="24"/>
        </w:rPr>
      </w:pPr>
    </w:p>
    <w:p w:rsidR="00161D13" w:rsidRDefault="00161D13" w:rsidP="00161D13">
      <w:pPr>
        <w:pStyle w:val="a4"/>
        <w:numPr>
          <w:ilvl w:val="0"/>
          <w:numId w:val="1"/>
        </w:numPr>
        <w:spacing w:line="360" w:lineRule="auto"/>
        <w:jc w:val="both"/>
        <w:rPr>
          <w:rFonts w:asciiTheme="minorBidi" w:hAnsiTheme="minorBidi"/>
          <w:sz w:val="24"/>
          <w:szCs w:val="24"/>
        </w:rPr>
      </w:pPr>
      <w:r>
        <w:rPr>
          <w:rFonts w:asciiTheme="minorBidi" w:hAnsiTheme="minorBidi"/>
          <w:color w:val="000000"/>
          <w:sz w:val="24"/>
          <w:szCs w:val="24"/>
          <w:shd w:val="clear" w:color="auto" w:fill="FFFFFF"/>
        </w:rPr>
        <w:t>Skelton F, Martin LA, Evans CT, Kramer J, Grigoryan L, Richardson P, Kunik ME, Poon IO, Holmes SA, Trautner BW. Determining Best Practices for Management of Bacteriuria in Spinal Cord Injury: Protocol for a Mixed-Methods Study. </w:t>
      </w:r>
      <w:r>
        <w:rPr>
          <w:rStyle w:val="ref-journal"/>
          <w:rFonts w:asciiTheme="minorBidi" w:hAnsiTheme="minorBidi"/>
          <w:color w:val="000000"/>
          <w:sz w:val="24"/>
          <w:szCs w:val="24"/>
          <w:shd w:val="clear" w:color="auto" w:fill="FFFFFF"/>
        </w:rPr>
        <w:t>JMIR Res Protoc. </w:t>
      </w:r>
      <w:r>
        <w:rPr>
          <w:rFonts w:asciiTheme="minorBidi" w:hAnsiTheme="minorBidi"/>
          <w:color w:val="000000"/>
          <w:sz w:val="24"/>
          <w:szCs w:val="24"/>
          <w:shd w:val="clear" w:color="auto" w:fill="FFFFFF"/>
        </w:rPr>
        <w:t>2019 Feb</w:t>
      </w:r>
      <w:r>
        <w:rPr>
          <w:rFonts w:asciiTheme="minorBidi" w:hAnsiTheme="minorBidi"/>
          <w:sz w:val="24"/>
          <w:szCs w:val="24"/>
          <w:shd w:val="clear" w:color="auto" w:fill="FFFFFF"/>
        </w:rPr>
        <w:t xml:space="preserve">. </w:t>
      </w:r>
    </w:p>
    <w:p w:rsidR="00161D13" w:rsidRDefault="00161D13" w:rsidP="00161D13">
      <w:pPr>
        <w:rPr>
          <w:rFonts w:asciiTheme="minorBidi" w:hAnsiTheme="minorBidi"/>
          <w:sz w:val="24"/>
          <w:szCs w:val="24"/>
        </w:rPr>
      </w:pPr>
    </w:p>
    <w:p w:rsidR="00161D13" w:rsidRDefault="00161D13" w:rsidP="00161D13">
      <w:pPr>
        <w:pStyle w:val="a4"/>
        <w:numPr>
          <w:ilvl w:val="0"/>
          <w:numId w:val="1"/>
        </w:numPr>
        <w:spacing w:line="360" w:lineRule="auto"/>
        <w:jc w:val="both"/>
        <w:rPr>
          <w:rFonts w:asciiTheme="minorBidi" w:hAnsiTheme="minorBidi"/>
          <w:sz w:val="24"/>
          <w:szCs w:val="24"/>
        </w:rPr>
      </w:pPr>
      <w:r>
        <w:rPr>
          <w:rFonts w:asciiTheme="minorBidi" w:hAnsiTheme="minorBidi"/>
          <w:sz w:val="24"/>
          <w:szCs w:val="24"/>
        </w:rPr>
        <w:t xml:space="preserve"> Zhanel G, Nicolle L, Harding G. Prevalence of Asymptomatic Bacteriuria and Associated Host Factors in Women with Diabetes Mellitus. </w:t>
      </w:r>
      <w:r>
        <w:rPr>
          <w:rFonts w:asciiTheme="minorBidi" w:hAnsiTheme="minorBidi"/>
          <w:i/>
          <w:iCs/>
          <w:sz w:val="24"/>
          <w:szCs w:val="24"/>
        </w:rPr>
        <w:t>Clinical Infectious Diseases</w:t>
      </w:r>
      <w:r>
        <w:rPr>
          <w:rFonts w:asciiTheme="minorBidi" w:hAnsiTheme="minorBidi"/>
          <w:sz w:val="24"/>
          <w:szCs w:val="24"/>
        </w:rPr>
        <w:t>. 1995</w:t>
      </w:r>
    </w:p>
    <w:p w:rsidR="00161D13" w:rsidRDefault="00161D13" w:rsidP="00161D13">
      <w:pPr>
        <w:pStyle w:val="a5"/>
        <w:rPr>
          <w:rFonts w:asciiTheme="minorBidi" w:hAnsiTheme="minorBidi"/>
          <w:sz w:val="24"/>
          <w:szCs w:val="24"/>
        </w:rPr>
      </w:pPr>
    </w:p>
    <w:p w:rsidR="00161D13" w:rsidRDefault="00161D13" w:rsidP="00161D13">
      <w:pPr>
        <w:pStyle w:val="a4"/>
        <w:numPr>
          <w:ilvl w:val="0"/>
          <w:numId w:val="1"/>
        </w:numPr>
        <w:spacing w:line="360" w:lineRule="auto"/>
        <w:jc w:val="both"/>
        <w:rPr>
          <w:rFonts w:asciiTheme="minorBidi" w:hAnsiTheme="minorBidi"/>
          <w:sz w:val="24"/>
          <w:szCs w:val="24"/>
        </w:rPr>
      </w:pPr>
      <w:r>
        <w:rPr>
          <w:rFonts w:asciiTheme="minorBidi" w:hAnsiTheme="minorBidi"/>
          <w:sz w:val="24"/>
          <w:szCs w:val="24"/>
        </w:rPr>
        <w:t xml:space="preserve"> Patterson J, Andriole V. BACTERIAL URINARY TRACT INFECTIONS IN DIABETES. </w:t>
      </w:r>
      <w:r>
        <w:rPr>
          <w:rFonts w:asciiTheme="minorBidi" w:hAnsiTheme="minorBidi"/>
          <w:i/>
          <w:iCs/>
          <w:sz w:val="24"/>
          <w:szCs w:val="24"/>
        </w:rPr>
        <w:t>Infect Dis Clin North Am</w:t>
      </w:r>
      <w:r>
        <w:rPr>
          <w:rFonts w:asciiTheme="minorBidi" w:hAnsiTheme="minorBidi"/>
          <w:sz w:val="24"/>
          <w:szCs w:val="24"/>
        </w:rPr>
        <w:t>. 1997</w:t>
      </w:r>
    </w:p>
    <w:p w:rsidR="00161D13" w:rsidRDefault="00161D13" w:rsidP="00161D13">
      <w:pPr>
        <w:pStyle w:val="a4"/>
        <w:spacing w:line="360" w:lineRule="auto"/>
        <w:jc w:val="both"/>
        <w:rPr>
          <w:rFonts w:asciiTheme="minorBidi" w:hAnsiTheme="minorBidi"/>
          <w:sz w:val="24"/>
          <w:szCs w:val="24"/>
        </w:rPr>
      </w:pPr>
    </w:p>
    <w:p w:rsidR="00161D13" w:rsidRDefault="00161D13" w:rsidP="00161D13">
      <w:pPr>
        <w:pStyle w:val="a4"/>
        <w:spacing w:line="360" w:lineRule="auto"/>
        <w:jc w:val="both"/>
        <w:rPr>
          <w:rFonts w:asciiTheme="minorBidi" w:hAnsiTheme="minorBidi"/>
          <w:sz w:val="24"/>
          <w:szCs w:val="24"/>
          <w:rtl/>
        </w:rPr>
      </w:pPr>
    </w:p>
    <w:p w:rsidR="00275307" w:rsidRDefault="00275307"/>
    <w:sectPr w:rsidR="00275307" w:rsidSect="00F1108F">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842" w:rsidRDefault="00F37842" w:rsidP="009F5DED">
      <w:pPr>
        <w:spacing w:after="0" w:line="240" w:lineRule="auto"/>
      </w:pPr>
      <w:r>
        <w:separator/>
      </w:r>
    </w:p>
  </w:endnote>
  <w:endnote w:type="continuationSeparator" w:id="0">
    <w:p w:rsidR="00F37842" w:rsidRDefault="00F37842" w:rsidP="009F5D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7"/>
    </w:pPr>
  </w:p>
  <w:p w:rsidR="00203360" w:rsidRDefault="00203360">
    <w:pPr>
      <w:pStyle w:val="a7"/>
    </w:pPr>
  </w:p>
  <w:p w:rsidR="00203360" w:rsidRDefault="00F37842">
    <w:pPr>
      <w:pStyle w:val="a7"/>
    </w:pPr>
    <w:sdt>
      <w:sdtPr>
        <w:id w:val="-188455927"/>
        <w:docPartObj>
          <w:docPartGallery w:val="Page Numbers (Bottom of Page)"/>
          <w:docPartUnique/>
        </w:docPartObj>
      </w:sdtPr>
      <w:sdtEndPr/>
      <w:sdtContent>
        <w:r w:rsidR="00203360">
          <w:t xml:space="preserve">                                                                              </w:t>
        </w:r>
        <w:r w:rsidR="00203360">
          <w:fldChar w:fldCharType="begin"/>
        </w:r>
        <w:r w:rsidR="00203360">
          <w:instrText>PAGE   \* MERGEFORMAT</w:instrText>
        </w:r>
        <w:r w:rsidR="00203360">
          <w:fldChar w:fldCharType="separate"/>
        </w:r>
        <w:r w:rsidR="00461EAE" w:rsidRPr="00461EAE">
          <w:rPr>
            <w:rFonts w:cs="Calibri"/>
            <w:noProof/>
            <w:lang w:val="ar-SA"/>
          </w:rPr>
          <w:t>1</w:t>
        </w:r>
        <w:r w:rsidR="00203360">
          <w:fldChar w:fldCharType="end"/>
        </w:r>
      </w:sdtContent>
    </w:sdt>
  </w:p>
  <w:p w:rsidR="009F5DED" w:rsidRDefault="009F5DED" w:rsidP="009F5DED">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842" w:rsidRDefault="00F37842" w:rsidP="009F5DED">
      <w:pPr>
        <w:spacing w:after="0" w:line="240" w:lineRule="auto"/>
      </w:pPr>
      <w:r>
        <w:separator/>
      </w:r>
    </w:p>
  </w:footnote>
  <w:footnote w:type="continuationSeparator" w:id="0">
    <w:p w:rsidR="00F37842" w:rsidRDefault="00F37842" w:rsidP="009F5D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360" w:rsidRDefault="0020336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085E8D"/>
    <w:multiLevelType w:val="hybridMultilevel"/>
    <w:tmpl w:val="0CE03D5A"/>
    <w:lvl w:ilvl="0" w:tplc="0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D13"/>
    <w:rsid w:val="00032B80"/>
    <w:rsid w:val="00084E08"/>
    <w:rsid w:val="00102991"/>
    <w:rsid w:val="00161D13"/>
    <w:rsid w:val="00203360"/>
    <w:rsid w:val="00246CB0"/>
    <w:rsid w:val="00275307"/>
    <w:rsid w:val="002C49BB"/>
    <w:rsid w:val="00461EAE"/>
    <w:rsid w:val="007A034C"/>
    <w:rsid w:val="009918D5"/>
    <w:rsid w:val="009F5DED"/>
    <w:rsid w:val="00F1108F"/>
    <w:rsid w:val="00F378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D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61D13"/>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No Spacing"/>
    <w:uiPriority w:val="1"/>
    <w:qFormat/>
    <w:rsid w:val="00161D13"/>
    <w:pPr>
      <w:spacing w:after="0" w:line="240" w:lineRule="auto"/>
    </w:pPr>
  </w:style>
  <w:style w:type="paragraph" w:styleId="a5">
    <w:name w:val="List Paragraph"/>
    <w:basedOn w:val="a"/>
    <w:uiPriority w:val="34"/>
    <w:qFormat/>
    <w:rsid w:val="00161D13"/>
    <w:pPr>
      <w:ind w:left="720"/>
      <w:contextualSpacing/>
    </w:pPr>
  </w:style>
  <w:style w:type="paragraph" w:customStyle="1" w:styleId="Default">
    <w:name w:val="Default"/>
    <w:uiPriority w:val="99"/>
    <w:rsid w:val="00161D13"/>
    <w:pPr>
      <w:autoSpaceDE w:val="0"/>
      <w:autoSpaceDN w:val="0"/>
      <w:adjustRightInd w:val="0"/>
      <w:spacing w:after="0" w:line="240" w:lineRule="auto"/>
    </w:pPr>
    <w:rPr>
      <w:rFonts w:ascii="Arial" w:hAnsi="Arial" w:cs="Arial"/>
      <w:color w:val="000000"/>
      <w:sz w:val="24"/>
      <w:szCs w:val="24"/>
      <w:lang w:val="en-GB"/>
    </w:rPr>
  </w:style>
  <w:style w:type="character" w:customStyle="1" w:styleId="ref-journal">
    <w:name w:val="ref-journal"/>
    <w:basedOn w:val="a0"/>
    <w:rsid w:val="00161D13"/>
  </w:style>
  <w:style w:type="table" w:styleId="2-5">
    <w:name w:val="Medium Shading 2 Accent 5"/>
    <w:basedOn w:val="a1"/>
    <w:uiPriority w:val="64"/>
    <w:rsid w:val="00161D13"/>
    <w:pPr>
      <w:spacing w:after="0" w:line="240" w:lineRule="auto"/>
    </w:pPr>
    <w:rPr>
      <w:lang w:val="en-GB"/>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6">
    <w:name w:val="header"/>
    <w:basedOn w:val="a"/>
    <w:link w:val="Char"/>
    <w:uiPriority w:val="99"/>
    <w:unhideWhenUsed/>
    <w:rsid w:val="009F5DED"/>
    <w:pPr>
      <w:tabs>
        <w:tab w:val="center" w:pos="4153"/>
        <w:tab w:val="right" w:pos="8306"/>
      </w:tabs>
      <w:spacing w:after="0" w:line="240" w:lineRule="auto"/>
    </w:pPr>
  </w:style>
  <w:style w:type="character" w:customStyle="1" w:styleId="Char">
    <w:name w:val="رأس الصفحة Char"/>
    <w:basedOn w:val="a0"/>
    <w:link w:val="a6"/>
    <w:uiPriority w:val="99"/>
    <w:rsid w:val="009F5DED"/>
  </w:style>
  <w:style w:type="paragraph" w:styleId="a7">
    <w:name w:val="footer"/>
    <w:basedOn w:val="a"/>
    <w:link w:val="Char0"/>
    <w:uiPriority w:val="99"/>
    <w:unhideWhenUsed/>
    <w:rsid w:val="009F5DED"/>
    <w:pPr>
      <w:tabs>
        <w:tab w:val="center" w:pos="4153"/>
        <w:tab w:val="right" w:pos="8306"/>
      </w:tabs>
      <w:spacing w:after="0" w:line="240" w:lineRule="auto"/>
    </w:pPr>
  </w:style>
  <w:style w:type="character" w:customStyle="1" w:styleId="Char0">
    <w:name w:val="تذييل الصفحة Char"/>
    <w:basedOn w:val="a0"/>
    <w:link w:val="a7"/>
    <w:uiPriority w:val="99"/>
    <w:rsid w:val="009F5DED"/>
  </w:style>
  <w:style w:type="paragraph" w:styleId="a8">
    <w:name w:val="Balloon Text"/>
    <w:basedOn w:val="a"/>
    <w:link w:val="Char1"/>
    <w:uiPriority w:val="99"/>
    <w:semiHidden/>
    <w:unhideWhenUsed/>
    <w:rsid w:val="009F5DED"/>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9F5D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D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61D13"/>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No Spacing"/>
    <w:uiPriority w:val="1"/>
    <w:qFormat/>
    <w:rsid w:val="00161D13"/>
    <w:pPr>
      <w:spacing w:after="0" w:line="240" w:lineRule="auto"/>
    </w:pPr>
  </w:style>
  <w:style w:type="paragraph" w:styleId="a5">
    <w:name w:val="List Paragraph"/>
    <w:basedOn w:val="a"/>
    <w:uiPriority w:val="34"/>
    <w:qFormat/>
    <w:rsid w:val="00161D13"/>
    <w:pPr>
      <w:ind w:left="720"/>
      <w:contextualSpacing/>
    </w:pPr>
  </w:style>
  <w:style w:type="paragraph" w:customStyle="1" w:styleId="Default">
    <w:name w:val="Default"/>
    <w:uiPriority w:val="99"/>
    <w:rsid w:val="00161D13"/>
    <w:pPr>
      <w:autoSpaceDE w:val="0"/>
      <w:autoSpaceDN w:val="0"/>
      <w:adjustRightInd w:val="0"/>
      <w:spacing w:after="0" w:line="240" w:lineRule="auto"/>
    </w:pPr>
    <w:rPr>
      <w:rFonts w:ascii="Arial" w:hAnsi="Arial" w:cs="Arial"/>
      <w:color w:val="000000"/>
      <w:sz w:val="24"/>
      <w:szCs w:val="24"/>
      <w:lang w:val="en-GB"/>
    </w:rPr>
  </w:style>
  <w:style w:type="character" w:customStyle="1" w:styleId="ref-journal">
    <w:name w:val="ref-journal"/>
    <w:basedOn w:val="a0"/>
    <w:rsid w:val="00161D13"/>
  </w:style>
  <w:style w:type="table" w:styleId="2-5">
    <w:name w:val="Medium Shading 2 Accent 5"/>
    <w:basedOn w:val="a1"/>
    <w:uiPriority w:val="64"/>
    <w:rsid w:val="00161D13"/>
    <w:pPr>
      <w:spacing w:after="0" w:line="240" w:lineRule="auto"/>
    </w:pPr>
    <w:rPr>
      <w:lang w:val="en-GB"/>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6">
    <w:name w:val="header"/>
    <w:basedOn w:val="a"/>
    <w:link w:val="Char"/>
    <w:uiPriority w:val="99"/>
    <w:unhideWhenUsed/>
    <w:rsid w:val="009F5DED"/>
    <w:pPr>
      <w:tabs>
        <w:tab w:val="center" w:pos="4153"/>
        <w:tab w:val="right" w:pos="8306"/>
      </w:tabs>
      <w:spacing w:after="0" w:line="240" w:lineRule="auto"/>
    </w:pPr>
  </w:style>
  <w:style w:type="character" w:customStyle="1" w:styleId="Char">
    <w:name w:val="رأس الصفحة Char"/>
    <w:basedOn w:val="a0"/>
    <w:link w:val="a6"/>
    <w:uiPriority w:val="99"/>
    <w:rsid w:val="009F5DED"/>
  </w:style>
  <w:style w:type="paragraph" w:styleId="a7">
    <w:name w:val="footer"/>
    <w:basedOn w:val="a"/>
    <w:link w:val="Char0"/>
    <w:uiPriority w:val="99"/>
    <w:unhideWhenUsed/>
    <w:rsid w:val="009F5DED"/>
    <w:pPr>
      <w:tabs>
        <w:tab w:val="center" w:pos="4153"/>
        <w:tab w:val="right" w:pos="8306"/>
      </w:tabs>
      <w:spacing w:after="0" w:line="240" w:lineRule="auto"/>
    </w:pPr>
  </w:style>
  <w:style w:type="character" w:customStyle="1" w:styleId="Char0">
    <w:name w:val="تذييل الصفحة Char"/>
    <w:basedOn w:val="a0"/>
    <w:link w:val="a7"/>
    <w:uiPriority w:val="99"/>
    <w:rsid w:val="009F5DED"/>
  </w:style>
  <w:style w:type="paragraph" w:styleId="a8">
    <w:name w:val="Balloon Text"/>
    <w:basedOn w:val="a"/>
    <w:link w:val="Char1"/>
    <w:uiPriority w:val="99"/>
    <w:semiHidden/>
    <w:unhideWhenUsed/>
    <w:rsid w:val="009F5DED"/>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9F5D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87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1458</Words>
  <Characters>8317</Characters>
  <Application>Microsoft Office Word</Application>
  <DocSecurity>0</DocSecurity>
  <Lines>69</Lines>
  <Paragraphs>19</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fatma gaouda</dc:creator>
  <cp:lastModifiedBy>Maher</cp:lastModifiedBy>
  <cp:revision>2</cp:revision>
  <dcterms:created xsi:type="dcterms:W3CDTF">2022-06-20T20:10:00Z</dcterms:created>
  <dcterms:modified xsi:type="dcterms:W3CDTF">2022-06-20T20:10:00Z</dcterms:modified>
</cp:coreProperties>
</file>