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autoSpaceDE w:val="false"/>
        <w:autoSpaceDN w:val="false"/>
        <w:adjustRightInd w:val="false"/>
        <w:spacing w:after="0" w:lineRule="auto" w:line="240"/>
        <w:rPr>
          <w:rFonts w:cs="Times New Roman" w:hAnsi="Times New Roman"/>
          <w:b/>
          <w:bCs/>
          <w:color w:val="36363d"/>
          <w:sz w:val="72"/>
          <w:szCs w:val="72"/>
          <w:lang w:val="en-US"/>
        </w:rPr>
      </w:pPr>
      <w:r>
        <w:rPr>
          <w:rFonts w:cs="Times New Roman" w:hAnsi="Times New Roman"/>
          <w:b/>
          <w:bCs/>
          <w:color w:val="36363d"/>
          <w:sz w:val="28"/>
          <w:szCs w:val="28"/>
          <w:lang w:val="en-US"/>
        </w:rPr>
        <w:t xml:space="preserve">                         </w:t>
      </w:r>
      <w:r>
        <w:rPr>
          <w:rFonts w:cs="Times New Roman" w:hAnsi="Times New Roman"/>
          <w:b/>
          <w:bCs/>
          <w:color w:val="36363d"/>
          <w:sz w:val="28"/>
          <w:szCs w:val="28"/>
          <w:lang w:val="en-US"/>
        </w:rPr>
        <w:t xml:space="preserve">  </w:t>
      </w:r>
      <w:r>
        <w:rPr>
          <w:rFonts w:cs="Times New Roman" w:hAnsi="Times New Roman"/>
          <w:b/>
          <w:bCs/>
          <w:color w:val="36363d"/>
          <w:sz w:val="28"/>
          <w:szCs w:val="28"/>
          <w:highlight w:val="none"/>
          <w:lang w:val="en-US"/>
        </w:rPr>
        <w:t xml:space="preserve">         </w:t>
      </w:r>
      <w:r>
        <w:rPr>
          <w:rFonts w:cs="Times New Roman" w:hAnsi="Times New Roman"/>
          <w:b/>
          <w:bCs/>
          <w:color w:val="36363d"/>
          <w:sz w:val="44"/>
          <w:szCs w:val="44"/>
          <w:highlight w:val="none"/>
          <w:lang w:val="en-US"/>
        </w:rPr>
        <w:t xml:space="preserve">  </w:t>
      </w:r>
      <w:r>
        <w:rPr>
          <w:rFonts w:cs="Times New Roman" w:hAnsi="Times New Roman"/>
          <w:b/>
          <w:bCs/>
          <w:color w:val="36363d"/>
          <w:sz w:val="44"/>
          <w:szCs w:val="44"/>
          <w:highlight w:val="none"/>
          <w:lang w:val="en-US"/>
        </w:rPr>
        <w:t>Asymptomatic</w:t>
      </w:r>
      <w:r>
        <w:rPr>
          <w:rFonts w:cs="Times New Roman" w:hAnsi="Times New Roman"/>
          <w:b/>
          <w:bCs/>
          <w:color w:val="36363d"/>
          <w:sz w:val="44"/>
          <w:szCs w:val="44"/>
          <w:highlight w:val="none"/>
          <w:lang w:val="en-US"/>
        </w:rPr>
        <w:t xml:space="preserve"> </w:t>
      </w:r>
      <w:r>
        <w:rPr>
          <w:rFonts w:cs="Times New Roman" w:hAnsi="Times New Roman"/>
          <w:b/>
          <w:bCs/>
          <w:color w:val="36363d"/>
          <w:sz w:val="44"/>
          <w:szCs w:val="44"/>
          <w:highlight w:val="none"/>
          <w:lang w:val="en-US"/>
        </w:rPr>
        <w:t>bact</w:t>
      </w:r>
      <w:r>
        <w:rPr>
          <w:rFonts w:cs="Times New Roman" w:hAnsi="Times New Roman"/>
          <w:b/>
          <w:bCs/>
          <w:color w:val="36363d"/>
          <w:sz w:val="44"/>
          <w:szCs w:val="44"/>
          <w:highlight w:val="none"/>
          <w:lang w:val="en-US"/>
        </w:rPr>
        <w:t>e</w:t>
      </w:r>
      <w:r>
        <w:rPr>
          <w:rFonts w:cs="Times New Roman" w:hAnsi="Times New Roman"/>
          <w:b/>
          <w:bCs/>
          <w:color w:val="36363d"/>
          <w:sz w:val="44"/>
          <w:szCs w:val="44"/>
          <w:highlight w:val="none"/>
          <w:lang w:val="en-US"/>
        </w:rPr>
        <w:t>r</w:t>
      </w:r>
      <w:r>
        <w:rPr>
          <w:rFonts w:cs="Times New Roman" w:hAnsi="Times New Roman"/>
          <w:b/>
          <w:bCs/>
          <w:color w:val="36363d"/>
          <w:sz w:val="44"/>
          <w:szCs w:val="44"/>
          <w:highlight w:val="none"/>
          <w:lang w:val="en-US"/>
        </w:rPr>
        <w:t>i</w:t>
      </w:r>
      <w:r>
        <w:rPr>
          <w:rFonts w:cs="Times New Roman" w:hAnsi="Times New Roman"/>
          <w:b/>
          <w:bCs/>
          <w:color w:val="36363d"/>
          <w:sz w:val="44"/>
          <w:szCs w:val="44"/>
          <w:highlight w:val="none"/>
          <w:lang w:val="en-US"/>
        </w:rPr>
        <w:t>uria</w:t>
      </w:r>
      <w:r>
        <w:rPr>
          <w:rFonts w:cs="Times New Roman" w:hAnsi="Times New Roman"/>
          <w:b/>
          <w:bCs/>
          <w:color w:val="36363d"/>
          <w:sz w:val="44"/>
          <w:szCs w:val="44"/>
          <w:highlight w:val="yellow"/>
          <w:lang w:val="en-US"/>
        </w:rPr>
        <w:t xml:space="preserve">  </w:t>
      </w: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r>
        <w:rPr>
          <w:rFonts w:cs="Times New Roman" w:hAnsi="Times New Roman"/>
          <w:b/>
          <w:bCs/>
          <w:color w:val="36363d"/>
          <w:sz w:val="28"/>
          <w:szCs w:val="28"/>
          <w:lang w:val="en-US"/>
        </w:rPr>
        <w:t>Name</w:t>
      </w:r>
      <w:r>
        <w:rPr>
          <w:rFonts w:cs="Times New Roman" w:hAnsi="Times New Roman"/>
          <w:b/>
          <w:bCs/>
          <w:color w:val="36363d"/>
          <w:sz w:val="28"/>
          <w:szCs w:val="28"/>
          <w:lang w:val="en-US"/>
        </w:rPr>
        <w:t>:</w:t>
      </w:r>
      <w:r>
        <w:rPr>
          <w:rFonts w:cs="Times New Roman" w:hAnsi="Times New Roman"/>
          <w:b w:val="false"/>
          <w:bCs w:val="false"/>
          <w:color w:val="36363d"/>
          <w:sz w:val="28"/>
          <w:szCs w:val="28"/>
          <w:lang w:val="en-US"/>
        </w:rPr>
        <w:t xml:space="preserve"> </w:t>
      </w:r>
      <w:r>
        <w:rPr>
          <w:rFonts w:cs="Times New Roman" w:hAnsi="Times New Roman"/>
          <w:b w:val="false"/>
          <w:bCs w:val="false"/>
          <w:color w:val="36363d"/>
          <w:sz w:val="28"/>
          <w:szCs w:val="28"/>
          <w:lang w:val="en-US"/>
        </w:rPr>
        <w:t>Gehad Alzwai</w:t>
      </w:r>
      <w:r>
        <w:rPr>
          <w:rFonts w:cs="Times New Roman" w:hAnsi="Times New Roman"/>
          <w:b w:val="false"/>
          <w:bCs w:val="false"/>
          <w:color w:val="36363d"/>
          <w:sz w:val="28"/>
          <w:szCs w:val="28"/>
          <w:lang w:val="en-US"/>
        </w:rPr>
        <w:t xml:space="preserve">. </w:t>
      </w:r>
    </w:p>
    <w:p>
      <w:pPr>
        <w:pStyle w:val="style0"/>
        <w:autoSpaceDE w:val="false"/>
        <w:autoSpaceDN w:val="false"/>
        <w:adjustRightInd w:val="false"/>
        <w:spacing w:after="0" w:lineRule="auto" w:line="240"/>
        <w:rPr>
          <w:rFonts w:ascii="Times New Roman" w:cs="Times New Roman" w:hAnsi="Times New Roman"/>
          <w:b w:val="false"/>
          <w:bCs w:val="false"/>
          <w:color w:val="36363d"/>
          <w:sz w:val="28"/>
          <w:szCs w:val="28"/>
          <w:lang w:val="en-US"/>
        </w:rPr>
      </w:pPr>
      <w:r>
        <w:rPr>
          <w:rFonts w:ascii="Times New Roman" w:cs="Times New Roman" w:hAnsi="Times New Roman"/>
          <w:b/>
          <w:bCs/>
          <w:color w:val="36363d"/>
          <w:sz w:val="28"/>
          <w:szCs w:val="28"/>
          <w:lang w:val="en-US"/>
        </w:rPr>
        <w:t xml:space="preserve">Roll no: </w:t>
      </w:r>
      <w:r>
        <w:rPr>
          <w:rFonts w:ascii="Times New Roman" w:cs="Times New Roman" w:hAnsi="Times New Roman"/>
          <w:b w:val="false"/>
          <w:bCs w:val="false"/>
          <w:color w:val="36363d"/>
          <w:sz w:val="28"/>
          <w:szCs w:val="28"/>
          <w:lang w:val="en-US"/>
        </w:rPr>
        <w:t>2790</w:t>
      </w:r>
    </w:p>
    <w:p>
      <w:pPr>
        <w:pStyle w:val="style0"/>
        <w:autoSpaceDE w:val="false"/>
        <w:autoSpaceDN w:val="false"/>
        <w:adjustRightInd w:val="false"/>
        <w:spacing w:after="0" w:lineRule="auto" w:line="240"/>
        <w:rPr>
          <w:rFonts w:ascii="Times New Roman" w:cs="Times New Roman" w:hAnsi="Times New Roman"/>
          <w:b w:val="false"/>
          <w:bCs w:val="false"/>
          <w:color w:val="36363d"/>
          <w:sz w:val="28"/>
          <w:szCs w:val="28"/>
        </w:rPr>
      </w:pPr>
    </w:p>
    <w:p>
      <w:pPr>
        <w:pStyle w:val="style0"/>
        <w:autoSpaceDE w:val="false"/>
        <w:autoSpaceDN w:val="false"/>
        <w:adjustRightInd w:val="false"/>
        <w:spacing w:after="0" w:lineRule="auto" w:line="240"/>
        <w:rPr>
          <w:rFonts w:ascii="Times New Roman" w:cs="Times New Roman" w:hAnsi="Times New Roman"/>
          <w:b w:val="false"/>
          <w:bCs w:val="false"/>
          <w:color w:val="36363d"/>
          <w:sz w:val="28"/>
          <w:szCs w:val="28"/>
        </w:rPr>
      </w:pPr>
    </w:p>
    <w:p>
      <w:pPr>
        <w:pStyle w:val="style0"/>
        <w:autoSpaceDE w:val="false"/>
        <w:autoSpaceDN w:val="false"/>
        <w:adjustRightInd w:val="false"/>
        <w:spacing w:after="0" w:lineRule="auto" w:line="240"/>
        <w:rPr>
          <w:rFonts w:cs="Times New Roman" w:hAnsi="Times New Roman"/>
          <w:b/>
          <w:bCs/>
          <w:color w:val="7030a0"/>
          <w:sz w:val="40"/>
          <w:szCs w:val="40"/>
          <w:lang w:val="en-US"/>
        </w:rPr>
      </w:pPr>
      <w:r>
        <w:rPr>
          <w:rFonts w:cs="Times New Roman" w:hAnsi="Times New Roman"/>
          <w:b/>
          <w:bCs/>
          <w:color w:val="7030a0"/>
          <w:sz w:val="40"/>
          <w:szCs w:val="40"/>
          <w:lang w:val="en-US"/>
        </w:rPr>
        <w:t>Abstract</w:t>
      </w: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r>
        <w:rPr>
          <w:rFonts w:cs="Times New Roman" w:hAnsi="Times New Roman"/>
          <w:b w:val="false"/>
          <w:bCs w:val="false"/>
          <w:color w:val="36363d"/>
          <w:sz w:val="28"/>
          <w:szCs w:val="28"/>
          <w:lang w:val="en-US"/>
        </w:rPr>
        <w:t>Asymptomatic bacteriuria is common in patients who have no symptoms of a urinary tract infection. The incidence can be as high as 15% or more in women and men aged 65 to 80 years. Improper treatment contributes to the development of antibiotic resistance</w:t>
      </w: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r>
        <w:rPr>
          <w:rFonts w:cs="Times New Roman" w:hAnsi="Times New Roman"/>
          <w:b w:val="false"/>
          <w:bCs w:val="false"/>
          <w:color w:val="36363d"/>
          <w:sz w:val="28"/>
          <w:szCs w:val="28"/>
          <w:lang w:val="en-US"/>
        </w:rPr>
        <w:t>The most efficient approach to collect urine for culture is through self-collection. Suprapubic aspiration, straight catheter method, and mid-stream catch with or without washing are all possible procedures. In young patients who have not yet learnt to use the bathroom, diaper collection and sterile bag urine collection are employed.</w:t>
      </w: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r>
        <w:rPr>
          <w:rFonts w:cs="Times New Roman" w:hAnsi="Times New Roman"/>
          <w:b w:val="false"/>
          <w:bCs w:val="false"/>
          <w:color w:val="36363d"/>
          <w:sz w:val="28"/>
          <w:szCs w:val="28"/>
          <w:lang w:val="en-US"/>
        </w:rPr>
        <w:t xml:space="preserve">Females are at least four times more likely than males to get urinary tract infections (UTIs). Because of the nature of the female urinary system, infections are more prevalent. Urinary tract infections are common in pregnant women, with an estimated frequency of 8%. Around the sixth week of pregnancy, the ureters begin to dilate. A combination of these factors can lead to urinary stasis and uretero-vesical reflux. Even if the mother has no clinical symptoms, asymptomatic bacteriuria should be treated with antimicrobials. </w:t>
      </w:r>
    </w:p>
    <w:p>
      <w:pPr>
        <w:pStyle w:val="style0"/>
        <w:autoSpaceDE w:val="false"/>
        <w:autoSpaceDN w:val="false"/>
        <w:adjustRightInd w:val="false"/>
        <w:spacing w:after="0" w:lineRule="auto" w:line="240"/>
        <w:rPr>
          <w:rFonts w:cs="Times New Roman" w:hAnsi="Times New Roman"/>
          <w:b w:val="false"/>
          <w:bCs w:val="false"/>
          <w:color w:val="36363d"/>
          <w:sz w:val="28"/>
          <w:szCs w:val="28"/>
          <w:lang w:val="en-US"/>
        </w:rPr>
      </w:pPr>
      <w:r>
        <w:rPr>
          <w:rFonts w:cs="Times New Roman" w:hAnsi="Times New Roman"/>
          <w:b w:val="false"/>
          <w:bCs w:val="false"/>
          <w:color w:val="36363d"/>
          <w:sz w:val="28"/>
          <w:szCs w:val="28"/>
          <w:lang w:val="en-US"/>
        </w:rPr>
        <w:t>.</w:t>
      </w:r>
    </w:p>
    <w:p>
      <w:pPr>
        <w:pStyle w:val="style0"/>
        <w:autoSpaceDE w:val="false"/>
        <w:autoSpaceDN w:val="false"/>
        <w:adjustRightInd w:val="false"/>
        <w:spacing w:after="0" w:lineRule="auto" w:line="240"/>
        <w:rPr>
          <w:rFonts w:cs="Times New Roman" w:hAnsi="Times New Roman"/>
          <w:b w:val="false"/>
          <w:bCs w:val="false"/>
          <w:color w:val="36363d"/>
          <w:sz w:val="24"/>
          <w:szCs w:val="24"/>
          <w:lang w:val="en-US"/>
        </w:rPr>
      </w:pPr>
    </w:p>
    <w:p>
      <w:pPr>
        <w:pStyle w:val="style0"/>
        <w:autoSpaceDE w:val="false"/>
        <w:autoSpaceDN w:val="false"/>
        <w:adjustRightInd w:val="false"/>
        <w:spacing w:after="0" w:lineRule="auto" w:line="240"/>
        <w:rPr>
          <w:rFonts w:cs="Times New Roman" w:hAnsi="Times New Roman"/>
          <w:b/>
          <w:bCs/>
          <w:color w:val="7030a0"/>
          <w:sz w:val="40"/>
          <w:szCs w:val="40"/>
          <w:lang w:val="en-US"/>
        </w:rPr>
      </w:pPr>
    </w:p>
    <w:p>
      <w:pPr>
        <w:pStyle w:val="style0"/>
        <w:autoSpaceDE w:val="false"/>
        <w:autoSpaceDN w:val="false"/>
        <w:adjustRightInd w:val="false"/>
        <w:spacing w:after="0" w:lineRule="auto" w:line="240"/>
        <w:rPr>
          <w:rFonts w:ascii="Times New Roman" w:cs="Times New Roman" w:hAnsi="Times New Roman"/>
          <w:b/>
          <w:bCs/>
          <w:color w:val="c00000"/>
          <w:sz w:val="40"/>
          <w:szCs w:val="40"/>
        </w:rPr>
      </w:pPr>
      <w:r>
        <w:rPr>
          <w:rFonts w:ascii="Times New Roman" w:cs="Times New Roman" w:hAnsi="Times New Roman"/>
          <w:b/>
          <w:bCs/>
          <w:color w:val="c00000"/>
          <w:sz w:val="40"/>
          <w:szCs w:val="40"/>
        </w:rPr>
        <w:t xml:space="preserve"> </w:t>
      </w:r>
      <w:r>
        <w:rPr>
          <w:rFonts w:cs="Times New Roman" w:hAnsi="Times New Roman"/>
          <w:b/>
          <w:bCs/>
          <w:color w:val="c00000"/>
          <w:sz w:val="40"/>
          <w:szCs w:val="40"/>
          <w:lang w:val="en-US"/>
        </w:rPr>
        <w:t>Introduction</w:t>
      </w:r>
    </w:p>
    <w:p>
      <w:pPr>
        <w:pStyle w:val="style0"/>
        <w:autoSpaceDE w:val="false"/>
        <w:autoSpaceDN w:val="false"/>
        <w:adjustRightInd w:val="false"/>
        <w:spacing w:after="0" w:lineRule="auto" w:line="240"/>
        <w:rPr>
          <w:rFonts w:ascii="Times New Roman" w:cs="Times New Roman" w:hAnsi="Times New Roman"/>
          <w:sz w:val="28"/>
          <w:szCs w:val="28"/>
        </w:rPr>
      </w:pPr>
      <w:r>
        <w:rPr>
          <w:rFonts w:ascii="Times New Roman" w:cs="Times New Roman" w:hAnsi="Times New Roman"/>
          <w:sz w:val="28"/>
          <w:szCs w:val="28"/>
        </w:rPr>
        <w:t xml:space="preserve">The presence of bacteria in the collected urine of a patient who has no signs or symptoms of a urinary tract infection is known as asymptomatic bacteriuria </w:t>
      </w:r>
      <w:r>
        <w:rPr>
          <w:rFonts w:ascii="Times New Roman" w:cs="Times New Roman" w:hAnsi="Times New Roman"/>
          <w:color w:val="36363d"/>
          <w:sz w:val="28"/>
          <w:szCs w:val="28"/>
          <w:lang w:val="en-US"/>
        </w:rPr>
        <w:t>(1)</w:t>
      </w:r>
      <w:r>
        <w:rPr>
          <w:rFonts w:ascii="Times New Roman" w:cs="Times New Roman" w:hAnsi="Times New Roman"/>
          <w:sz w:val="28"/>
          <w:szCs w:val="28"/>
        </w:rPr>
        <w:t>. In clinical practice, asymptomatic bacteriuria is common. While asymmptomatic bacteriuria is uncommon in newborns and toddlers, it becomes more common as they grow older. In women and men aged 65 to 80 years, the incidence can be as high as 15% or more, and it can be as high as 40% to 50% after that. Most people with asymptomatic bacteriuria will never acquire symptomatic urinary tract infections, and asymptomatic bacteriuria will have no negative repercussions</w:t>
      </w:r>
      <w:r>
        <w:rPr>
          <w:rFonts w:ascii="Times New Roman" w:cs="Times New Roman" w:hAnsi="Times New Roman"/>
          <w:color w:val="36363d"/>
          <w:sz w:val="28"/>
          <w:szCs w:val="28"/>
          <w:lang w:val="en-US"/>
        </w:rPr>
        <w:t>(2)</w:t>
      </w:r>
      <w:r>
        <w:rPr>
          <w:rFonts w:ascii="Times New Roman" w:cs="Times New Roman" w:hAnsi="Times New Roman"/>
          <w:sz w:val="28"/>
          <w:szCs w:val="28"/>
        </w:rPr>
        <w:t>. It's uncertain how to avoid the deleterious effects of improper urine cultures in elderly acute care patients with a high proportion of asymptomatic bacteriuria.</w:t>
      </w:r>
    </w:p>
    <w:p>
      <w:pPr>
        <w:pStyle w:val="style0"/>
        <w:autoSpaceDE w:val="false"/>
        <w:autoSpaceDN w:val="false"/>
        <w:adjustRightInd w:val="false"/>
        <w:spacing w:after="0" w:lineRule="auto" w:line="240"/>
        <w:rPr>
          <w:rFonts w:ascii="Times New Roman" w:cs="Times New Roman" w:hAnsi="Times New Roman"/>
          <w:sz w:val="28"/>
          <w:szCs w:val="28"/>
        </w:rPr>
      </w:pPr>
    </w:p>
    <w:p>
      <w:pPr>
        <w:pStyle w:val="style0"/>
        <w:autoSpaceDE w:val="false"/>
        <w:autoSpaceDN w:val="false"/>
        <w:adjustRightInd w:val="false"/>
        <w:spacing w:after="0" w:lineRule="auto" w:line="240"/>
        <w:rPr>
          <w:rFonts w:ascii="Times New Roman" w:cs="Times New Roman" w:hAnsi="Times New Roman"/>
          <w:sz w:val="28"/>
          <w:szCs w:val="28"/>
        </w:rPr>
      </w:pPr>
    </w:p>
    <w:p>
      <w:pPr>
        <w:pStyle w:val="style0"/>
        <w:autoSpaceDE w:val="false"/>
        <w:autoSpaceDN w:val="false"/>
        <w:adjustRightInd w:val="false"/>
        <w:spacing w:after="0" w:lineRule="auto" w:line="240"/>
        <w:rPr>
          <w:rFonts w:ascii="Times New Roman" w:cs="Times New Roman" w:hAnsi="Times New Roman"/>
          <w:sz w:val="28"/>
          <w:szCs w:val="28"/>
        </w:rPr>
      </w:pPr>
      <w:r>
        <w:rPr>
          <w:rFonts w:ascii="Times New Roman" w:cs="Times New Roman" w:hAnsi="Times New Roman"/>
          <w:sz w:val="28"/>
          <w:szCs w:val="28"/>
        </w:rPr>
        <w:t>Asymptomatic bacteriuria has few indications for treatment, and incorrect treatment contributes to the development of antibiotic resistance. The Infectious Diseases Society of America (IDSA) updated its 2005 guidelines on asymptomatic bacteriuria in 2019, taking into account new findings. According to the revised guidelines, pregnant women and anyone undergoing endourological procedures that cause mucosal stress should be screened for asymptomatic bacteriuria and treated . Infants and children, healthy adults, including non-pregnant pre- and postmenopausal women, and patients with diabetes mellitus, long-term indwelling catheters, or spinal cord injuries are all advised against screening and therapy, according to the recommendations.</w:t>
      </w:r>
    </w:p>
    <w:p>
      <w:pPr>
        <w:pStyle w:val="style0"/>
        <w:autoSpaceDE w:val="false"/>
        <w:autoSpaceDN w:val="false"/>
        <w:adjustRightInd w:val="false"/>
        <w:spacing w:after="0" w:lineRule="auto" w:line="240"/>
        <w:rPr>
          <w:rFonts w:ascii="Times New Roman" w:cs="Times New Roman" w:hAnsi="Times New Roman"/>
          <w:sz w:val="28"/>
          <w:szCs w:val="28"/>
        </w:rPr>
      </w:pPr>
      <w:r>
        <w:rPr>
          <w:rFonts w:ascii="Times New Roman" w:cs="Times New Roman" w:hAnsi="Times New Roman"/>
          <w:sz w:val="28"/>
          <w:szCs w:val="28"/>
        </w:rPr>
        <w:t>The rate of presence of the bacteria is considered to be higher in females than in males. This increase can be explained by the anatomical difference between the genders. The route for urine excretion in females is shorter due to the absence of the extra length provided by the penis in the male urethra. makes it easier for the bacteria to stick to the wall of the female urethra and can travel upward. which increases the pathogenesity of the bacteria and can cause the infection.</w:t>
      </w:r>
    </w:p>
    <w:p>
      <w:pPr>
        <w:pStyle w:val="style0"/>
        <w:autoSpaceDE w:val="false"/>
        <w:autoSpaceDN w:val="false"/>
        <w:adjustRightInd w:val="false"/>
        <w:spacing w:after="0" w:lineRule="auto" w:line="240"/>
        <w:rPr>
          <w:rFonts w:ascii="Times New Roman" w:cs="Times New Roman" w:hAnsi="Times New Roman"/>
          <w:sz w:val="28"/>
          <w:szCs w:val="28"/>
          <w:lang w:val="en-US"/>
        </w:rPr>
      </w:pPr>
    </w:p>
    <w:p>
      <w:pPr>
        <w:pStyle w:val="style0"/>
        <w:autoSpaceDE w:val="false"/>
        <w:autoSpaceDN w:val="false"/>
        <w:adjustRightInd w:val="false"/>
        <w:spacing w:after="0" w:lineRule="auto" w:line="240"/>
        <w:rPr>
          <w:rFonts w:ascii="Times New Roman" w:cs="Times New Roman" w:hAnsi="Times New Roman"/>
          <w:sz w:val="24"/>
          <w:szCs w:val="24"/>
          <w:lang w:val="en-US"/>
        </w:rPr>
      </w:pPr>
    </w:p>
    <w:p>
      <w:pPr>
        <w:pStyle w:val="style0"/>
        <w:autoSpaceDE w:val="false"/>
        <w:autoSpaceDN w:val="false"/>
        <w:adjustRightInd w:val="false"/>
        <w:spacing w:after="0" w:lineRule="auto" w:line="240"/>
        <w:rPr>
          <w:rFonts w:ascii="Times New Roman" w:cs="Times New Roman" w:hAnsi="Times New Roman"/>
          <w:color w:val="c00000"/>
          <w:sz w:val="24"/>
          <w:szCs w:val="24"/>
          <w:lang w:val="en-US"/>
        </w:rPr>
      </w:pPr>
    </w:p>
    <w:p>
      <w:pPr>
        <w:pStyle w:val="style0"/>
        <w:autoSpaceDE w:val="false"/>
        <w:autoSpaceDN w:val="false"/>
        <w:adjustRightInd w:val="false"/>
        <w:spacing w:after="0" w:lineRule="auto" w:line="240"/>
        <w:rPr>
          <w:rFonts w:ascii="Times New Roman" w:cs="Times New Roman" w:hAnsi="Times New Roman"/>
          <w:color w:val="92d050"/>
          <w:sz w:val="24"/>
          <w:szCs w:val="24"/>
        </w:rPr>
      </w:pPr>
    </w:p>
    <w:p>
      <w:pPr>
        <w:pStyle w:val="style0"/>
        <w:autoSpaceDE w:val="false"/>
        <w:autoSpaceDN w:val="false"/>
        <w:adjustRightInd w:val="false"/>
        <w:spacing w:after="0" w:lineRule="auto" w:line="240"/>
        <w:rPr>
          <w:rFonts w:ascii="Times New Roman" w:cs="Times New Roman" w:hAnsi="Times New Roman"/>
          <w:b/>
          <w:bCs/>
          <w:color w:val="92d050"/>
          <w:sz w:val="40"/>
          <w:szCs w:val="40"/>
        </w:rPr>
      </w:pPr>
      <w:r>
        <w:rPr>
          <w:rFonts w:ascii="Times New Roman" w:cs="Times New Roman" w:hAnsi="Times New Roman"/>
          <w:b/>
          <w:bCs/>
          <w:color w:val="92d050"/>
          <w:sz w:val="40"/>
          <w:szCs w:val="40"/>
          <w:lang w:val="en-US"/>
        </w:rPr>
        <w:t>Method qnd material</w:t>
      </w:r>
    </w:p>
    <w:p>
      <w:pPr>
        <w:pStyle w:val="style0"/>
        <w:autoSpaceDE w:val="false"/>
        <w:autoSpaceDN w:val="false"/>
        <w:adjustRightInd w:val="false"/>
        <w:spacing w:after="0" w:lineRule="auto" w:line="24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8"/>
          <w:szCs w:val="28"/>
          <w:lang w:val="en-US"/>
        </w:rPr>
      </w:pPr>
      <w:r>
        <w:rPr>
          <w:rFonts w:ascii="Times New Roman" w:cs="Times New Roman" w:hAnsi="Times New Roman"/>
          <w:sz w:val="28"/>
          <w:szCs w:val="28"/>
          <w:lang w:val="en-US"/>
        </w:rPr>
        <w:t>Suprapubic aspiration, straight catheter technique, and mid-stream catch with or without cleansing are all options for collecting urine for culture. Diaper collection and sterile bag urine collection methods are used in pediatric patients who have not yet learned to use the toilet</w:t>
      </w:r>
      <w:r>
        <w:rPr>
          <w:rFonts w:ascii="Times New Roman" w:cs="Times New Roman" w:hAnsi="Times New Roman"/>
          <w:color w:val="36363d"/>
          <w:sz w:val="28"/>
          <w:szCs w:val="28"/>
          <w:lang w:val="en-US"/>
        </w:rPr>
        <w:t>(3)</w:t>
      </w:r>
      <w:r>
        <w:rPr>
          <w:rFonts w:ascii="Times New Roman" w:cs="Times New Roman" w:hAnsi="Times New Roman"/>
          <w:sz w:val="28"/>
          <w:szCs w:val="28"/>
          <w:lang w:val="en-US"/>
        </w:rPr>
        <w:t>. Suprapubic collection is the most effective way to avoid bacterial contamination of specimens, especially in the distal urethra. This method is rarely used due to patient discomfort, invasiveness, lack of indication (except in rare cases), and inappropriate resource use. The next best option is to collect urine with a single catheter (straight catheter technique). Despite this, because of the time and effort required as well as the risk of introducing bacteria into the bladder and potentially causing a UTI, this technique is only used when absolutely necessary.</w:t>
      </w:r>
    </w:p>
    <w:p>
      <w:pPr>
        <w:pStyle w:val="style0"/>
        <w:autoSpaceDE w:val="false"/>
        <w:autoSpaceDN w:val="false"/>
        <w:adjustRightInd w:val="false"/>
        <w:spacing w:after="0" w:lineRule="auto" w:line="240"/>
        <w:rPr>
          <w:rFonts w:ascii="Times New Roman" w:cs="Times New Roman" w:hAnsi="Times New Roman"/>
          <w:sz w:val="28"/>
          <w:szCs w:val="28"/>
          <w:lang w:val="en-US"/>
        </w:rPr>
      </w:pPr>
      <w:r>
        <w:rPr>
          <w:rFonts w:ascii="Times New Roman" w:cs="Times New Roman" w:hAnsi="Times New Roman"/>
          <w:sz w:val="28"/>
          <w:szCs w:val="28"/>
          <w:lang w:val="en-US"/>
        </w:rPr>
        <w:t>The previously mentioned specimen collection methods are thus reserved for patients who are unable to collect their own samples. As a result, the most common method of obtaining a urine sample for urine culture is through a clean-catch midstream technique, which is neither invasive nor unpleasant. When compared to suprapubic aspiration and single catheter techniques, colony counts from these samples correlate reasonably well. Mid-stream clean-catch technique, mid-stream catch without prior cleansing, and random sampling delivered without instruction are the current self-collection standards. The various self-collection techniques do not show any clinically significant differences. However, studies have shown that certain sample collection methods are preferred over others depending on the patient's demographic, such as adult male, adult female, or infant/child</w:t>
      </w:r>
      <w:r>
        <w:rPr>
          <w:rFonts w:ascii="Times New Roman" w:cs="Times New Roman" w:hAnsi="Times New Roman"/>
          <w:color w:val="36363d"/>
          <w:sz w:val="28"/>
          <w:szCs w:val="28"/>
          <w:lang w:val="en-US"/>
        </w:rPr>
        <w:t>(4)</w:t>
      </w:r>
      <w:r>
        <w:rPr>
          <w:rFonts w:ascii="Times New Roman" w:cs="Times New Roman" w:hAnsi="Times New Roman"/>
          <w:sz w:val="28"/>
          <w:szCs w:val="28"/>
          <w:lang w:val="en-US"/>
        </w:rPr>
        <w:t>. For females, contamination and diagnostic accuracy did not differ significantly when midstream urine was collected with or without prior cleansing; there is no recommendation for collection without cleansing. Contamination was significantly reduced in adult males when mid-stream catch was used as the method of collection, making it preferable to first-void specimen collection. Prior cleansing had no significant effect on mid-stream collection.</w:t>
      </w:r>
    </w:p>
    <w:p>
      <w:pPr>
        <w:pStyle w:val="style0"/>
        <w:autoSpaceDE w:val="false"/>
        <w:autoSpaceDN w:val="false"/>
        <w:adjustRightInd w:val="false"/>
        <w:spacing w:after="0" w:lineRule="auto" w:line="240"/>
        <w:rPr>
          <w:rFonts w:ascii="Times New Roman" w:cs="Times New Roman" w:hAnsi="Times New Roman"/>
          <w:sz w:val="28"/>
          <w:szCs w:val="28"/>
          <w:lang w:val="en-US"/>
        </w:rPr>
      </w:pPr>
      <w:r>
        <w:rPr>
          <w:rFonts w:ascii="Times New Roman" w:cs="Times New Roman" w:hAnsi="Times New Roman"/>
          <w:sz w:val="28"/>
          <w:szCs w:val="28"/>
          <w:lang w:val="en-US"/>
        </w:rPr>
        <w:t>In children and infants, however, mid-stream collection with prior cleansing outperformed other methods such as mid-stream collection without cleansing, sterile bag urine collection, and diaper collection in terms of reducing contamination. As a result, most adult populations have deemed pre-collection cleansing procedures unnecessary because they do not reduce the risk of contamination from commensal bacteria. Despite the fact that there has been no change in the diagnosis, course, or treatment, patients continue to use the traditional method of cleansing as the first step in collecting urine samples.</w:t>
      </w:r>
    </w:p>
    <w:p>
      <w:pPr>
        <w:pStyle w:val="style0"/>
        <w:autoSpaceDE w:val="false"/>
        <w:autoSpaceDN w:val="false"/>
        <w:adjustRightInd w:val="false"/>
        <w:spacing w:after="0" w:lineRule="auto" w:line="24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4"/>
          <w:szCs w:val="24"/>
          <w:lang w:val="en-US"/>
        </w:rPr>
      </w:pPr>
    </w:p>
    <w:p>
      <w:pPr>
        <w:pStyle w:val="style0"/>
        <w:autoSpaceDE w:val="false"/>
        <w:autoSpaceDN w:val="false"/>
        <w:adjustRightInd w:val="false"/>
        <w:spacing w:after="0" w:lineRule="auto" w:line="24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4"/>
          <w:szCs w:val="24"/>
          <w:lang w:val="en-US"/>
        </w:rPr>
      </w:pPr>
    </w:p>
    <w:p>
      <w:pPr>
        <w:pStyle w:val="style0"/>
        <w:autoSpaceDE w:val="false"/>
        <w:autoSpaceDN w:val="false"/>
        <w:adjustRightInd w:val="false"/>
        <w:spacing w:after="0" w:lineRule="auto" w:line="240"/>
        <w:rPr>
          <w:rFonts w:ascii="Times New Roman" w:cs="Times New Roman" w:hAnsi="Times New Roman"/>
          <w:b/>
          <w:bCs/>
          <w:color w:val="00b0f0"/>
          <w:sz w:val="40"/>
          <w:szCs w:val="40"/>
        </w:rPr>
      </w:pPr>
      <w:r>
        <w:rPr>
          <w:rFonts w:cs="Times New Roman" w:hAnsi="Times New Roman"/>
          <w:b/>
          <w:bCs/>
          <w:color w:val="00b0f0"/>
          <w:sz w:val="40"/>
          <w:szCs w:val="40"/>
          <w:lang w:val="en-US"/>
        </w:rPr>
        <w:t>Result</w:t>
      </w:r>
    </w:p>
    <w:p>
      <w:pPr>
        <w:pStyle w:val="style0"/>
        <w:autoSpaceDE w:val="false"/>
        <w:autoSpaceDN w:val="false"/>
        <w:adjustRightInd w:val="false"/>
        <w:spacing w:after="0" w:lineRule="auto" w:line="240"/>
        <w:rPr>
          <w:rFonts w:ascii="Times New Roman" w:cs="Times New Roman" w:hAnsi="Times New Roman"/>
          <w:color w:val="00b0f0"/>
          <w:sz w:val="32"/>
          <w:szCs w:val="32"/>
          <w:highlight w:val="none"/>
        </w:rPr>
      </w:pP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bottom w:w="0" w:type="dxa"/>
        </w:tblCellMar>
        <w:tblLook w:val="0000" w:firstRow="0" w:lastRow="0" w:firstColumn="0" w:lastColumn="0" w:noHBand="0" w:noVBand="0"/>
      </w:tblPr>
      <w:tblGrid>
        <w:gridCol w:w="1859"/>
        <w:gridCol w:w="1030"/>
        <w:gridCol w:w="1030"/>
        <w:gridCol w:w="1030"/>
        <w:gridCol w:w="1030"/>
        <w:gridCol w:w="1030"/>
        <w:gridCol w:w="1030"/>
      </w:tblGrid>
      <w:tr>
        <w:trPr>
          <w:cantSplit/>
        </w:trPr>
        <w:tc>
          <w:tcPr>
            <w:tcW w:w="8033" w:type="dxa"/>
            <w:gridSpan w:val="7"/>
            <w:tcBorders>
              <w:top w:val="nil"/>
              <w:left w:val="nil"/>
              <w:bottom w:val="nil"/>
              <w:right w:val="nil"/>
            </w:tcBorders>
            <w:shd w:val="clear" w:color="auto" w:fill="ffffff"/>
            <w:vAlign w:val="center"/>
          </w:tcPr>
          <w:p>
            <w:pPr>
              <w:pStyle w:val="style0"/>
              <w:autoSpaceDE w:val="false"/>
              <w:autoSpaceDN w:val="false"/>
              <w:adjustRightInd w:val="false"/>
              <w:spacing w:after="0" w:lineRule="atLeast" w:line="320"/>
              <w:ind w:left="60" w:right="60"/>
              <w:jc w:val="center"/>
              <w:rPr>
                <w:rFonts w:ascii="Arial" w:cs="Arial" w:hAnsi="Arial"/>
                <w:color w:val="010205"/>
              </w:rPr>
            </w:pPr>
            <w:r>
              <w:rPr>
                <w:rFonts w:ascii="Arial" w:cs="Arial" w:hAnsi="Arial"/>
                <w:b/>
                <w:bCs/>
                <w:color w:val="010205"/>
              </w:rPr>
              <w:t>Case Processing Summary</w:t>
            </w:r>
          </w:p>
        </w:tc>
      </w:tr>
      <w:tr>
        <w:tblPrEx/>
        <w:trPr>
          <w:cantSplit/>
        </w:trPr>
        <w:tc>
          <w:tcPr>
            <w:tcW w:w="1859" w:type="dxa"/>
            <w:vMerge w:val="restart"/>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6174" w:type="dxa"/>
            <w:gridSpan w:val="6"/>
            <w:tcBorders>
              <w:top w:val="nil"/>
              <w:left w:val="nil"/>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Cases</w:t>
            </w:r>
          </w:p>
        </w:tc>
      </w:tr>
      <w:tr>
        <w:tblPrEx/>
        <w:trPr>
          <w:cantSplit/>
        </w:trPr>
        <w:tc>
          <w:tcPr>
            <w:tcW w:w="1859" w:type="dxa"/>
            <w:vMerge w:val="continue"/>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2058" w:type="dxa"/>
            <w:gridSpan w:val="2"/>
            <w:tcBorders>
              <w:top w:val="nil"/>
              <w:left w:val="nil"/>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Total</w:t>
            </w:r>
          </w:p>
        </w:tc>
      </w:tr>
      <w:tr>
        <w:tblPrEx/>
        <w:trPr>
          <w:cantSplit/>
        </w:trPr>
        <w:tc>
          <w:tcPr>
            <w:tcW w:w="1859" w:type="dxa"/>
            <w:vMerge w:val="continue"/>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Percent</w:t>
            </w:r>
          </w:p>
        </w:tc>
      </w:tr>
      <w:tr>
        <w:tblPrEx/>
        <w:trPr>
          <w:cantSplit/>
        </w:trPr>
        <w:tc>
          <w:tcPr>
            <w:tcW w:w="1859" w:type="dxa"/>
            <w:tcBorders>
              <w:top w:val="single" w:sz="8" w:space="0" w:color="152935"/>
              <w:left w:val="nil"/>
              <w:bottom w:val="single" w:sz="8" w:space="0" w:color="152935"/>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r>
    </w:tbl>
    <w:p>
      <w:pPr>
        <w:pStyle w:val="style0"/>
        <w:autoSpaceDE w:val="false"/>
        <w:autoSpaceDN w:val="false"/>
        <w:adjustRightInd w:val="false"/>
        <w:spacing w:after="0" w:lineRule="atLeast" w:line="40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4"/>
          <w:szCs w:val="24"/>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bottom w:w="0" w:type="dxa"/>
        </w:tblCellMar>
        <w:tblLook w:val="0000" w:firstRow="0" w:lastRow="0" w:firstColumn="0" w:lastColumn="0" w:noHBand="0" w:noVBand="0"/>
      </w:tblPr>
      <w:tblGrid>
        <w:gridCol w:w="922"/>
        <w:gridCol w:w="937"/>
        <w:gridCol w:w="1814"/>
        <w:gridCol w:w="1153"/>
        <w:gridCol w:w="1476"/>
        <w:gridCol w:w="1476"/>
        <w:gridCol w:w="1030"/>
      </w:tblGrid>
      <w:tr>
        <w:trPr>
          <w:cantSplit/>
        </w:trPr>
        <w:tc>
          <w:tcPr>
            <w:tcW w:w="8803" w:type="dxa"/>
            <w:gridSpan w:val="7"/>
            <w:tcBorders>
              <w:top w:val="nil"/>
              <w:left w:val="nil"/>
              <w:bottom w:val="nil"/>
              <w:right w:val="nil"/>
            </w:tcBorders>
            <w:shd w:val="clear" w:color="auto" w:fill="ffffff"/>
            <w:vAlign w:val="center"/>
          </w:tcPr>
          <w:p>
            <w:pPr>
              <w:pStyle w:val="style0"/>
              <w:autoSpaceDE w:val="false"/>
              <w:autoSpaceDN w:val="false"/>
              <w:adjustRightInd w:val="false"/>
              <w:spacing w:after="0" w:lineRule="atLeast" w:line="320"/>
              <w:ind w:left="60" w:right="60"/>
              <w:jc w:val="center"/>
              <w:rPr>
                <w:rFonts w:ascii="Arial" w:cs="Arial" w:hAnsi="Arial"/>
                <w:color w:val="010205"/>
              </w:rPr>
            </w:pPr>
            <w:r>
              <w:rPr>
                <w:rFonts w:ascii="Arial" w:cs="Arial" w:hAnsi="Arial"/>
                <w:b/>
                <w:bCs/>
                <w:color w:val="010205"/>
              </w:rPr>
              <w:t xml:space="preserve">Gender * UTICATS </w:t>
            </w:r>
            <w:r>
              <w:rPr>
                <w:rFonts w:ascii="Arial" w:cs="Arial" w:hAnsi="Arial"/>
                <w:b/>
                <w:bCs/>
                <w:color w:val="010205"/>
              </w:rPr>
              <w:t>Crosstabulation</w:t>
            </w:r>
          </w:p>
        </w:tc>
      </w:tr>
      <w:tr>
        <w:tblPrEx/>
        <w:trPr>
          <w:cantSplit/>
        </w:trPr>
        <w:tc>
          <w:tcPr>
            <w:tcW w:w="3672" w:type="dxa"/>
            <w:gridSpan w:val="3"/>
            <w:vMerge w:val="restart"/>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UTICATS</w:t>
            </w:r>
          </w:p>
        </w:tc>
        <w:tc>
          <w:tcPr>
            <w:tcW w:w="1029" w:type="dxa"/>
            <w:vMerge w:val="restart"/>
            <w:tcBorders>
              <w:top w:val="nil"/>
              <w:left w:val="single" w:sz="8" w:space="0" w:color="e0e0e0"/>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Total</w:t>
            </w:r>
          </w:p>
        </w:tc>
      </w:tr>
      <w:tr>
        <w:tblPrEx/>
        <w:trPr>
          <w:cantSplit/>
        </w:trPr>
        <w:tc>
          <w:tcPr>
            <w:tcW w:w="3672" w:type="dxa"/>
            <w:gridSpan w:val="3"/>
            <w:vMerge w:val="continue"/>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Significant growth</w:t>
            </w:r>
          </w:p>
        </w:tc>
        <w:tc>
          <w:tcPr>
            <w:tcW w:w="1029" w:type="dxa"/>
            <w:vMerge w:val="continue"/>
            <w:tcBorders>
              <w:top w:val="nil"/>
              <w:left w:val="single" w:sz="8" w:space="0" w:color="e0e0e0"/>
              <w:bottom w:val="nil"/>
              <w:right w:val="nil"/>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r>
      <w:tr>
        <w:tblPrEx/>
        <w:trPr>
          <w:cantSplit/>
        </w:trPr>
        <w:tc>
          <w:tcPr>
            <w:tcW w:w="922" w:type="dxa"/>
            <w:vMerge w:val="restart"/>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12</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12.0</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nil"/>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50.0%</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restart"/>
            <w:tcBorders>
              <w:top w:val="single" w:sz="8" w:space="0" w:color="aeaeae"/>
              <w:left w:val="nil"/>
              <w:bottom w:val="nil"/>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12</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continue"/>
            <w:tcBorders>
              <w:top w:val="single" w:sz="8" w:space="0" w:color="aeaeae"/>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12.0</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continue"/>
            <w:tcBorders>
              <w:top w:val="single" w:sz="8" w:space="0" w:color="aeaeae"/>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r>
      <w:tr>
        <w:tblPrEx/>
        <w:trPr>
          <w:cantSplit/>
        </w:trPr>
        <w:tc>
          <w:tcPr>
            <w:tcW w:w="922" w:type="dxa"/>
            <w:vMerge w:val="continue"/>
            <w:tcBorders>
              <w:top w:val="single" w:sz="8" w:space="0" w:color="152935"/>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937" w:type="dxa"/>
            <w:vMerge w:val="continue"/>
            <w:tcBorders>
              <w:top w:val="single" w:sz="8" w:space="0" w:color="aeaeae"/>
              <w:left w:val="nil"/>
              <w:bottom w:val="nil"/>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nil"/>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 within UTICATS</w:t>
            </w:r>
          </w:p>
        </w:tc>
        <w:tc>
          <w:tcPr>
            <w:tcW w:w="1152" w:type="dxa"/>
            <w:tcBorders>
              <w:top w:val="single" w:sz="8" w:space="0" w:color="aeaeae"/>
              <w:left w:val="nil"/>
              <w:bottom w:val="nil"/>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50.0%</w:t>
            </w:r>
          </w:p>
        </w:tc>
      </w:tr>
      <w:tr>
        <w:tblPrEx/>
        <w:trPr>
          <w:cantSplit/>
        </w:trPr>
        <w:tc>
          <w:tcPr>
            <w:tcW w:w="1859" w:type="dxa"/>
            <w:gridSpan w:val="2"/>
            <w:vMerge w:val="restart"/>
            <w:tcBorders>
              <w:top w:val="single" w:sz="8" w:space="0" w:color="aeaeae"/>
              <w:left w:val="nil"/>
              <w:bottom w:val="single" w:sz="8" w:space="0" w:color="152935"/>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24</w:t>
            </w:r>
          </w:p>
        </w:tc>
      </w:tr>
      <w:tr>
        <w:tblPrEx/>
        <w:trPr>
          <w:cantSplit/>
        </w:trPr>
        <w:tc>
          <w:tcPr>
            <w:tcW w:w="1859" w:type="dxa"/>
            <w:gridSpan w:val="2"/>
            <w:vMerge w:val="continue"/>
            <w:tcBorders>
              <w:top w:val="single" w:sz="8" w:space="0" w:color="aeaeae"/>
              <w:left w:val="nil"/>
              <w:bottom w:val="single" w:sz="8" w:space="0" w:color="152935"/>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24.0</w:t>
            </w:r>
          </w:p>
        </w:tc>
      </w:tr>
      <w:tr>
        <w:tblPrEx/>
        <w:trPr>
          <w:cantSplit/>
        </w:trPr>
        <w:tc>
          <w:tcPr>
            <w:tcW w:w="1859" w:type="dxa"/>
            <w:gridSpan w:val="2"/>
            <w:vMerge w:val="continue"/>
            <w:tcBorders>
              <w:top w:val="single" w:sz="8" w:space="0" w:color="aeaeae"/>
              <w:left w:val="nil"/>
              <w:bottom w:val="single" w:sz="8" w:space="0" w:color="152935"/>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 within Gender</w:t>
            </w:r>
          </w:p>
        </w:tc>
        <w:tc>
          <w:tcPr>
            <w:tcW w:w="115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r>
      <w:tr>
        <w:tblPrEx/>
        <w:trPr>
          <w:cantSplit/>
        </w:trPr>
        <w:tc>
          <w:tcPr>
            <w:tcW w:w="1859" w:type="dxa"/>
            <w:gridSpan w:val="2"/>
            <w:vMerge w:val="continue"/>
            <w:tcBorders>
              <w:top w:val="single" w:sz="8" w:space="0" w:color="aeaeae"/>
              <w:left w:val="nil"/>
              <w:bottom w:val="single" w:sz="8" w:space="0" w:color="152935"/>
              <w:right w:val="nil"/>
            </w:tcBorders>
            <w:shd w:val="clear" w:color="auto" w:fill="e0e0e0"/>
          </w:tcPr>
          <w:p>
            <w:pPr>
              <w:pStyle w:val="style0"/>
              <w:autoSpaceDE w:val="false"/>
              <w:autoSpaceDN w:val="false"/>
              <w:adjustRightInd w:val="false"/>
              <w:spacing w:after="0" w:lineRule="auto" w:line="240"/>
              <w:rPr>
                <w:rFonts w:ascii="Arial" w:cs="Arial" w:hAnsi="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 within UTICATS</w:t>
            </w:r>
          </w:p>
        </w:tc>
        <w:tc>
          <w:tcPr>
            <w:tcW w:w="1152" w:type="dxa"/>
            <w:tcBorders>
              <w:top w:val="single" w:sz="8" w:space="0" w:color="aeaeae"/>
              <w:left w:val="nil"/>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100.0%</w:t>
            </w:r>
          </w:p>
        </w:tc>
      </w:tr>
    </w:tbl>
    <w:p>
      <w:pPr>
        <w:pStyle w:val="style0"/>
        <w:autoSpaceDE w:val="false"/>
        <w:autoSpaceDN w:val="false"/>
        <w:adjustRightInd w:val="false"/>
        <w:spacing w:after="0" w:lineRule="atLeast" w:line="400"/>
        <w:rPr>
          <w:rFonts w:ascii="Times New Roman" w:cs="Times New Roman" w:hAnsi="Times New Roman"/>
          <w:sz w:val="24"/>
          <w:szCs w:val="24"/>
        </w:rPr>
      </w:pPr>
    </w:p>
    <w:p>
      <w:pPr>
        <w:pStyle w:val="style0"/>
        <w:autoSpaceDE w:val="false"/>
        <w:autoSpaceDN w:val="false"/>
        <w:adjustRightInd w:val="false"/>
        <w:spacing w:after="0" w:lineRule="auto" w:line="240"/>
        <w:rPr>
          <w:rFonts w:ascii="Times New Roman" w:cs="Times New Roman" w:hAnsi="Times New Roman"/>
          <w:sz w:val="24"/>
          <w:szCs w:val="24"/>
        </w:rPr>
      </w:pPr>
    </w:p>
    <w:tbl>
      <w:tblPr>
        <w:tblpPr w:leftFromText="180" w:rightFromText="180" w:topFromText="0" w:bottomFromText="0" w:tblpXSpec="left" w:tblpY="420"/>
        <w:tblW w:w="157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bottom w:w="0" w:type="dxa"/>
        </w:tblCellMar>
        <w:tblLook w:val="0000" w:firstRow="0" w:lastRow="0" w:firstColumn="0" w:lastColumn="0" w:noHBand="0" w:noVBand="0"/>
      </w:tblPr>
      <w:tblGrid>
        <w:gridCol w:w="566"/>
        <w:gridCol w:w="2411"/>
        <w:gridCol w:w="992"/>
        <w:gridCol w:w="1134"/>
        <w:gridCol w:w="1559"/>
        <w:gridCol w:w="1276"/>
        <w:gridCol w:w="1417"/>
        <w:gridCol w:w="1418"/>
        <w:gridCol w:w="1873"/>
        <w:gridCol w:w="1560"/>
        <w:gridCol w:w="1560"/>
      </w:tblGrid>
      <w:tr>
        <w:trPr>
          <w:cantSplit/>
        </w:trPr>
        <w:tc>
          <w:tcPr>
            <w:tcW w:w="15766" w:type="dxa"/>
            <w:gridSpan w:val="11"/>
            <w:tcBorders>
              <w:top w:val="nil"/>
              <w:left w:val="nil"/>
              <w:bottom w:val="nil"/>
              <w:right w:val="nil"/>
            </w:tcBorders>
            <w:shd w:val="clear" w:color="auto" w:fill="ffffff"/>
            <w:vAlign w:val="center"/>
          </w:tcPr>
          <w:p>
            <w:pPr>
              <w:pStyle w:val="style0"/>
              <w:autoSpaceDE w:val="false"/>
              <w:autoSpaceDN w:val="false"/>
              <w:adjustRightInd w:val="false"/>
              <w:spacing w:after="0" w:lineRule="atLeast" w:line="320"/>
              <w:ind w:left="60" w:right="60"/>
              <w:jc w:val="center"/>
              <w:rPr>
                <w:rFonts w:ascii="Arial" w:cs="Arial" w:hAnsi="Arial"/>
                <w:color w:val="010205"/>
              </w:rPr>
            </w:pPr>
            <w:r>
              <w:rPr>
                <w:rFonts w:ascii="Arial" w:cs="Arial" w:hAnsi="Arial"/>
                <w:b/>
                <w:bCs/>
                <w:color w:val="010205"/>
              </w:rPr>
              <w:t>Chi-Square Tests</w:t>
            </w:r>
          </w:p>
        </w:tc>
      </w:tr>
      <w:tr>
        <w:tblPrEx/>
        <w:trPr>
          <w:cantSplit/>
        </w:trPr>
        <w:tc>
          <w:tcPr>
            <w:tcW w:w="2977" w:type="dxa"/>
            <w:gridSpan w:val="2"/>
            <w:vMerge w:val="restart"/>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992" w:type="dxa"/>
            <w:vMerge w:val="restart"/>
            <w:tcBorders>
              <w:top w:val="nil"/>
              <w:left w:val="nil"/>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Value</w:t>
            </w:r>
          </w:p>
        </w:tc>
        <w:tc>
          <w:tcPr>
            <w:tcW w:w="1134" w:type="dxa"/>
            <w:vMerge w:val="restart"/>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df</w:t>
            </w:r>
          </w:p>
        </w:tc>
        <w:tc>
          <w:tcPr>
            <w:tcW w:w="1559" w:type="dxa"/>
            <w:vMerge w:val="restart"/>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Asymptotic Significance (2-sided)</w:t>
            </w:r>
          </w:p>
        </w:tc>
        <w:tc>
          <w:tcPr>
            <w:tcW w:w="4111" w:type="dxa"/>
            <w:gridSpan w:val="3"/>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Monte Carlo Sig. (2-sided)</w:t>
            </w:r>
          </w:p>
        </w:tc>
        <w:tc>
          <w:tcPr>
            <w:tcW w:w="4993" w:type="dxa"/>
            <w:gridSpan w:val="3"/>
            <w:tcBorders>
              <w:top w:val="nil"/>
              <w:left w:val="single" w:sz="8" w:space="0" w:color="e0e0e0"/>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Monte Carlo Sig. (1-sided)</w:t>
            </w:r>
          </w:p>
        </w:tc>
      </w:tr>
      <w:tr>
        <w:tblPrEx/>
        <w:trPr>
          <w:cantSplit/>
        </w:trPr>
        <w:tc>
          <w:tcPr>
            <w:tcW w:w="2977" w:type="dxa"/>
            <w:gridSpan w:val="2"/>
            <w:vMerge w:val="continue"/>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992" w:type="dxa"/>
            <w:vMerge w:val="continue"/>
            <w:tcBorders>
              <w:top w:val="nil"/>
              <w:left w:val="nil"/>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134" w:type="dxa"/>
            <w:vMerge w:val="continue"/>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559" w:type="dxa"/>
            <w:vMerge w:val="continue"/>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276" w:type="dxa"/>
            <w:vMerge w:val="restart"/>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Significance</w:t>
            </w:r>
          </w:p>
        </w:tc>
        <w:tc>
          <w:tcPr>
            <w:tcW w:w="2835" w:type="dxa"/>
            <w:gridSpan w:val="2"/>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99% Confidence Interval</w:t>
            </w:r>
          </w:p>
        </w:tc>
        <w:tc>
          <w:tcPr>
            <w:tcW w:w="1873" w:type="dxa"/>
            <w:vMerge w:val="restart"/>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Significance</w:t>
            </w:r>
          </w:p>
        </w:tc>
        <w:tc>
          <w:tcPr>
            <w:tcW w:w="3120" w:type="dxa"/>
            <w:gridSpan w:val="2"/>
            <w:tcBorders>
              <w:top w:val="nil"/>
              <w:left w:val="single" w:sz="8" w:space="0" w:color="e0e0e0"/>
              <w:bottom w:val="nil"/>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99% Confidence Interval</w:t>
            </w:r>
          </w:p>
        </w:tc>
      </w:tr>
      <w:tr>
        <w:tblPrEx/>
        <w:trPr>
          <w:cantSplit/>
        </w:trPr>
        <w:tc>
          <w:tcPr>
            <w:tcW w:w="2977" w:type="dxa"/>
            <w:gridSpan w:val="2"/>
            <w:vMerge w:val="continue"/>
            <w:tcBorders>
              <w:top w:val="nil"/>
              <w:left w:val="nil"/>
              <w:bottom w:val="nil"/>
              <w:right w:val="nil"/>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992" w:type="dxa"/>
            <w:vMerge w:val="continue"/>
            <w:tcBorders>
              <w:top w:val="nil"/>
              <w:left w:val="nil"/>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134" w:type="dxa"/>
            <w:vMerge w:val="continue"/>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559" w:type="dxa"/>
            <w:vMerge w:val="continue"/>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276" w:type="dxa"/>
            <w:vMerge w:val="continue"/>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417"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Lower Bound</w:t>
            </w:r>
          </w:p>
        </w:tc>
        <w:tc>
          <w:tcPr>
            <w:tcW w:w="1418"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Upper Bound</w:t>
            </w:r>
          </w:p>
        </w:tc>
        <w:tc>
          <w:tcPr>
            <w:tcW w:w="1873" w:type="dxa"/>
            <w:vMerge w:val="continue"/>
            <w:tcBorders>
              <w:top w:val="nil"/>
              <w:left w:val="single" w:sz="8" w:space="0" w:color="e0e0e0"/>
              <w:bottom w:val="nil"/>
              <w:right w:val="single" w:sz="8" w:space="0" w:color="e0e0e0"/>
            </w:tcBorders>
            <w:shd w:val="clear" w:color="auto" w:fill="ffffff"/>
            <w:vAlign w:val="bottom"/>
          </w:tcPr>
          <w:p>
            <w:pPr>
              <w:pStyle w:val="style0"/>
              <w:autoSpaceDE w:val="false"/>
              <w:autoSpaceDN w:val="false"/>
              <w:adjustRightInd w:val="false"/>
              <w:spacing w:after="0" w:lineRule="auto" w:line="240"/>
              <w:rPr>
                <w:rFonts w:ascii="Arial" w:cs="Arial" w:hAnsi="Arial"/>
                <w:color w:val="264a60"/>
                <w:sz w:val="18"/>
                <w:szCs w:val="18"/>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Lower Bound</w:t>
            </w:r>
          </w:p>
        </w:tc>
        <w:tc>
          <w:tcPr>
            <w:tcW w:w="1560" w:type="dxa"/>
            <w:tcBorders>
              <w:top w:val="nil"/>
              <w:left w:val="single" w:sz="8" w:space="0" w:color="e0e0e0"/>
              <w:bottom w:val="single" w:sz="8" w:space="0" w:color="152935"/>
              <w:right w:val="nil"/>
            </w:tcBorders>
            <w:shd w:val="clear" w:color="auto" w:fill="ffffff"/>
            <w:vAlign w:val="bottom"/>
          </w:tcPr>
          <w:p>
            <w:pPr>
              <w:pStyle w:val="style0"/>
              <w:autoSpaceDE w:val="false"/>
              <w:autoSpaceDN w:val="false"/>
              <w:adjustRightInd w:val="false"/>
              <w:spacing w:after="0" w:lineRule="atLeast" w:line="320"/>
              <w:ind w:left="60" w:right="60"/>
              <w:jc w:val="center"/>
              <w:rPr>
                <w:rFonts w:ascii="Arial" w:cs="Arial" w:hAnsi="Arial"/>
                <w:color w:val="264a60"/>
                <w:sz w:val="18"/>
                <w:szCs w:val="18"/>
              </w:rPr>
            </w:pPr>
            <w:r>
              <w:rPr>
                <w:rFonts w:ascii="Arial" w:cs="Arial" w:hAnsi="Arial"/>
                <w:color w:val="264a60"/>
                <w:sz w:val="18"/>
                <w:szCs w:val="18"/>
              </w:rPr>
              <w:t>Upper Bound</w:t>
            </w:r>
          </w:p>
        </w:tc>
      </w:tr>
      <w:tr>
        <w:tblPrEx/>
        <w:trPr>
          <w:gridBefore w:val="1"/>
          <w:wBefore w:w="566" w:type="dxa"/>
          <w:cantSplit/>
        </w:trPr>
        <w:tc>
          <w:tcPr>
            <w:tcW w:w="2411" w:type="dxa"/>
            <w:tcBorders>
              <w:top w:val="single" w:sz="8" w:space="0" w:color="152935"/>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Pearson Chi-Square</w:t>
            </w:r>
          </w:p>
        </w:tc>
        <w:tc>
          <w:tcPr>
            <w:tcW w:w="992" w:type="dxa"/>
            <w:tcBorders>
              <w:top w:val="single" w:sz="8" w:space="0" w:color="152935"/>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8.727</w:t>
            </w:r>
            <w:r>
              <w:rPr>
                <w:rFonts w:ascii="Arial" w:cs="Arial" w:hAnsi="Arial"/>
                <w:color w:val="010205"/>
                <w:sz w:val="18"/>
                <w:szCs w:val="18"/>
                <w:vertAlign w:val="superscript"/>
              </w:rPr>
              <w:t>a</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w:t>
            </w:r>
          </w:p>
        </w:tc>
        <w:tc>
          <w:tcPr>
            <w:tcW w:w="1559"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.018</w:t>
            </w:r>
            <w:r>
              <w:rPr>
                <w:rFonts w:ascii="Arial" w:cs="Arial" w:hAnsi="Arial"/>
                <w:color w:val="010205"/>
                <w:sz w:val="18"/>
                <w:szCs w:val="18"/>
                <w:vertAlign w:val="superscript"/>
              </w:rPr>
              <w:t>b</w:t>
            </w:r>
          </w:p>
        </w:tc>
        <w:tc>
          <w:tcPr>
            <w:tcW w:w="1417"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.014</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.021</w:t>
            </w:r>
          </w:p>
        </w:tc>
        <w:tc>
          <w:tcPr>
            <w:tcW w:w="1873" w:type="dxa"/>
            <w:tcBorders>
              <w:top w:val="single" w:sz="8" w:space="0" w:color="152935"/>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152935"/>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r>
      <w:tr>
        <w:tblPrEx/>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Likelihood Ratio</w:t>
            </w:r>
          </w:p>
        </w:tc>
        <w:tc>
          <w:tcPr>
            <w:tcW w:w="99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9.949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.012</w:t>
            </w:r>
            <w:r>
              <w:rPr>
                <w:rFonts w:ascii="Arial" w:cs="Arial" w:hAnsi="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.009</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.015</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r>
      <w:tr>
        <w:tblPrEx/>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Fisher's Exact Test</w:t>
            </w:r>
          </w:p>
        </w:tc>
        <w:tc>
          <w:tcPr>
            <w:tcW w:w="99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8.180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59" w:type="dxa"/>
            <w:tcBorders>
              <w:top w:val="single" w:sz="8" w:space="0" w:color="aeaeae"/>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.018</w:t>
            </w:r>
            <w:r>
              <w:rPr>
                <w:rFonts w:ascii="Arial" w:cs="Arial" w:hAnsi="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.014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.021</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r>
      <w:tr>
        <w:tblPrEx/>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Linear-by-Linear Association</w:t>
            </w:r>
          </w:p>
        </w:tc>
        <w:tc>
          <w:tcPr>
            <w:tcW w:w="992" w:type="dxa"/>
            <w:tcBorders>
              <w:top w:val="single" w:sz="8" w:space="0" w:color="aeaeae"/>
              <w:left w:val="nil"/>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8.065</w:t>
            </w:r>
            <w:r>
              <w:rPr>
                <w:rFonts w:ascii="Arial" w:cs="Arial" w:hAnsi="Arial"/>
                <w:color w:val="010205"/>
                <w:sz w:val="18"/>
                <w:szCs w:val="18"/>
                <w:vertAlign w:val="superscript"/>
              </w:rPr>
              <w:t>c</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1</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.006</w:t>
            </w:r>
            <w:r>
              <w:rPr>
                <w:rFonts w:ascii="Arial" w:cs="Arial" w:hAnsi="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.008</w:t>
            </w:r>
          </w:p>
        </w:tc>
        <w:tc>
          <w:tcPr>
            <w:tcW w:w="1873"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.002</w:t>
            </w:r>
            <w:r>
              <w:rPr>
                <w:rFonts w:ascii="Arial" w:cs="Arial" w:hAnsi="Arial"/>
                <w:color w:val="010205"/>
                <w:sz w:val="18"/>
                <w:szCs w:val="18"/>
                <w:vertAlign w:val="superscript"/>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.001</w:t>
            </w:r>
          </w:p>
        </w:tc>
        <w:tc>
          <w:tcPr>
            <w:tcW w:w="1560" w:type="dxa"/>
            <w:tcBorders>
              <w:top w:val="single" w:sz="8" w:space="0" w:color="aeaeae"/>
              <w:left w:val="single" w:sz="8" w:space="0" w:color="e0e0e0"/>
              <w:bottom w:val="single" w:sz="8" w:space="0" w:color="aeaeae"/>
              <w:right w:val="nil"/>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.003</w:t>
            </w:r>
          </w:p>
        </w:tc>
      </w:tr>
      <w:tr>
        <w:tblPrEx/>
        <w:trPr>
          <w:gridBefore w:val="1"/>
          <w:wBefore w:w="566" w:type="dxa"/>
          <w:cantSplit/>
        </w:trPr>
        <w:tc>
          <w:tcPr>
            <w:tcW w:w="2411" w:type="dxa"/>
            <w:tcBorders>
              <w:top w:val="single" w:sz="8" w:space="0" w:color="aeaeae"/>
              <w:left w:val="nil"/>
              <w:bottom w:val="single" w:sz="8" w:space="0" w:color="152935"/>
              <w:right w:val="nil"/>
            </w:tcBorders>
            <w:shd w:val="clear" w:color="auto" w:fill="e0e0e0"/>
          </w:tcPr>
          <w:p>
            <w:pPr>
              <w:pStyle w:val="style0"/>
              <w:autoSpaceDE w:val="false"/>
              <w:autoSpaceDN w:val="false"/>
              <w:adjustRightInd w:val="false"/>
              <w:spacing w:after="0" w:lineRule="atLeast" w:line="320"/>
              <w:ind w:left="60" w:right="60"/>
              <w:rPr>
                <w:rFonts w:ascii="Arial" w:cs="Arial" w:hAnsi="Arial"/>
                <w:color w:val="264a60"/>
                <w:sz w:val="18"/>
                <w:szCs w:val="18"/>
              </w:rPr>
            </w:pPr>
            <w:r>
              <w:rPr>
                <w:rFonts w:ascii="Arial" w:cs="Arial" w:hAnsi="Arial"/>
                <w:color w:val="264a60"/>
                <w:sz w:val="18"/>
                <w:szCs w:val="18"/>
              </w:rPr>
              <w:t>N of Valid Cases</w:t>
            </w:r>
          </w:p>
        </w:tc>
        <w:tc>
          <w:tcPr>
            <w:tcW w:w="992" w:type="dxa"/>
            <w:tcBorders>
              <w:top w:val="single" w:sz="8" w:space="0" w:color="aeaeae"/>
              <w:left w:val="nil"/>
              <w:bottom w:val="single" w:sz="8" w:space="0" w:color="152935"/>
              <w:right w:val="single" w:sz="8" w:space="0" w:color="e0e0e0"/>
            </w:tcBorders>
            <w:shd w:val="clear" w:color="auto" w:fill="ffffff"/>
          </w:tcPr>
          <w:p>
            <w:pPr>
              <w:pStyle w:val="style0"/>
              <w:autoSpaceDE w:val="false"/>
              <w:autoSpaceDN w:val="false"/>
              <w:adjustRightInd w:val="false"/>
              <w:spacing w:after="0" w:lineRule="atLeast" w:line="320"/>
              <w:ind w:left="60" w:right="60"/>
              <w:jc w:val="right"/>
              <w:rPr>
                <w:rFonts w:ascii="Arial" w:cs="Arial" w:hAnsi="Arial"/>
                <w:color w:val="010205"/>
                <w:sz w:val="18"/>
                <w:szCs w:val="18"/>
              </w:rPr>
            </w:pPr>
            <w:r>
              <w:rPr>
                <w:rFonts w:ascii="Arial" w:cs="Arial" w:hAnsi="Arial"/>
                <w:color w:val="010205"/>
                <w:sz w:val="18"/>
                <w:szCs w:val="18"/>
              </w:rPr>
              <w:t>24</w:t>
            </w: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59"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417"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418"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873"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pPr>
              <w:pStyle w:val="style0"/>
              <w:autoSpaceDE w:val="false"/>
              <w:autoSpaceDN w:val="false"/>
              <w:adjustRightInd w:val="false"/>
              <w:spacing w:after="0" w:lineRule="auto" w:line="240"/>
              <w:rPr>
                <w:rFonts w:ascii="Times New Roman" w:cs="Times New Roman" w:hAnsi="Times New Roman"/>
                <w:sz w:val="24"/>
                <w:szCs w:val="24"/>
              </w:rPr>
            </w:pPr>
          </w:p>
        </w:tc>
      </w:tr>
      <w:tr>
        <w:tblPrEx/>
        <w:trPr>
          <w:gridBefore w:val="1"/>
          <w:wBefore w:w="566" w:type="dxa"/>
          <w:cantSplit/>
        </w:trPr>
        <w:tc>
          <w:tcPr>
            <w:tcW w:w="15200" w:type="dxa"/>
            <w:gridSpan w:val="10"/>
            <w:tcBorders>
              <w:top w:val="nil"/>
              <w:left w:val="nil"/>
              <w:bottom w:val="nil"/>
              <w:right w:val="nil"/>
            </w:tcBorders>
            <w:shd w:val="clear" w:color="auto" w:fill="ffffff"/>
          </w:tcPr>
          <w:p>
            <w:pPr>
              <w:pStyle w:val="style0"/>
              <w:autoSpaceDE w:val="false"/>
              <w:autoSpaceDN w:val="false"/>
              <w:adjustRightInd w:val="false"/>
              <w:spacing w:after="0" w:lineRule="atLeast" w:line="320"/>
              <w:ind w:left="60" w:right="60"/>
              <w:rPr>
                <w:rFonts w:ascii="Arial" w:cs="Arial" w:hAnsi="Arial"/>
                <w:color w:val="010205"/>
                <w:sz w:val="18"/>
                <w:szCs w:val="18"/>
              </w:rPr>
            </w:pPr>
            <w:r>
              <w:rPr>
                <w:rFonts w:ascii="Arial" w:cs="Arial" w:hAnsi="Arial"/>
                <w:color w:val="010205"/>
                <w:sz w:val="18"/>
                <w:szCs w:val="18"/>
              </w:rPr>
              <w:t>a. 2 cells (33.3%) have expected count less than 5. The minimum expected count is 1.00.</w:t>
            </w:r>
          </w:p>
        </w:tc>
      </w:tr>
      <w:tr>
        <w:tblPrEx/>
        <w:trPr>
          <w:gridBefore w:val="1"/>
          <w:wBefore w:w="566" w:type="dxa"/>
          <w:cantSplit/>
        </w:trPr>
        <w:tc>
          <w:tcPr>
            <w:tcW w:w="15200" w:type="dxa"/>
            <w:gridSpan w:val="10"/>
            <w:tcBorders>
              <w:top w:val="nil"/>
              <w:left w:val="nil"/>
              <w:bottom w:val="nil"/>
              <w:right w:val="nil"/>
            </w:tcBorders>
            <w:shd w:val="clear" w:color="auto" w:fill="ffffff"/>
          </w:tcPr>
          <w:p>
            <w:pPr>
              <w:pStyle w:val="style0"/>
              <w:autoSpaceDE w:val="false"/>
              <w:autoSpaceDN w:val="false"/>
              <w:adjustRightInd w:val="false"/>
              <w:spacing w:after="0" w:lineRule="atLeast" w:line="320"/>
              <w:ind w:left="60" w:right="60"/>
              <w:rPr>
                <w:rFonts w:ascii="Arial" w:cs="Arial" w:hAnsi="Arial"/>
                <w:color w:val="010205"/>
                <w:sz w:val="18"/>
                <w:szCs w:val="18"/>
              </w:rPr>
            </w:pPr>
            <w:r>
              <w:rPr>
                <w:rFonts w:ascii="Arial" w:cs="Arial" w:hAnsi="Arial"/>
                <w:color w:val="010205"/>
                <w:sz w:val="18"/>
                <w:szCs w:val="18"/>
              </w:rPr>
              <w:t>b. Based on 10000 sampled tables with starting seed 2000000.</w:t>
            </w:r>
          </w:p>
        </w:tc>
      </w:tr>
      <w:tr>
        <w:tblPrEx/>
        <w:trPr>
          <w:gridBefore w:val="1"/>
          <w:wBefore w:w="566" w:type="dxa"/>
          <w:cantSplit/>
        </w:trPr>
        <w:tc>
          <w:tcPr>
            <w:tcW w:w="15200" w:type="dxa"/>
            <w:gridSpan w:val="10"/>
            <w:tcBorders>
              <w:top w:val="nil"/>
              <w:left w:val="nil"/>
              <w:bottom w:val="nil"/>
              <w:right w:val="nil"/>
            </w:tcBorders>
            <w:shd w:val="clear" w:color="auto" w:fill="ffffff"/>
          </w:tcPr>
          <w:p>
            <w:pPr>
              <w:pStyle w:val="style0"/>
              <w:autoSpaceDE w:val="false"/>
              <w:autoSpaceDN w:val="false"/>
              <w:adjustRightInd w:val="false"/>
              <w:spacing w:after="0" w:lineRule="atLeast" w:line="320"/>
              <w:ind w:left="60" w:right="60"/>
              <w:rPr>
                <w:rFonts w:ascii="Arial" w:cs="Arial" w:hAnsi="Arial"/>
                <w:color w:val="010205"/>
                <w:sz w:val="18"/>
                <w:szCs w:val="18"/>
              </w:rPr>
            </w:pPr>
            <w:r>
              <w:rPr>
                <w:rFonts w:ascii="Arial" w:cs="Arial" w:hAnsi="Arial"/>
                <w:color w:val="010205"/>
                <w:sz w:val="18"/>
                <w:szCs w:val="18"/>
              </w:rPr>
              <w:t>c. The standardized statistic is 2.840.</w:t>
            </w:r>
          </w:p>
        </w:tc>
      </w:tr>
    </w:tbl>
    <w:p>
      <w:pPr>
        <w:pStyle w:val="style0"/>
        <w:autoSpaceDE w:val="false"/>
        <w:autoSpaceDN w:val="false"/>
        <w:adjustRightInd w:val="false"/>
        <w:spacing w:after="0" w:lineRule="atLeast" w:line="400"/>
        <w:rPr>
          <w:rFonts w:ascii="Times New Roman" w:cs="Times New Roman" w:hAnsi="Times New Roman"/>
          <w:sz w:val="24"/>
          <w:szCs w:val="24"/>
        </w:rPr>
      </w:pPr>
    </w:p>
    <w:p>
      <w:pPr>
        <w:pStyle w:val="style0"/>
        <w:autoSpaceDE w:val="false"/>
        <w:autoSpaceDN w:val="false"/>
        <w:adjustRightInd w:val="false"/>
        <w:spacing w:after="0" w:lineRule="atLeast" w:line="400"/>
        <w:rPr>
          <w:rFonts w:ascii="Times New Roman" w:cs="Times New Roman" w:hAnsi="Times New Roman"/>
          <w:sz w:val="24"/>
          <w:szCs w:val="24"/>
        </w:rPr>
      </w:pPr>
    </w:p>
    <w:p>
      <w:pPr>
        <w:pStyle w:val="style0"/>
        <w:autoSpaceDE w:val="false"/>
        <w:autoSpaceDN w:val="false"/>
        <w:adjustRightInd w:val="false"/>
        <w:spacing w:after="0" w:lineRule="atLeast" w:line="400"/>
        <w:rPr>
          <w:rFonts w:ascii="Times New Roman" w:cs="Times New Roman" w:hAnsi="Times New Roman"/>
          <w:sz w:val="24"/>
          <w:szCs w:val="24"/>
        </w:rPr>
      </w:pPr>
      <w:r>
        <w:rPr>
          <w:rFonts w:ascii="Times New Roman" w:cs="Times New Roman" w:hAnsi="Times New Roman"/>
          <w:sz w:val="24"/>
          <w:szCs w:val="24"/>
        </w:rPr>
        <w:t>Summary table of fisher’s exact test</w:t>
      </w:r>
    </w:p>
    <w:tbl>
      <w:tblPr>
        <w:tblStyle w:val="style154"/>
        <w:tblW w:w="0" w:type="auto"/>
        <w:tblLook w:val="04A0" w:firstRow="1" w:lastRow="0" w:firstColumn="1" w:lastColumn="0" w:noHBand="0" w:noVBand="1"/>
      </w:tblPr>
      <w:tblGrid>
        <w:gridCol w:w="1604"/>
        <w:gridCol w:w="1604"/>
        <w:gridCol w:w="1604"/>
        <w:gridCol w:w="1604"/>
        <w:gridCol w:w="1604"/>
        <w:gridCol w:w="1604"/>
      </w:tblGrid>
      <w:tr>
        <w:trPr>
          <w:trHeight w:val="765" w:hRule="atLeast"/>
        </w:trPr>
        <w:tc>
          <w:tcPr>
            <w:tcW w:w="1604" w:type="dxa"/>
            <w:tcBorders/>
          </w:tcPr>
          <w:p>
            <w:pPr>
              <w:pStyle w:val="style0"/>
              <w:rPr/>
            </w:pPr>
          </w:p>
        </w:tc>
        <w:tc>
          <w:tcPr>
            <w:tcW w:w="1604" w:type="dxa"/>
            <w:tcBorders/>
          </w:tcPr>
          <w:p>
            <w:pPr>
              <w:pStyle w:val="style0"/>
              <w:rPr/>
            </w:pPr>
          </w:p>
        </w:tc>
        <w:tc>
          <w:tcPr>
            <w:tcW w:w="4812" w:type="dxa"/>
            <w:gridSpan w:val="3"/>
            <w:tcBorders/>
          </w:tcPr>
          <w:p>
            <w:pPr>
              <w:pStyle w:val="style0"/>
              <w:rPr/>
            </w:pPr>
            <w:r>
              <w:t>UTI colony forming units</w:t>
            </w:r>
          </w:p>
        </w:tc>
        <w:tc>
          <w:tcPr>
            <w:tcW w:w="1604" w:type="dxa"/>
            <w:tcBorders/>
          </w:tcPr>
          <w:p>
            <w:pPr>
              <w:pStyle w:val="style0"/>
              <w:rPr/>
            </w:pPr>
            <w:r>
              <w:t>p-value</w:t>
            </w:r>
          </w:p>
        </w:tc>
      </w:tr>
      <w:tr>
        <w:tblPrEx/>
        <w:trPr>
          <w:trHeight w:val="642" w:hRule="atLeast"/>
        </w:trPr>
        <w:tc>
          <w:tcPr>
            <w:tcW w:w="1604" w:type="dxa"/>
            <w:tcBorders/>
          </w:tcPr>
          <w:p>
            <w:pPr>
              <w:pStyle w:val="style0"/>
              <w:rPr/>
            </w:pPr>
          </w:p>
        </w:tc>
        <w:tc>
          <w:tcPr>
            <w:tcW w:w="1604" w:type="dxa"/>
            <w:tcBorders/>
          </w:tcPr>
          <w:p>
            <w:pPr>
              <w:pStyle w:val="style0"/>
              <w:rPr/>
            </w:pPr>
          </w:p>
        </w:tc>
        <w:tc>
          <w:tcPr>
            <w:tcW w:w="1604" w:type="dxa"/>
            <w:tcBorders/>
          </w:tcPr>
          <w:p>
            <w:pPr>
              <w:pStyle w:val="style0"/>
              <w:rPr/>
            </w:pPr>
            <w:r>
              <w:rPr>
                <w:rFonts w:ascii="Arial" w:cs="Arial" w:hAnsi="Arial"/>
                <w:color w:val="264a60"/>
                <w:sz w:val="18"/>
                <w:szCs w:val="18"/>
              </w:rPr>
              <w:t>No growth</w:t>
            </w:r>
          </w:p>
        </w:tc>
        <w:tc>
          <w:tcPr>
            <w:tcW w:w="1604" w:type="dxa"/>
            <w:tcBorders/>
          </w:tcPr>
          <w:p>
            <w:pPr>
              <w:pStyle w:val="style0"/>
              <w:rPr/>
            </w:pPr>
            <w:r>
              <w:rPr>
                <w:rFonts w:ascii="Arial" w:cs="Arial" w:hAnsi="Arial"/>
                <w:color w:val="264a60"/>
                <w:sz w:val="18"/>
                <w:szCs w:val="18"/>
              </w:rPr>
              <w:t>No significant growth</w:t>
            </w:r>
          </w:p>
        </w:tc>
        <w:tc>
          <w:tcPr>
            <w:tcW w:w="1604" w:type="dxa"/>
            <w:tcBorders/>
          </w:tcPr>
          <w:p>
            <w:pPr>
              <w:pStyle w:val="style0"/>
              <w:rPr/>
            </w:pPr>
            <w:r>
              <w:rPr>
                <w:rFonts w:ascii="Arial" w:cs="Arial" w:hAnsi="Arial"/>
                <w:color w:val="264a60"/>
                <w:sz w:val="18"/>
                <w:szCs w:val="18"/>
              </w:rPr>
              <w:t>Significant growth</w:t>
            </w:r>
          </w:p>
        </w:tc>
        <w:tc>
          <w:tcPr>
            <w:tcW w:w="1604" w:type="dxa"/>
            <w:vMerge w:val="restart"/>
            <w:tcBorders/>
          </w:tcPr>
          <w:p>
            <w:pPr>
              <w:pStyle w:val="style0"/>
              <w:rPr/>
            </w:pPr>
            <w:r>
              <w:t>0.018</w:t>
            </w:r>
          </w:p>
        </w:tc>
      </w:tr>
      <w:tr>
        <w:tblPrEx/>
        <w:trPr>
          <w:trHeight w:val="1181" w:hRule="atLeast"/>
        </w:trPr>
        <w:tc>
          <w:tcPr>
            <w:tcW w:w="1604" w:type="dxa"/>
            <w:vMerge w:val="restart"/>
            <w:tcBorders/>
          </w:tcPr>
          <w:p>
            <w:pPr>
              <w:pStyle w:val="style0"/>
              <w:rPr/>
            </w:pPr>
            <w:r>
              <w:t>Gender</w:t>
            </w:r>
          </w:p>
        </w:tc>
        <w:tc>
          <w:tcPr>
            <w:tcW w:w="1604" w:type="dxa"/>
            <w:tcBorders/>
          </w:tcPr>
          <w:p>
            <w:pPr>
              <w:pStyle w:val="style0"/>
              <w:rPr/>
            </w:pPr>
            <w:r>
              <w:t>Male</w:t>
            </w:r>
          </w:p>
        </w:tc>
        <w:tc>
          <w:tcPr>
            <w:tcW w:w="1604" w:type="dxa"/>
            <w:tcBorders/>
          </w:tcPr>
          <w:p>
            <w:pPr>
              <w:pStyle w:val="style0"/>
              <w:rPr/>
            </w:pPr>
            <w:r>
              <w:t>9</w:t>
            </w:r>
            <w:bookmarkStart w:id="0" w:name="_GoBack"/>
            <w:bookmarkEnd w:id="0"/>
          </w:p>
        </w:tc>
        <w:tc>
          <w:tcPr>
            <w:tcW w:w="1604" w:type="dxa"/>
            <w:tcBorders/>
          </w:tcPr>
          <w:p>
            <w:pPr>
              <w:pStyle w:val="style0"/>
              <w:rPr/>
            </w:pPr>
            <w:r>
              <w:t>3</w:t>
            </w:r>
          </w:p>
        </w:tc>
        <w:tc>
          <w:tcPr>
            <w:tcW w:w="1604" w:type="dxa"/>
            <w:tcBorders/>
          </w:tcPr>
          <w:p>
            <w:pPr>
              <w:pStyle w:val="style0"/>
              <w:rPr/>
            </w:pPr>
            <w:r>
              <w:t>0</w:t>
            </w:r>
          </w:p>
        </w:tc>
        <w:tc>
          <w:tcPr>
            <w:tcW w:w="1604" w:type="dxa"/>
            <w:vMerge w:val="continue"/>
            <w:tcBorders/>
          </w:tcPr>
          <w:p>
            <w:pPr>
              <w:pStyle w:val="style0"/>
              <w:rPr/>
            </w:pPr>
          </w:p>
        </w:tc>
      </w:tr>
      <w:tr>
        <w:tblPrEx/>
        <w:trPr>
          <w:trHeight w:val="937" w:hRule="atLeast"/>
        </w:trPr>
        <w:tc>
          <w:tcPr>
            <w:tcW w:w="1604" w:type="dxa"/>
            <w:vMerge w:val="continue"/>
            <w:tcBorders/>
          </w:tcPr>
          <w:p>
            <w:pPr>
              <w:pStyle w:val="style0"/>
              <w:rPr/>
            </w:pPr>
          </w:p>
        </w:tc>
        <w:tc>
          <w:tcPr>
            <w:tcW w:w="1604" w:type="dxa"/>
            <w:tcBorders/>
          </w:tcPr>
          <w:p>
            <w:pPr>
              <w:pStyle w:val="style0"/>
              <w:rPr/>
            </w:pPr>
            <w:r>
              <w:t>female</w:t>
            </w:r>
          </w:p>
        </w:tc>
        <w:tc>
          <w:tcPr>
            <w:tcW w:w="1604" w:type="dxa"/>
            <w:tcBorders/>
          </w:tcPr>
          <w:p>
            <w:pPr>
              <w:pStyle w:val="style0"/>
              <w:rPr/>
            </w:pPr>
            <w:r>
              <w:t>2</w:t>
            </w:r>
          </w:p>
        </w:tc>
        <w:tc>
          <w:tcPr>
            <w:tcW w:w="1604" w:type="dxa"/>
            <w:tcBorders/>
          </w:tcPr>
          <w:p>
            <w:pPr>
              <w:pStyle w:val="style0"/>
              <w:rPr/>
            </w:pPr>
            <w:r>
              <w:t>8</w:t>
            </w:r>
          </w:p>
        </w:tc>
        <w:tc>
          <w:tcPr>
            <w:tcW w:w="1604" w:type="dxa"/>
            <w:tcBorders/>
          </w:tcPr>
          <w:p>
            <w:pPr>
              <w:pStyle w:val="style0"/>
              <w:rPr/>
            </w:pPr>
            <w:r>
              <w:t>2</w:t>
            </w:r>
          </w:p>
        </w:tc>
        <w:tc>
          <w:tcPr>
            <w:tcW w:w="1604" w:type="dxa"/>
            <w:vMerge w:val="continue"/>
            <w:tcBorders/>
          </w:tcPr>
          <w:p>
            <w:pPr>
              <w:pStyle w:val="style0"/>
              <w:rPr/>
            </w:pPr>
          </w:p>
        </w:tc>
      </w:tr>
    </w:tbl>
    <w:p>
      <w:pPr>
        <w:pStyle w:val="style0"/>
        <w:rPr/>
      </w:pPr>
    </w:p>
    <w:p>
      <w:pPr>
        <w:pStyle w:val="style0"/>
        <w:rPr>
          <w:b/>
          <w:bCs/>
          <w:color w:val="330066"/>
          <w:sz w:val="40"/>
          <w:szCs w:val="40"/>
          <w:highlight w:val="none"/>
          <w:lang w:val="en-US"/>
        </w:rPr>
      </w:pPr>
      <w:r>
        <w:rPr>
          <w:b/>
          <w:bCs/>
          <w:color w:val="330066"/>
          <w:sz w:val="40"/>
          <w:szCs w:val="40"/>
          <w:highlight w:val="none"/>
          <w:lang w:val="en-US"/>
        </w:rPr>
        <w:t>Discussion</w:t>
      </w:r>
    </w:p>
    <w:p>
      <w:pPr>
        <w:pStyle w:val="style0"/>
        <w:rPr>
          <w:color w:val="36363d"/>
          <w:sz w:val="28"/>
          <w:szCs w:val="28"/>
          <w:highlight w:val="none"/>
          <w:lang w:val="en-US"/>
        </w:rPr>
      </w:pPr>
      <w:r>
        <w:rPr>
          <w:color w:val="36363d"/>
          <w:sz w:val="28"/>
          <w:szCs w:val="28"/>
          <w:highlight w:val="none"/>
          <w:lang w:val="en-US"/>
        </w:rPr>
        <w:t>The result support that there is an association between gender and urinary tract infection,and females more affected than males as the result show, from 12 males only 3 are affected,and from 10 females 8 are affected, that because many reasons,one of them Because the urethra of the female urinary system is relatively short about 4 cm, comapred with males which 20 cm , it is predisposed to bacterial seeding at the proximal end. Infections are more likely as a result of this structure(2).</w:t>
      </w:r>
    </w:p>
    <w:p>
      <w:pPr>
        <w:pStyle w:val="style0"/>
        <w:rPr>
          <w:color w:val="36363d"/>
          <w:sz w:val="28"/>
          <w:szCs w:val="28"/>
          <w:highlight w:val="none"/>
          <w:lang w:val="en-US"/>
        </w:rPr>
      </w:pPr>
      <w:r>
        <w:rPr>
          <w:color w:val="36363d"/>
          <w:sz w:val="28"/>
          <w:szCs w:val="28"/>
          <w:highlight w:val="none"/>
          <w:lang w:val="en-US"/>
        </w:rPr>
        <w:t>They commonly strike between the ages of 16 and 35, with 10% of women contracting the illness each year and more than 40% to 60% contracting it at least once in their lives.and Urinary tract infection. occur at least four times more frequently in females than males</w:t>
      </w:r>
    </w:p>
    <w:p>
      <w:pPr>
        <w:pStyle w:val="style0"/>
        <w:rPr>
          <w:rFonts w:hint="default"/>
          <w:color w:val="36363d"/>
          <w:sz w:val="28"/>
          <w:szCs w:val="28"/>
          <w:highlight w:val="none"/>
          <w:lang w:val="en-US" w:bidi="ar-DZ"/>
        </w:rPr>
      </w:pPr>
      <w:r>
        <w:rPr>
          <w:color w:val="36363d"/>
          <w:sz w:val="28"/>
          <w:szCs w:val="28"/>
          <w:highlight w:val="none"/>
          <w:lang w:val="en-US"/>
        </w:rPr>
        <w:t>Type 1 fimbriae is another major virulence component. These are crucial in the bacterial attachment process to the uroepithelium. They are made up of multiple subunits, the most significant of which is FimH, an adhesion protein that plays a crucial part in E. coli's pathogenic process in the urinary tract</w:t>
      </w:r>
      <w:r>
        <w:rPr>
          <w:rFonts w:hint="cs"/>
          <w:color w:val="36363d"/>
          <w:sz w:val="28"/>
          <w:szCs w:val="28"/>
          <w:highlight w:val="none"/>
          <w:rtl/>
          <w:lang w:val="en-US" w:bidi="ar-DZ"/>
        </w:rPr>
        <w:t>،</w:t>
      </w:r>
      <w:r>
        <w:rPr>
          <w:rFonts w:hint="default"/>
          <w:color w:val="36363d"/>
          <w:sz w:val="28"/>
          <w:szCs w:val="28"/>
          <w:highlight w:val="none"/>
          <w:lang w:val="en-US" w:bidi="ar-DZ"/>
        </w:rPr>
        <w:t>FimH allows uropathogenic E. coli to avoid the innate immune response by internalizing inside urothelial cells, which is achieved by activation of host signal transduction cascades via protein tyrosine kinases, phosphoinositide-3 kinase, and localized host actin cytoskeletal rearrangements.</w:t>
      </w:r>
    </w:p>
    <w:p>
      <w:pPr>
        <w:pStyle w:val="style0"/>
        <w:rPr>
          <w:rFonts w:hint="default"/>
          <w:color w:val="36363d"/>
          <w:sz w:val="28"/>
          <w:szCs w:val="28"/>
          <w:highlight w:val="none"/>
          <w:lang w:val="en-US" w:bidi="ar-DZ"/>
        </w:rPr>
      </w:pPr>
      <w:r>
        <w:rPr>
          <w:rFonts w:hint="default"/>
          <w:color w:val="36363d"/>
          <w:sz w:val="28"/>
          <w:szCs w:val="28"/>
          <w:highlight w:val="none"/>
          <w:lang w:val="en-US" w:bidi="ar-DZ"/>
        </w:rPr>
        <w:t>Pregnancy UTIs account for roughly 10% of pregnant women's primary care visits, and it's been estimated that up to 15% of women may experience one episode of UTI at some point in their lives. 1. The prevalence of urinary tract infections (UTIs) in pregnant women is estimated to be around 8%,</w:t>
      </w:r>
    </w:p>
    <w:p>
      <w:pPr>
        <w:pStyle w:val="style0"/>
        <w:rPr>
          <w:rFonts w:hint="default"/>
          <w:color w:val="36363d"/>
          <w:sz w:val="28"/>
          <w:szCs w:val="28"/>
          <w:highlight w:val="none"/>
          <w:lang w:val="en-US" w:bidi="ar-DZ"/>
        </w:rPr>
      </w:pPr>
      <w:r>
        <w:rPr>
          <w:rFonts w:hint="default"/>
          <w:color w:val="36363d"/>
          <w:sz w:val="28"/>
          <w:szCs w:val="28"/>
          <w:highlight w:val="none"/>
          <w:lang w:val="en-US" w:bidi="ar-DZ"/>
        </w:rPr>
        <w:t xml:space="preserve">UTIs are more likely to occur during pregnancy. The ureters begin to dilate at about the sixth week of pregnancy as a result of the physiological changes that occur throughout pregnancy. This is also known as "pregnancy hydronephrosis," which occurs between 22 and 26 weeks of pregnancy and lasts till birth. 1. During pregnancy, both progesterone and estrogen levels rise, resulting in decreased ureteral and bladder tone. During pregnancy, increased plasma volume causes decreased urine concentration and increased bladder volume. 1. Urinary stasis and uretero-vesical reflux are caused by a combination of these causes. </w:t>
      </w:r>
    </w:p>
    <w:p>
      <w:pPr>
        <w:pStyle w:val="style0"/>
        <w:rPr>
          <w:rFonts w:hint="default"/>
          <w:color w:val="36363d"/>
          <w:sz w:val="28"/>
          <w:szCs w:val="28"/>
          <w:highlight w:val="none"/>
          <w:lang w:val="en-US" w:bidi="ar-DZ"/>
        </w:rPr>
      </w:pPr>
      <w:r>
        <w:rPr>
          <w:rFonts w:hint="default"/>
          <w:color w:val="36363d"/>
          <w:sz w:val="28"/>
          <w:szCs w:val="28"/>
          <w:highlight w:val="none"/>
          <w:lang w:val="en-US" w:bidi="ar-DZ"/>
        </w:rPr>
        <w:t>In pregnancy, there are three forms of urinary tract infections. Asymptomatic bacteriuria, acute cystitis, and acute pyelonephritis are the three conditions(5).</w:t>
      </w:r>
    </w:p>
    <w:p>
      <w:pPr>
        <w:pStyle w:val="style0"/>
        <w:rPr>
          <w:color w:val="36363d"/>
          <w:sz w:val="28"/>
          <w:szCs w:val="28"/>
          <w:highlight w:val="none"/>
          <w:lang w:val="en-US"/>
        </w:rPr>
      </w:pPr>
      <w:r>
        <w:rPr>
          <w:color w:val="36363d"/>
          <w:sz w:val="28"/>
          <w:szCs w:val="28"/>
          <w:highlight w:val="none"/>
          <w:lang w:val="en-US"/>
        </w:rPr>
        <w:t>A detection of more than 105 colony-forming units per mL of urine in a clinically asymptomatic individual is characterized as asymptomatic bacteriuria. 1, 2 This syndrome may exist prior to the mother becoming pregnant, between 1.2 and 5% of young females will develop asymptomatic bacteriuria before puberty. 3,5 Approximately 10% of pregnant women have asymptomatic bacteriuria. A higher frequency of asymptomatic bacteriuria has been linked to lower serum interleukin-6 levels and serum antibody responses to E. coli antigens during pregnancy.</w:t>
      </w:r>
    </w:p>
    <w:p>
      <w:pPr>
        <w:pStyle w:val="style0"/>
        <w:rPr>
          <w:color w:val="36363d"/>
          <w:sz w:val="28"/>
          <w:szCs w:val="28"/>
          <w:highlight w:val="none"/>
          <w:lang w:val="en-US"/>
        </w:rPr>
      </w:pPr>
      <w:r>
        <w:rPr>
          <w:color w:val="36363d"/>
          <w:sz w:val="28"/>
          <w:szCs w:val="28"/>
          <w:highlight w:val="none"/>
          <w:lang w:val="en-US"/>
        </w:rPr>
        <w:t>Asymptomatic bacteriuria should be treated with antimicrobials even if the mother has no clinical symptoms. Several studies have found that treating asymptomatic bacteriuria early in pregnancy lowers the risk of acute pyelonephritis as well as preterm birth and low birth weight babies.Both the mother and the infant should be safe while using the antibiotic of choice. Amoxycillin is a safe option, although E. coli has become increasingly resistant to it in recent years. Alternative medicines are now being employed as first-line therapy. Both cephalosporins and nitrofurantoin have a high urine concentration and are effective against E. coli, making them safe for pregnant moms.</w:t>
      </w:r>
    </w:p>
    <w:p>
      <w:pPr>
        <w:pStyle w:val="style0"/>
        <w:rPr>
          <w:b/>
          <w:bCs/>
          <w:color w:val="0000ff"/>
          <w:sz w:val="40"/>
          <w:szCs w:val="40"/>
          <w:highlight w:val="none"/>
          <w:lang w:val="en-US"/>
        </w:rPr>
      </w:pPr>
      <w:r>
        <w:rPr>
          <w:b/>
          <w:bCs/>
          <w:color w:val="0000ff"/>
          <w:sz w:val="40"/>
          <w:szCs w:val="40"/>
          <w:highlight w:val="none"/>
          <w:lang w:val="en-US"/>
        </w:rPr>
        <w:t>Conclusion</w:t>
      </w:r>
    </w:p>
    <w:p>
      <w:pPr>
        <w:pStyle w:val="style0"/>
        <w:rPr>
          <w:color w:val="36363d"/>
          <w:sz w:val="22"/>
          <w:szCs w:val="22"/>
          <w:highlight w:val="none"/>
          <w:lang w:val="en-US"/>
        </w:rPr>
      </w:pPr>
      <w:r>
        <w:rPr>
          <w:color w:val="36363d"/>
          <w:sz w:val="28"/>
          <w:szCs w:val="28"/>
          <w:highlight w:val="none"/>
          <w:lang w:val="en-US"/>
        </w:rPr>
        <w:t>Urinary tract infections (UTIs) occur at least four times more frequently in females than males. Infections are more likely to occur during pregnancy. 10% of women contracting the illness each year and more than 40% to 60% contracting it at least once in their lives. The ureters begin to dilate at about the sixth week of pregnancy. Urinary stasis and uretero-vesical reflux are caused by a combination of these causes. Treating asymptomatic bacteriuria early in pregnancy can reduce the risk of preterm birth and low birth weight babies</w:t>
      </w:r>
      <w:r>
        <w:rPr>
          <w:color w:val="36363d"/>
          <w:sz w:val="22"/>
          <w:szCs w:val="22"/>
          <w:highlight w:val="none"/>
          <w:lang w:val="en-US"/>
        </w:rPr>
        <w:t xml:space="preserve">. </w:t>
      </w:r>
    </w:p>
    <w:p>
      <w:pPr>
        <w:pStyle w:val="style0"/>
        <w:rPr>
          <w:b/>
          <w:bCs/>
          <w:color w:val="ff6600"/>
          <w:sz w:val="40"/>
          <w:szCs w:val="40"/>
          <w:highlight w:val="none"/>
          <w:lang w:val="en-US"/>
        </w:rPr>
      </w:pPr>
      <w:r>
        <w:rPr>
          <w:b/>
          <w:bCs/>
          <w:color w:val="ff6600"/>
          <w:sz w:val="40"/>
          <w:szCs w:val="40"/>
          <w:highlight w:val="none"/>
          <w:lang w:val="en-US"/>
        </w:rPr>
        <w:t>References</w:t>
      </w:r>
    </w:p>
    <w:p>
      <w:pPr>
        <w:pStyle w:val="style0"/>
        <w:rPr>
          <w:b w:val="false"/>
          <w:bCs w:val="false"/>
          <w:color w:val="36363d"/>
          <w:sz w:val="28"/>
          <w:szCs w:val="28"/>
          <w:highlight w:val="none"/>
          <w:lang w:val="en-US"/>
        </w:rPr>
      </w:pPr>
      <w:r>
        <w:rPr>
          <w:b w:val="false"/>
          <w:bCs w:val="false"/>
          <w:color w:val="36363d"/>
          <w:sz w:val="28"/>
          <w:szCs w:val="28"/>
          <w:highlight w:val="none"/>
          <w:lang w:val="en-US"/>
        </w:rPr>
        <w:t xml:space="preserve"> </w:t>
      </w:r>
      <w:r>
        <w:rPr>
          <w:b/>
          <w:bCs/>
          <w:color w:val="36363d"/>
          <w:sz w:val="28"/>
          <w:szCs w:val="28"/>
          <w:highlight w:val="none"/>
          <w:lang w:val="en-US"/>
        </w:rPr>
        <w:t>.</w:t>
      </w:r>
      <w:r>
        <w:rPr>
          <w:b w:val="false"/>
          <w:bCs w:val="false"/>
          <w:color w:val="36363d"/>
          <w:sz w:val="28"/>
          <w:szCs w:val="28"/>
          <w:highlight w:val="none"/>
          <w:lang w:val="en-US"/>
        </w:rPr>
        <w:t>Loh K, Sivalingam N. Urinary Tract Infections In Pregnancy. PubMed Central (PMC). https://www.ncbi.nlm.nih.gov/pmc/articles/PMC4170332/. Published 2022. Accessed June 8, 2022.</w:t>
      </w:r>
    </w:p>
    <w:p>
      <w:pPr>
        <w:pStyle w:val="style0"/>
        <w:rPr>
          <w:b w:val="false"/>
          <w:bCs w:val="false"/>
          <w:color w:val="36363d"/>
          <w:sz w:val="28"/>
          <w:szCs w:val="28"/>
          <w:highlight w:val="none"/>
          <w:lang w:val="en-US"/>
        </w:rPr>
      </w:pPr>
      <w:r>
        <w:rPr>
          <w:b/>
          <w:bCs/>
          <w:color w:val="36363d"/>
          <w:sz w:val="28"/>
          <w:szCs w:val="28"/>
          <w:highlight w:val="none"/>
          <w:lang w:val="en-US"/>
        </w:rPr>
        <w:t>.</w:t>
      </w:r>
      <w:r>
        <w:rPr>
          <w:b w:val="false"/>
          <w:bCs w:val="false"/>
          <w:color w:val="36363d"/>
          <w:sz w:val="28"/>
          <w:szCs w:val="28"/>
          <w:highlight w:val="none"/>
          <w:lang w:val="en-US"/>
        </w:rPr>
        <w:t xml:space="preserve"> MJ B, WC R. Urinary Tract Infection. PubMed. https://pubmed.ncbi.nlm.nih.gov/29261874/. Published 2022. Accessed June 10, 2022.</w:t>
      </w:r>
    </w:p>
    <w:p>
      <w:pPr>
        <w:pStyle w:val="style0"/>
        <w:rPr>
          <w:b w:val="false"/>
          <w:bCs w:val="false"/>
          <w:color w:val="36363d"/>
          <w:sz w:val="28"/>
          <w:szCs w:val="28"/>
          <w:highlight w:val="none"/>
          <w:lang w:val="en-US"/>
        </w:rPr>
      </w:pPr>
      <w:r>
        <w:rPr>
          <w:b/>
          <w:bCs/>
          <w:color w:val="36363d"/>
          <w:sz w:val="28"/>
          <w:szCs w:val="28"/>
          <w:highlight w:val="none"/>
          <w:lang w:val="en-US"/>
        </w:rPr>
        <w:t>.</w:t>
      </w:r>
      <w:r>
        <w:rPr>
          <w:b w:val="false"/>
          <w:bCs w:val="false"/>
          <w:color w:val="36363d"/>
          <w:sz w:val="28"/>
          <w:szCs w:val="28"/>
          <w:highlight w:val="none"/>
          <w:lang w:val="en-US"/>
        </w:rPr>
        <w:t xml:space="preserve"> Colgan R, Jaffe G, Nicolle L. Asymptomatic Bacteriuria. Aafp.org. https://www.aafp.org/pubs/afp/issues/2020/0715/p99.html. Published 2022. Accessed June 6, 2022.</w:t>
      </w:r>
    </w:p>
    <w:p>
      <w:pPr>
        <w:pStyle w:val="style0"/>
        <w:rPr>
          <w:b w:val="false"/>
          <w:bCs w:val="false"/>
          <w:color w:val="36363d"/>
          <w:sz w:val="28"/>
          <w:szCs w:val="28"/>
          <w:highlight w:val="none"/>
          <w:lang w:val="en-US"/>
        </w:rPr>
      </w:pPr>
      <w:r>
        <w:rPr>
          <w:b/>
          <w:bCs/>
          <w:color w:val="36363d"/>
          <w:sz w:val="28"/>
          <w:szCs w:val="28"/>
          <w:highlight w:val="none"/>
          <w:lang w:val="en-US"/>
        </w:rPr>
        <w:t>.</w:t>
      </w:r>
      <w:r>
        <w:rPr>
          <w:b w:val="false"/>
          <w:bCs w:val="false"/>
          <w:color w:val="36363d"/>
          <w:sz w:val="28"/>
          <w:szCs w:val="28"/>
          <w:highlight w:val="none"/>
          <w:lang w:val="en-US"/>
        </w:rPr>
        <w:t xml:space="preserve"> Sinawe H, Casadesus D. Urine Culture. Ncbi.nlm.nih.gov. https://www.ncbi.nlm.nih.gov/books/NBK557569/?report=classic. Published 2022. Accessed June 20, 2022.</w:t>
      </w:r>
    </w:p>
    <w:p>
      <w:pPr>
        <w:pStyle w:val="style0"/>
        <w:rPr>
          <w:b w:val="false"/>
          <w:bCs w:val="false"/>
          <w:color w:val="36363d"/>
          <w:sz w:val="28"/>
          <w:szCs w:val="28"/>
          <w:highlight w:val="none"/>
          <w:lang w:val="en-US"/>
        </w:rPr>
      </w:pPr>
    </w:p>
    <w:p>
      <w:pPr>
        <w:pStyle w:val="style0"/>
        <w:rPr>
          <w:b w:val="false"/>
          <w:bCs w:val="false"/>
          <w:color w:val="36363d"/>
          <w:sz w:val="24"/>
          <w:szCs w:val="24"/>
          <w:highlight w:val="none"/>
          <w:lang w:val="en-US"/>
        </w:rPr>
      </w:pPr>
      <w:r>
        <w:rPr>
          <w:b/>
          <w:bCs/>
          <w:color w:val="36363d"/>
          <w:sz w:val="28"/>
          <w:szCs w:val="28"/>
          <w:highlight w:val="none"/>
          <w:lang w:val="en-US"/>
        </w:rPr>
        <w:t>.</w:t>
      </w:r>
      <w:r>
        <w:rPr>
          <w:b w:val="false"/>
          <w:bCs w:val="false"/>
          <w:color w:val="36363d"/>
          <w:sz w:val="28"/>
          <w:szCs w:val="28"/>
          <w:highlight w:val="none"/>
          <w:lang w:val="en-US"/>
        </w:rPr>
        <w:t xml:space="preserve"> Bettcher C, Campbell E, Petty L et al. Urinary Tract Infection. Ncbi.nlm.nih.gov. https://www.ncbi.nlm.nih.gov/books/NBK572335/. Published 2022. Accessed June 9, 2022.</w:t>
      </w:r>
    </w:p>
    <w:p>
      <w:pPr>
        <w:pStyle w:val="style0"/>
        <w:rPr>
          <w:b w:val="false"/>
          <w:bCs w:val="false"/>
          <w:color w:val="36363d"/>
          <w:sz w:val="24"/>
          <w:szCs w:val="24"/>
          <w:highlight w:val="none"/>
          <w:lang w:val="en-US"/>
        </w:rPr>
      </w:pPr>
    </w:p>
    <w:p>
      <w:pPr>
        <w:pStyle w:val="style0"/>
        <w:rPr>
          <w:b w:val="false"/>
          <w:bCs w:val="false"/>
          <w:color w:val="36363d"/>
          <w:sz w:val="24"/>
          <w:szCs w:val="24"/>
          <w:highlight w:val="none"/>
        </w:rPr>
      </w:pPr>
    </w:p>
    <w:sectPr>
      <w:pgSz w:w="12242" w:h="15842" w:orient="portrait"/>
      <w:pgMar w:top="1417" w:right="1417" w:bottom="1417"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0030204"/>
    <w:charset w:val="00"/>
    <w:family w:val="swiss"/>
    <w:pitch w:val="variable"/>
    <w:sig w:usb0="E4002EFF" w:usb1="C000247B" w:usb2="00000009" w:usb3="00000000" w:csb0="000001FF" w:csb1="00000000"/>
  </w:font>
  <w:font w:name="Arial">
    <w:altName w:val="Arial"/>
    <w:panose1 w:val="020b0604020000020204"/>
    <w:charset w:val="00"/>
    <w:family w:val="swiss"/>
    <w:pitch w:val="variable"/>
    <w:sig w:usb0="E0002EFF" w:usb1="C000785B" w:usb2="00000009" w:usb3="00000000" w:csb0="000001FF" w:csb1="00000000"/>
  </w:font>
  <w:font w:name="Times New Roman">
    <w:altName w:val="Times New Roman"/>
    <w:panose1 w:val="02020603050000020304"/>
    <w:charset w:val="00"/>
    <w:family w:val="roman"/>
    <w:pitch w:val="variable"/>
    <w:sig w:usb0="E0002EFF" w:usb1="C000785B" w:usb2="00000009" w:usb3="00000000" w:csb0="000001FF" w:csb1="00000000"/>
  </w:font>
  <w:font w:name="Cambria">
    <w:altName w:val="Cambria"/>
    <w:panose1 w:val="02040503050000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Arial" w:eastAsia="Calibri" w:hAnsi="Calibri"/>
        <w:sz w:val="22"/>
        <w:szCs w:val="22"/>
        <w:lang w:val="en-GB" w:bidi="ar-SA" w:eastAsia="en-US"/>
      </w:rPr>
    </w:rPrDefault>
    <w:pPrDefault>
      <w:pPr>
        <w:spacing w:after="200" w:lineRule="auto" w:line="276"/>
      </w:pPr>
    </w:pPrDefault>
  </w:docDefaults>
  <w:style w:type="paragraph" w:default="1" w:styleId="style0">
    <w:name w:val="Normal"/>
    <w:next w:val="style0"/>
    <w:qFormat/>
    <w:p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Words>1882</Words>
  <Pages>2</Pages>
  <Characters>10650</Characters>
  <Application>WPS Office</Application>
  <DocSecurity>0</DocSecurity>
  <Paragraphs>311</Paragraphs>
  <ScaleCrop>false</ScaleCrop>
  <Company>E-K-C-C</Company>
  <LinksUpToDate>false</LinksUpToDate>
  <CharactersWithSpaces>12392</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2022-06-20T12:19:32Z</dcterms:created>
  <dc:creator>E-K-C-C</dc:creator>
  <lastModifiedBy>M2007J3SY</lastModifiedBy>
  <dcterms:modified xsi:type="dcterms:W3CDTF">2022-06-20T12:30:36Z</dcterms:modified>
  <revision>2</revision>
</coreProperties>
</file>

<file path=docProps/custom.xml><?xml version="1.0" encoding="utf-8"?>
<Properties xmlns="http://schemas.openxmlformats.org/officeDocument/2006/custom-properties" xmlns:vt="http://schemas.openxmlformats.org/officeDocument/2006/docPropsVTypes"/>
</file>