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537B" w:rsidRPr="00F76019" w:rsidRDefault="00F2537B" w:rsidP="00F2537B">
      <w:pPr>
        <w:bidi w:val="0"/>
        <w:jc w:val="center"/>
        <w:rPr>
          <w:rFonts w:asciiTheme="majorBidi" w:hAnsiTheme="majorBidi" w:cstheme="majorBidi"/>
          <w:sz w:val="32"/>
          <w:szCs w:val="32"/>
        </w:rPr>
      </w:pPr>
      <w:r w:rsidRPr="00F76019">
        <w:rPr>
          <w:noProof/>
          <w:sz w:val="20"/>
          <w:szCs w:val="20"/>
        </w:rPr>
        <w:drawing>
          <wp:anchor distT="0" distB="0" distL="114300" distR="114300" simplePos="0" relativeHeight="251661312" behindDoc="0" locked="0" layoutInCell="1" allowOverlap="1" wp14:anchorId="760EB24B" wp14:editId="2CDAE128">
            <wp:simplePos x="0" y="0"/>
            <wp:positionH relativeFrom="page">
              <wp:posOffset>-342900</wp:posOffset>
            </wp:positionH>
            <wp:positionV relativeFrom="paragraph">
              <wp:posOffset>-1445260</wp:posOffset>
            </wp:positionV>
            <wp:extent cx="1920875" cy="1982912"/>
            <wp:effectExtent l="0" t="0" r="0" b="0"/>
            <wp:wrapNone/>
            <wp:docPr id="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2"/>
                    <pic:cNvPicPr>
                      <a:picLocks noChangeAspect="1"/>
                    </pic:cNvPicPr>
                  </pic:nvPicPr>
                  <pic:blipFill>
                    <a:blip r:embed="rId8" cstate="print">
                      <a:extLst>
                        <a:ext uri="{BEBA8EAE-BF5A-486C-A8C5-ECC9F3942E4B}">
                          <a14:imgProps xmlns:a14="http://schemas.microsoft.com/office/drawing/2010/main">
                            <a14:imgLayer r:embed="rId9">
                              <a14:imgEffect>
                                <a14:backgroundRemoval t="10000" b="90000" l="10000" r="90000"/>
                              </a14:imgEffect>
                            </a14:imgLayer>
                          </a14:imgProps>
                        </a:ext>
                        <a:ext uri="{28A0092B-C50C-407E-A947-70E740481C1C}">
                          <a14:useLocalDpi xmlns:a14="http://schemas.microsoft.com/office/drawing/2010/main" val="0"/>
                        </a:ext>
                      </a:extLst>
                    </a:blip>
                    <a:stretch>
                      <a:fillRect/>
                    </a:stretch>
                  </pic:blipFill>
                  <pic:spPr>
                    <a:xfrm>
                      <a:off x="0" y="0"/>
                      <a:ext cx="1920875" cy="1982912"/>
                    </a:xfrm>
                    <a:prstGeom prst="rect">
                      <a:avLst/>
                    </a:prstGeom>
                  </pic:spPr>
                </pic:pic>
              </a:graphicData>
            </a:graphic>
            <wp14:sizeRelH relativeFrom="page">
              <wp14:pctWidth>0</wp14:pctWidth>
            </wp14:sizeRelH>
            <wp14:sizeRelV relativeFrom="page">
              <wp14:pctHeight>0</wp14:pctHeight>
            </wp14:sizeRelV>
          </wp:anchor>
        </w:drawing>
      </w:r>
      <w:r w:rsidRPr="00F76019">
        <w:rPr>
          <w:noProof/>
          <w:sz w:val="20"/>
          <w:szCs w:val="20"/>
        </w:rPr>
        <w:drawing>
          <wp:anchor distT="0" distB="0" distL="114300" distR="114300" simplePos="0" relativeHeight="251659264" behindDoc="0" locked="0" layoutInCell="1" allowOverlap="1" wp14:anchorId="4712CE35" wp14:editId="377DA43E">
            <wp:simplePos x="0" y="0"/>
            <wp:positionH relativeFrom="rightMargin">
              <wp:posOffset>-485140</wp:posOffset>
            </wp:positionH>
            <wp:positionV relativeFrom="paragraph">
              <wp:posOffset>-1226185</wp:posOffset>
            </wp:positionV>
            <wp:extent cx="1961793" cy="1879600"/>
            <wp:effectExtent l="0" t="0" r="0" b="0"/>
            <wp:wrapNone/>
            <wp:docPr id="1" name="Picture 2" descr="D:\LIMU\Logo\33429-Logo-01 - Copy.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2" descr="D:\LIMU\Logo\33429-Logo-01 - Copy.pn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61793" cy="1879600"/>
                    </a:xfrm>
                    <a:prstGeom prst="rect">
                      <a:avLst/>
                    </a:prstGeom>
                    <a:noFill/>
                    <a:extLst/>
                  </pic:spPr>
                </pic:pic>
              </a:graphicData>
            </a:graphic>
            <wp14:sizeRelH relativeFrom="page">
              <wp14:pctWidth>0</wp14:pctWidth>
            </wp14:sizeRelH>
            <wp14:sizeRelV relativeFrom="page">
              <wp14:pctHeight>0</wp14:pctHeight>
            </wp14:sizeRelV>
          </wp:anchor>
        </w:drawing>
      </w:r>
      <w:r w:rsidRPr="00F76019">
        <w:rPr>
          <w:rFonts w:asciiTheme="majorBidi" w:hAnsiTheme="majorBidi" w:cstheme="majorBidi"/>
          <w:sz w:val="32"/>
          <w:szCs w:val="32"/>
        </w:rPr>
        <w:t>Libyan International Medical University</w:t>
      </w:r>
    </w:p>
    <w:p w:rsidR="00F2537B" w:rsidRDefault="00F2537B" w:rsidP="00F2537B">
      <w:pPr>
        <w:bidi w:val="0"/>
        <w:jc w:val="center"/>
        <w:rPr>
          <w:rFonts w:asciiTheme="majorBidi" w:hAnsiTheme="majorBidi" w:cstheme="majorBidi"/>
          <w:sz w:val="32"/>
          <w:szCs w:val="32"/>
        </w:rPr>
      </w:pPr>
      <w:r w:rsidRPr="00F76019">
        <w:rPr>
          <w:rFonts w:asciiTheme="majorBidi" w:hAnsiTheme="majorBidi" w:cstheme="majorBidi"/>
          <w:sz w:val="32"/>
          <w:szCs w:val="32"/>
        </w:rPr>
        <w:t>Faculty of Applied Medical Sciences</w:t>
      </w:r>
      <w:r w:rsidRPr="00F76019">
        <w:rPr>
          <w:noProof/>
          <w:sz w:val="20"/>
          <w:szCs w:val="20"/>
        </w:rPr>
        <w:t xml:space="preserve"> </w:t>
      </w:r>
    </w:p>
    <w:p w:rsidR="00F2537B" w:rsidRDefault="00F2537B" w:rsidP="00F2537B">
      <w:pPr>
        <w:bidi w:val="0"/>
        <w:jc w:val="center"/>
        <w:rPr>
          <w:rFonts w:asciiTheme="majorBidi" w:hAnsiTheme="majorBidi" w:cstheme="majorBidi"/>
          <w:sz w:val="32"/>
          <w:szCs w:val="32"/>
        </w:rPr>
      </w:pPr>
    </w:p>
    <w:p w:rsidR="00F2537B" w:rsidRDefault="00F2537B" w:rsidP="00F2537B">
      <w:pPr>
        <w:bidi w:val="0"/>
        <w:jc w:val="center"/>
        <w:rPr>
          <w:rFonts w:asciiTheme="majorBidi" w:hAnsiTheme="majorBidi" w:cstheme="majorBidi"/>
          <w:b/>
          <w:bCs/>
          <w:sz w:val="36"/>
          <w:szCs w:val="36"/>
        </w:rPr>
      </w:pPr>
      <w:r w:rsidRPr="00F2537B">
        <w:rPr>
          <w:rFonts w:asciiTheme="majorBidi" w:hAnsiTheme="majorBidi" w:cstheme="majorBidi"/>
          <w:b/>
          <w:bCs/>
          <w:sz w:val="36"/>
          <w:szCs w:val="36"/>
        </w:rPr>
        <w:t>Urinalysis and Urinary Tract Infections</w:t>
      </w: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r>
        <w:rPr>
          <w:rFonts w:asciiTheme="majorBidi" w:hAnsiTheme="majorBidi" w:cstheme="majorBidi"/>
          <w:b/>
          <w:bCs/>
          <w:sz w:val="36"/>
          <w:szCs w:val="36"/>
        </w:rPr>
        <w:t>Student Name: Ali Salah Masheiti</w:t>
      </w:r>
    </w:p>
    <w:p w:rsidR="00F2537B" w:rsidRDefault="00F2537B" w:rsidP="00F2537B">
      <w:pPr>
        <w:bidi w:val="0"/>
        <w:jc w:val="center"/>
        <w:rPr>
          <w:rFonts w:asciiTheme="majorBidi" w:hAnsiTheme="majorBidi" w:cstheme="majorBidi"/>
          <w:b/>
          <w:bCs/>
          <w:sz w:val="36"/>
          <w:szCs w:val="36"/>
        </w:rPr>
      </w:pPr>
      <w:r>
        <w:rPr>
          <w:rFonts w:asciiTheme="majorBidi" w:hAnsiTheme="majorBidi" w:cstheme="majorBidi"/>
          <w:b/>
          <w:bCs/>
          <w:sz w:val="36"/>
          <w:szCs w:val="36"/>
        </w:rPr>
        <w:t>Student Number: 2333</w:t>
      </w:r>
    </w:p>
    <w:p w:rsidR="00387EDD" w:rsidRDefault="00387EDD" w:rsidP="00387EDD">
      <w:pPr>
        <w:bidi w:val="0"/>
        <w:jc w:val="center"/>
        <w:rPr>
          <w:rFonts w:asciiTheme="majorBidi" w:hAnsiTheme="majorBidi" w:cstheme="majorBidi"/>
          <w:b/>
          <w:bCs/>
          <w:sz w:val="36"/>
          <w:szCs w:val="36"/>
        </w:rPr>
      </w:pPr>
      <w:r>
        <w:rPr>
          <w:rFonts w:asciiTheme="majorBidi" w:hAnsiTheme="majorBidi" w:cstheme="majorBidi"/>
          <w:b/>
          <w:bCs/>
          <w:sz w:val="36"/>
          <w:szCs w:val="36"/>
        </w:rPr>
        <w:t>Academic year: 2021-2022</w:t>
      </w:r>
    </w:p>
    <w:p w:rsidR="00F2537B" w:rsidRDefault="00F2537B" w:rsidP="00F2537B">
      <w:pPr>
        <w:bidi w:val="0"/>
        <w:jc w:val="center"/>
        <w:rPr>
          <w:rFonts w:asciiTheme="majorBidi" w:hAnsiTheme="majorBidi" w:cstheme="majorBidi"/>
          <w:b/>
          <w:bCs/>
          <w:sz w:val="36"/>
          <w:szCs w:val="36"/>
        </w:rPr>
      </w:pPr>
      <w:r>
        <w:rPr>
          <w:rFonts w:asciiTheme="majorBidi" w:hAnsiTheme="majorBidi" w:cstheme="majorBidi"/>
          <w:b/>
          <w:bCs/>
          <w:sz w:val="36"/>
          <w:szCs w:val="36"/>
        </w:rPr>
        <w:t>Group: A4</w:t>
      </w: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jc w:val="center"/>
        <w:rPr>
          <w:rFonts w:asciiTheme="majorBidi" w:hAnsiTheme="majorBidi" w:cstheme="majorBidi"/>
          <w:b/>
          <w:bCs/>
          <w:sz w:val="36"/>
          <w:szCs w:val="36"/>
        </w:rPr>
      </w:pPr>
    </w:p>
    <w:p w:rsidR="00F2537B" w:rsidRDefault="00F2537B" w:rsidP="00F2537B">
      <w:pPr>
        <w:bidi w:val="0"/>
        <w:rPr>
          <w:rFonts w:asciiTheme="majorBidi" w:hAnsiTheme="majorBidi" w:cstheme="majorBidi"/>
          <w:b/>
          <w:bCs/>
          <w:sz w:val="28"/>
          <w:szCs w:val="28"/>
        </w:rPr>
      </w:pPr>
      <w:r w:rsidRPr="00F2537B">
        <w:rPr>
          <w:rFonts w:asciiTheme="majorBidi" w:hAnsiTheme="majorBidi" w:cstheme="majorBidi"/>
          <w:b/>
          <w:bCs/>
          <w:sz w:val="28"/>
          <w:szCs w:val="28"/>
        </w:rPr>
        <w:t>Abstract</w:t>
      </w:r>
    </w:p>
    <w:p w:rsidR="0013641E" w:rsidRPr="00387EDD" w:rsidRDefault="0013641E" w:rsidP="0013641E">
      <w:pPr>
        <w:bidi w:val="0"/>
        <w:spacing w:line="360" w:lineRule="auto"/>
        <w:rPr>
          <w:rFonts w:asciiTheme="majorBidi" w:hAnsiTheme="majorBidi" w:cstheme="majorBidi"/>
          <w:sz w:val="24"/>
          <w:szCs w:val="24"/>
        </w:rPr>
      </w:pPr>
      <w:r w:rsidRPr="00387EDD">
        <w:rPr>
          <w:rFonts w:asciiTheme="majorBidi" w:hAnsiTheme="majorBidi" w:cstheme="majorBidi"/>
          <w:sz w:val="24"/>
          <w:szCs w:val="24"/>
        </w:rPr>
        <w:t xml:space="preserve">Urinary tract infections (UTIs) are caused by several organisms placing the gram-negative, facultative bacterium called the Escherichia coli (E. coli) the first leading cause worldwide. A member of the </w:t>
      </w:r>
      <w:proofErr w:type="spellStart"/>
      <w:r w:rsidRPr="00387EDD">
        <w:rPr>
          <w:rFonts w:asciiTheme="majorBidi" w:hAnsiTheme="majorBidi" w:cstheme="majorBidi"/>
          <w:sz w:val="24"/>
          <w:szCs w:val="24"/>
        </w:rPr>
        <w:t>Morganellaceae</w:t>
      </w:r>
      <w:proofErr w:type="spellEnd"/>
      <w:r w:rsidRPr="00387EDD">
        <w:rPr>
          <w:rFonts w:asciiTheme="majorBidi" w:hAnsiTheme="majorBidi" w:cstheme="majorBidi"/>
          <w:sz w:val="24"/>
          <w:szCs w:val="24"/>
        </w:rPr>
        <w:t xml:space="preserve"> family of gram-negative bacilli bacteria known as the Proteus mirabilis (P. mirabilis) was also found to be the second most prevalent species causing urinary tract infections after E. coli. Multiple methods of urine examination are done to be acquainted of the different organisms that causes UTIs.</w:t>
      </w:r>
      <w:r w:rsidRPr="00387EDD">
        <w:rPr>
          <w:rFonts w:asciiTheme="majorBidi" w:hAnsiTheme="majorBidi" w:cstheme="majorBidi"/>
          <w:b/>
          <w:bCs/>
          <w:sz w:val="28"/>
          <w:szCs w:val="28"/>
        </w:rPr>
        <w:t xml:space="preserve"> </w:t>
      </w:r>
      <w:r w:rsidRPr="00387EDD">
        <w:rPr>
          <w:rFonts w:asciiTheme="majorBidi" w:hAnsiTheme="majorBidi" w:cstheme="majorBidi"/>
          <w:sz w:val="24"/>
          <w:szCs w:val="24"/>
        </w:rPr>
        <w:t>There are also multiple drugs in the tr</w:t>
      </w:r>
      <w:r w:rsidR="00387EDD" w:rsidRPr="00387EDD">
        <w:rPr>
          <w:rFonts w:asciiTheme="majorBidi" w:hAnsiTheme="majorBidi" w:cstheme="majorBidi"/>
          <w:sz w:val="24"/>
          <w:szCs w:val="24"/>
        </w:rPr>
        <w:t>eatment of UTIs like fosfomycin.</w:t>
      </w:r>
      <w:r w:rsidRPr="00387EDD">
        <w:rPr>
          <w:rFonts w:asciiTheme="majorBidi" w:hAnsiTheme="majorBidi" w:cstheme="majorBidi"/>
          <w:sz w:val="24"/>
          <w:szCs w:val="24"/>
        </w:rPr>
        <w:t xml:space="preserve"> Urine output tests are done with the use of diuretics and so tests are done in order to find the significance of the results between genders and their characteristics</w:t>
      </w:r>
      <w:r w:rsidR="00387EDD" w:rsidRPr="00387EDD">
        <w:rPr>
          <w:rFonts w:asciiTheme="majorBidi" w:hAnsiTheme="majorBidi" w:cstheme="majorBidi"/>
          <w:sz w:val="24"/>
          <w:szCs w:val="24"/>
        </w:rPr>
        <w:t xml:space="preserve">. When urine is obtained like for example from the urinary output, the urine sample can be used to determine certain UTIs and so this helps scientists in making a diagnosis. </w:t>
      </w:r>
    </w:p>
    <w:p w:rsidR="0013641E" w:rsidRPr="00387EDD" w:rsidRDefault="0013641E" w:rsidP="0013641E">
      <w:pPr>
        <w:bidi w:val="0"/>
        <w:spacing w:line="360" w:lineRule="auto"/>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F2537B" w:rsidRDefault="00F2537B" w:rsidP="00F2537B">
      <w:pPr>
        <w:bidi w:val="0"/>
        <w:rPr>
          <w:rFonts w:asciiTheme="majorBidi" w:hAnsiTheme="majorBidi" w:cstheme="majorBidi"/>
          <w:b/>
          <w:bCs/>
          <w:sz w:val="28"/>
          <w:szCs w:val="28"/>
        </w:rPr>
      </w:pPr>
    </w:p>
    <w:p w:rsidR="000750C2" w:rsidRDefault="000750C2" w:rsidP="000750C2">
      <w:pPr>
        <w:bidi w:val="0"/>
        <w:rPr>
          <w:rFonts w:asciiTheme="majorBidi" w:hAnsiTheme="majorBidi" w:cstheme="majorBidi"/>
          <w:b/>
          <w:bCs/>
          <w:sz w:val="28"/>
          <w:szCs w:val="28"/>
        </w:rPr>
      </w:pPr>
      <w:r>
        <w:rPr>
          <w:rFonts w:asciiTheme="majorBidi" w:hAnsiTheme="majorBidi" w:cstheme="majorBidi"/>
          <w:b/>
          <w:bCs/>
          <w:sz w:val="28"/>
          <w:szCs w:val="28"/>
        </w:rPr>
        <w:t>Introduction</w:t>
      </w:r>
    </w:p>
    <w:p w:rsidR="00E77096" w:rsidRPr="00387EDD" w:rsidRDefault="00E77096" w:rsidP="00ED53BE">
      <w:pPr>
        <w:bidi w:val="0"/>
        <w:spacing w:line="360" w:lineRule="auto"/>
        <w:rPr>
          <w:rFonts w:asciiTheme="majorBidi" w:hAnsiTheme="majorBidi" w:cstheme="majorBidi"/>
          <w:b/>
          <w:bCs/>
          <w:sz w:val="28"/>
          <w:szCs w:val="28"/>
        </w:rPr>
      </w:pPr>
      <w:r w:rsidRPr="00387EDD">
        <w:rPr>
          <w:rFonts w:asciiTheme="majorBidi" w:hAnsiTheme="majorBidi" w:cstheme="majorBidi"/>
          <w:sz w:val="24"/>
          <w:szCs w:val="24"/>
        </w:rPr>
        <w:t xml:space="preserve">Urinary tract infections (UTIs) are one of the most common bacterial infections found in both the population and hospitals. The most common causative agent is Escherichia coli (E. coli) bacteria, which is a gram negative rod normally lives in the intestines of humans and animals. Although E. coli is totally harmless and plays an important part of a healthy human intestinal tract, it's a pathogenic organism. E. coli is responsible for more than 85% of all urinary tract infections. A urinary tract infection may involve different parts of the urinary tract such as infection of urethra (urethritis), urinary bladder (cystitis), and kidneys (pyelonephritis). Urinary tract infections are more common in women than men due to the shortage of urethra of the female's reproductive system and as the lower third of the urethra is continually contaminated with pathogens such as the E. coli and staphylococcus saprophyticus from the vagina and rectum. Sexually active women are more susceptible for developing UTIs, as well as women after menopause, which a decline in circulating estrogen causes changes in the urinary tract being more vulnerable of developing an infection [1]. </w:t>
      </w:r>
    </w:p>
    <w:p w:rsidR="00E77096" w:rsidRPr="00387EDD" w:rsidRDefault="00E77096" w:rsidP="00E77096">
      <w:pPr>
        <w:bidi w:val="0"/>
        <w:spacing w:line="360" w:lineRule="auto"/>
        <w:rPr>
          <w:rFonts w:asciiTheme="majorBidi" w:hAnsiTheme="majorBidi" w:cstheme="majorBidi"/>
          <w:sz w:val="24"/>
          <w:szCs w:val="24"/>
        </w:rPr>
      </w:pPr>
      <w:r w:rsidRPr="00387EDD">
        <w:rPr>
          <w:rFonts w:asciiTheme="majorBidi" w:hAnsiTheme="majorBidi" w:cstheme="majorBidi"/>
          <w:sz w:val="24"/>
          <w:szCs w:val="24"/>
        </w:rPr>
        <w:t>Urinalysis is one of the oldest laboratory procedures in the history of medicine. It is an array of tests performed on the urine. Urinalysis is performed in order to evaluate a patient's health condition, diagnosis of kidney diseases and urinary tract infections. It is also used to monitor patients with diabetes and screening for drug abuse.</w:t>
      </w:r>
    </w:p>
    <w:p w:rsidR="00E77096" w:rsidRPr="00387EDD" w:rsidRDefault="00E77096" w:rsidP="00E77096">
      <w:pPr>
        <w:bidi w:val="0"/>
        <w:spacing w:line="360" w:lineRule="auto"/>
        <w:rPr>
          <w:rFonts w:asciiTheme="majorBidi" w:hAnsiTheme="majorBidi" w:cstheme="majorBidi"/>
          <w:sz w:val="24"/>
          <w:szCs w:val="24"/>
        </w:rPr>
      </w:pPr>
      <w:r w:rsidRPr="00387EDD">
        <w:rPr>
          <w:rFonts w:asciiTheme="majorBidi" w:hAnsiTheme="majorBidi" w:cstheme="majorBidi"/>
          <w:sz w:val="24"/>
          <w:szCs w:val="24"/>
        </w:rPr>
        <w:t>Generally, first-line treatments for urinary tract infections include nitrofurantoin, fosfomycin, and trimethoprim-sulfamethoxazole. However, they are effective only when resistance levels are less than 20%, particularly in patients with P. mirabilis. In pregnancy, beta-lactams, nitrofurantoin, fosfomycin, and trimethoprim-sulfamethoxazole can be appropriate and safe treatments to be given. Interpreting the probability of urinary tract infection based on symptoms and testing allows for greater accuracy in diagnosis of urinary tract infection, decreasing overtreatment and encouraging antimicrobial stewardship [2]</w:t>
      </w:r>
      <w:r w:rsidR="007D2CB6" w:rsidRPr="00387EDD">
        <w:rPr>
          <w:rFonts w:asciiTheme="majorBidi" w:hAnsiTheme="majorBidi" w:cstheme="majorBidi"/>
          <w:sz w:val="24"/>
          <w:szCs w:val="24"/>
        </w:rPr>
        <w:t>.</w:t>
      </w:r>
    </w:p>
    <w:p w:rsidR="00E77096" w:rsidRPr="00387EDD" w:rsidRDefault="00E77096" w:rsidP="00E77096">
      <w:pPr>
        <w:bidi w:val="0"/>
        <w:spacing w:line="360" w:lineRule="auto"/>
        <w:rPr>
          <w:rFonts w:asciiTheme="majorBidi" w:hAnsiTheme="majorBidi" w:cstheme="majorBidi"/>
          <w:sz w:val="24"/>
          <w:szCs w:val="24"/>
        </w:rPr>
      </w:pPr>
      <w:r w:rsidRPr="00387EDD">
        <w:rPr>
          <w:rFonts w:asciiTheme="majorBidi" w:hAnsiTheme="majorBidi" w:cstheme="majorBidi"/>
          <w:sz w:val="24"/>
          <w:szCs w:val="24"/>
        </w:rPr>
        <w:t>Knowing the pharmacodynamics of many diuretics is useful in determining the urine output volume (which is measured in ml). These diuretics have different output results for both genders</w:t>
      </w:r>
      <w:r w:rsidRPr="00387EDD">
        <w:rPr>
          <w:rFonts w:asciiTheme="majorBidi" w:hAnsiTheme="majorBidi" w:cstheme="majorBidi"/>
          <w:sz w:val="24"/>
          <w:szCs w:val="24"/>
        </w:rPr>
        <w:t>.</w:t>
      </w:r>
    </w:p>
    <w:p w:rsidR="00E77096" w:rsidRPr="00387EDD" w:rsidRDefault="00E77096" w:rsidP="00E77096">
      <w:pPr>
        <w:bidi w:val="0"/>
        <w:spacing w:line="360" w:lineRule="auto"/>
        <w:rPr>
          <w:rFonts w:asciiTheme="majorBidi" w:hAnsiTheme="majorBidi" w:cstheme="majorBidi"/>
          <w:sz w:val="24"/>
          <w:szCs w:val="24"/>
        </w:rPr>
      </w:pPr>
      <w:r w:rsidRPr="00387EDD">
        <w:rPr>
          <w:rFonts w:asciiTheme="majorBidi" w:hAnsiTheme="majorBidi" w:cstheme="majorBidi"/>
          <w:sz w:val="24"/>
          <w:szCs w:val="24"/>
        </w:rPr>
        <w:t xml:space="preserve"> </w:t>
      </w:r>
    </w:p>
    <w:p w:rsidR="00F2537B" w:rsidRDefault="007D2CB6" w:rsidP="00F2537B">
      <w:pPr>
        <w:bidi w:val="0"/>
        <w:rPr>
          <w:rFonts w:asciiTheme="majorBidi" w:hAnsiTheme="majorBidi" w:cstheme="majorBidi"/>
          <w:b/>
          <w:bCs/>
          <w:sz w:val="28"/>
          <w:szCs w:val="28"/>
        </w:rPr>
      </w:pPr>
      <w:r w:rsidRPr="007D2CB6">
        <w:rPr>
          <w:rFonts w:asciiTheme="majorBidi" w:hAnsiTheme="majorBidi" w:cstheme="majorBidi"/>
          <w:b/>
          <w:bCs/>
          <w:sz w:val="28"/>
          <w:szCs w:val="28"/>
        </w:rPr>
        <w:lastRenderedPageBreak/>
        <w:t>Materials and Methods</w:t>
      </w:r>
    </w:p>
    <w:p w:rsidR="007D2CB6" w:rsidRDefault="007D2CB6" w:rsidP="007D2CB6">
      <w:pPr>
        <w:bidi w:val="0"/>
        <w:spacing w:line="360" w:lineRule="auto"/>
        <w:rPr>
          <w:rFonts w:asciiTheme="majorBidi" w:hAnsiTheme="majorBidi" w:cstheme="majorBidi"/>
          <w:sz w:val="24"/>
          <w:szCs w:val="24"/>
        </w:rPr>
      </w:pPr>
      <w:r w:rsidRPr="00EC15FB">
        <w:rPr>
          <w:rFonts w:asciiTheme="majorBidi" w:hAnsiTheme="majorBidi" w:cstheme="majorBidi"/>
          <w:sz w:val="24"/>
          <w:szCs w:val="24"/>
        </w:rPr>
        <w:t xml:space="preserve">An adequate urine sample was taken from a patient after drinking plenty of water. Different methods were used to examine the urine. After physical appearance, </w:t>
      </w:r>
      <w:r>
        <w:rPr>
          <w:rFonts w:asciiTheme="majorBidi" w:hAnsiTheme="majorBidi" w:cstheme="majorBidi"/>
          <w:sz w:val="24"/>
          <w:szCs w:val="24"/>
        </w:rPr>
        <w:t xml:space="preserve">microscopic examination was </w:t>
      </w:r>
      <w:r w:rsidRPr="00EC15FB">
        <w:rPr>
          <w:rFonts w:asciiTheme="majorBidi" w:hAnsiTheme="majorBidi" w:cstheme="majorBidi"/>
          <w:sz w:val="24"/>
          <w:szCs w:val="24"/>
        </w:rPr>
        <w:t>done and its procedure includes dropping one drop of urine on a glass sheet, placing it under a microscope to ident</w:t>
      </w:r>
      <w:r>
        <w:rPr>
          <w:rFonts w:asciiTheme="majorBidi" w:hAnsiTheme="majorBidi" w:cstheme="majorBidi"/>
          <w:sz w:val="24"/>
          <w:szCs w:val="24"/>
        </w:rPr>
        <w:t>ify the presence of pus cells, red blood cells (R</w:t>
      </w:r>
      <w:r w:rsidRPr="00EC15FB">
        <w:rPr>
          <w:rFonts w:asciiTheme="majorBidi" w:hAnsiTheme="majorBidi" w:cstheme="majorBidi"/>
          <w:sz w:val="24"/>
          <w:szCs w:val="24"/>
        </w:rPr>
        <w:t>BCs</w:t>
      </w:r>
      <w:r>
        <w:rPr>
          <w:rFonts w:asciiTheme="majorBidi" w:hAnsiTheme="majorBidi" w:cstheme="majorBidi"/>
          <w:sz w:val="24"/>
          <w:szCs w:val="24"/>
        </w:rPr>
        <w:t>)</w:t>
      </w:r>
      <w:r w:rsidRPr="00EC15FB">
        <w:rPr>
          <w:rFonts w:asciiTheme="majorBidi" w:hAnsiTheme="majorBidi" w:cstheme="majorBidi"/>
          <w:sz w:val="24"/>
          <w:szCs w:val="24"/>
        </w:rPr>
        <w:t>, epithelial, casts, crystals, yeast cells, and bacteria. Dipstick test procedure was also done</w:t>
      </w:r>
      <w:r>
        <w:rPr>
          <w:rFonts w:asciiTheme="majorBidi" w:hAnsiTheme="majorBidi" w:cstheme="majorBidi"/>
          <w:sz w:val="24"/>
          <w:szCs w:val="24"/>
        </w:rPr>
        <w:t xml:space="preserve"> for biochemical investigation</w:t>
      </w:r>
      <w:r w:rsidRPr="00EC15FB">
        <w:rPr>
          <w:rFonts w:asciiTheme="majorBidi" w:hAnsiTheme="majorBidi" w:cstheme="majorBidi"/>
          <w:sz w:val="24"/>
          <w:szCs w:val="24"/>
        </w:rPr>
        <w:t xml:space="preserve">. A chemically treated plastic stick </w:t>
      </w:r>
      <w:r>
        <w:rPr>
          <w:rFonts w:asciiTheme="majorBidi" w:hAnsiTheme="majorBidi" w:cstheme="majorBidi"/>
          <w:sz w:val="24"/>
          <w:szCs w:val="24"/>
        </w:rPr>
        <w:t xml:space="preserve">was put </w:t>
      </w:r>
      <w:r w:rsidRPr="00EC15FB">
        <w:rPr>
          <w:rFonts w:asciiTheme="majorBidi" w:hAnsiTheme="majorBidi" w:cstheme="majorBidi"/>
          <w:sz w:val="24"/>
          <w:szCs w:val="24"/>
        </w:rPr>
        <w:t xml:space="preserve">into the urine sample. The stick changes color based on the presence of certain biochemical substances such as </w:t>
      </w:r>
      <w:proofErr w:type="spellStart"/>
      <w:r w:rsidRPr="00EC15FB">
        <w:rPr>
          <w:rFonts w:asciiTheme="majorBidi" w:hAnsiTheme="majorBidi" w:cstheme="majorBidi"/>
          <w:sz w:val="24"/>
          <w:szCs w:val="24"/>
        </w:rPr>
        <w:t>urobilinogen</w:t>
      </w:r>
      <w:proofErr w:type="spellEnd"/>
      <w:r w:rsidRPr="00EC15FB">
        <w:rPr>
          <w:rFonts w:asciiTheme="majorBidi" w:hAnsiTheme="majorBidi" w:cstheme="majorBidi"/>
          <w:sz w:val="24"/>
          <w:szCs w:val="24"/>
        </w:rPr>
        <w:t>, bilirubin, nitrate, albumin, glucose, ketone bodies, blood, and leukocytes. Antibiotic sensitivity testing was also done, as five different types of antibiotics were used, this include</w:t>
      </w:r>
      <w:r>
        <w:rPr>
          <w:rFonts w:asciiTheme="majorBidi" w:hAnsiTheme="majorBidi" w:cstheme="majorBidi"/>
          <w:sz w:val="24"/>
          <w:szCs w:val="24"/>
        </w:rPr>
        <w:t>s, '</w:t>
      </w:r>
      <w:r w:rsidRPr="00EC15FB">
        <w:rPr>
          <w:rFonts w:asciiTheme="majorBidi" w:hAnsiTheme="majorBidi" w:cstheme="majorBidi"/>
          <w:sz w:val="24"/>
          <w:szCs w:val="24"/>
        </w:rPr>
        <w:t xml:space="preserve"> azithromycin, erythromycin, chloramphenicol, </w:t>
      </w:r>
      <w:proofErr w:type="spellStart"/>
      <w:r w:rsidRPr="00EC15FB">
        <w:rPr>
          <w:rFonts w:asciiTheme="majorBidi" w:hAnsiTheme="majorBidi" w:cstheme="majorBidi"/>
          <w:sz w:val="24"/>
          <w:szCs w:val="24"/>
        </w:rPr>
        <w:t>norfloxacin</w:t>
      </w:r>
      <w:proofErr w:type="spellEnd"/>
      <w:r w:rsidRPr="00EC15FB">
        <w:rPr>
          <w:rFonts w:asciiTheme="majorBidi" w:hAnsiTheme="majorBidi" w:cstheme="majorBidi"/>
          <w:sz w:val="24"/>
          <w:szCs w:val="24"/>
        </w:rPr>
        <w:t>, and levofloxacin.</w:t>
      </w:r>
      <w:r>
        <w:rPr>
          <w:rFonts w:asciiTheme="majorBidi" w:hAnsiTheme="majorBidi" w:cstheme="majorBidi"/>
          <w:sz w:val="24"/>
          <w:szCs w:val="24"/>
        </w:rPr>
        <w:t xml:space="preserve">' </w:t>
      </w:r>
    </w:p>
    <w:p w:rsidR="007D2CB6" w:rsidRDefault="007D2CB6" w:rsidP="007D2CB6">
      <w:pPr>
        <w:bidi w:val="0"/>
        <w:spacing w:line="360" w:lineRule="auto"/>
        <w:rPr>
          <w:rFonts w:asciiTheme="majorBidi" w:hAnsiTheme="majorBidi" w:cstheme="majorBidi"/>
          <w:sz w:val="24"/>
          <w:szCs w:val="24"/>
        </w:rPr>
      </w:pPr>
      <w:r>
        <w:rPr>
          <w:rFonts w:asciiTheme="majorBidi" w:hAnsiTheme="majorBidi" w:cstheme="majorBidi"/>
          <w:sz w:val="24"/>
          <w:szCs w:val="24"/>
        </w:rPr>
        <w:t xml:space="preserve">Different essential materials were used for the antibiotic sensitivity testing as a </w:t>
      </w:r>
      <w:proofErr w:type="spellStart"/>
      <w:r>
        <w:rPr>
          <w:rFonts w:asciiTheme="majorBidi" w:hAnsiTheme="majorBidi" w:cstheme="majorBidi"/>
          <w:sz w:val="24"/>
          <w:szCs w:val="24"/>
        </w:rPr>
        <w:t>petriplate</w:t>
      </w:r>
      <w:proofErr w:type="spellEnd"/>
      <w:r>
        <w:rPr>
          <w:rFonts w:asciiTheme="majorBidi" w:hAnsiTheme="majorBidi" w:cstheme="majorBidi"/>
          <w:sz w:val="24"/>
          <w:szCs w:val="24"/>
        </w:rPr>
        <w:t xml:space="preserve"> containing microbial culture, inoculation loop, Bunsen burner, saline solution, McFarland solution, Mueller-Hinton agar (MHA), cotton swab, antibiotic disks, tooth pick, incubator, and a ruler. Firstly, a colony from the culture plate was emulsified in the sterile saline solution and mixed thoroughly to prevent any solid material from the colony to be visibly seen and present in the saline solution. Secondly, a sterile swab was dipped into the broth of the culture of the organism and then the sterile swab was gently squeezed against the inside of the tube in order to remove any excess fluid in the sterile swab. Thirdly, the sterile swab was streaked firmly on a MHA plate for the growth of the organism and it was left to dry for about 5 minutes. Fourthly, a tooth pick was used to pick different antibiotic disks and they were gently pressed onto the surface of the agar. Finally, incubation was done for 24 hours at 37</w:t>
      </w:r>
      <w:r w:rsidRPr="00B53C90">
        <w:rPr>
          <w:rFonts w:asciiTheme="majorBidi" w:hAnsiTheme="majorBidi" w:cstheme="majorBidi"/>
          <w:sz w:val="24"/>
          <w:szCs w:val="24"/>
        </w:rPr>
        <w:t>°</w:t>
      </w:r>
      <w:r>
        <w:rPr>
          <w:rFonts w:asciiTheme="majorBidi" w:hAnsiTheme="majorBidi" w:cstheme="majorBidi"/>
          <w:sz w:val="24"/>
          <w:szCs w:val="24"/>
        </w:rPr>
        <w:t>C and after incubation, a ruler was used to measure the diameter of the zone of each antibiotic used if there was any sensitivity reaction.</w:t>
      </w:r>
    </w:p>
    <w:p w:rsidR="007D2CB6" w:rsidRDefault="00D51991" w:rsidP="00D51991">
      <w:pPr>
        <w:bidi w:val="0"/>
        <w:spacing w:line="360" w:lineRule="auto"/>
        <w:rPr>
          <w:rFonts w:asciiTheme="majorBidi" w:hAnsiTheme="majorBidi" w:cstheme="majorBidi"/>
          <w:sz w:val="24"/>
          <w:szCs w:val="24"/>
        </w:rPr>
      </w:pPr>
      <w:r>
        <w:rPr>
          <w:rFonts w:asciiTheme="majorBidi" w:hAnsiTheme="majorBidi" w:cstheme="majorBidi"/>
          <w:sz w:val="24"/>
          <w:szCs w:val="24"/>
        </w:rPr>
        <w:t>After completing the lab work, a test was done with diuretics to see it</w:t>
      </w:r>
      <w:r w:rsidR="00D90A33">
        <w:rPr>
          <w:rFonts w:asciiTheme="majorBidi" w:hAnsiTheme="majorBidi" w:cstheme="majorBidi"/>
          <w:sz w:val="24"/>
          <w:szCs w:val="24"/>
        </w:rPr>
        <w:t>s effect on different genders (6 were males and 6</w:t>
      </w:r>
      <w:r>
        <w:rPr>
          <w:rFonts w:asciiTheme="majorBidi" w:hAnsiTheme="majorBidi" w:cstheme="majorBidi"/>
          <w:sz w:val="24"/>
          <w:szCs w:val="24"/>
        </w:rPr>
        <w:t xml:space="preserve"> were females). The urine output as a result was tested on these different </w:t>
      </w:r>
      <w:r w:rsidR="009B682A">
        <w:rPr>
          <w:rFonts w:asciiTheme="majorBidi" w:hAnsiTheme="majorBidi" w:cstheme="majorBidi"/>
          <w:sz w:val="24"/>
          <w:szCs w:val="24"/>
        </w:rPr>
        <w:t>genders on a period of 6 hours.</w:t>
      </w:r>
    </w:p>
    <w:p w:rsidR="009B682A" w:rsidRDefault="009B682A" w:rsidP="009B682A">
      <w:pPr>
        <w:bidi w:val="0"/>
        <w:spacing w:line="360" w:lineRule="auto"/>
        <w:rPr>
          <w:rFonts w:asciiTheme="majorBidi" w:hAnsiTheme="majorBidi" w:cstheme="majorBidi"/>
          <w:sz w:val="24"/>
          <w:szCs w:val="24"/>
        </w:rPr>
      </w:pPr>
    </w:p>
    <w:p w:rsidR="00387EDD" w:rsidRDefault="00387EDD" w:rsidP="009B682A">
      <w:pPr>
        <w:bidi w:val="0"/>
        <w:spacing w:line="360" w:lineRule="auto"/>
        <w:rPr>
          <w:rFonts w:asciiTheme="majorBidi" w:hAnsiTheme="majorBidi" w:cstheme="majorBidi"/>
          <w:sz w:val="24"/>
          <w:szCs w:val="24"/>
        </w:rPr>
      </w:pPr>
    </w:p>
    <w:p w:rsidR="009B682A" w:rsidRDefault="009B682A" w:rsidP="00387EDD">
      <w:pPr>
        <w:bidi w:val="0"/>
        <w:spacing w:line="360" w:lineRule="auto"/>
        <w:rPr>
          <w:rFonts w:asciiTheme="majorBidi" w:hAnsiTheme="majorBidi" w:cstheme="majorBidi"/>
          <w:b/>
          <w:bCs/>
          <w:sz w:val="28"/>
          <w:szCs w:val="28"/>
        </w:rPr>
      </w:pPr>
      <w:r w:rsidRPr="009B682A">
        <w:rPr>
          <w:rFonts w:asciiTheme="majorBidi" w:hAnsiTheme="majorBidi" w:cstheme="majorBidi"/>
          <w:b/>
          <w:bCs/>
          <w:sz w:val="28"/>
          <w:szCs w:val="28"/>
        </w:rPr>
        <w:lastRenderedPageBreak/>
        <w:t>Results and Discussion</w:t>
      </w:r>
    </w:p>
    <w:p w:rsidR="00D90A33" w:rsidRDefault="00D90A33" w:rsidP="00D90A33">
      <w:pPr>
        <w:bidi w:val="0"/>
        <w:spacing w:line="360" w:lineRule="auto"/>
        <w:rPr>
          <w:rFonts w:asciiTheme="majorBidi" w:hAnsiTheme="majorBidi" w:cstheme="majorBidi"/>
          <w:b/>
          <w:bCs/>
          <w:sz w:val="28"/>
          <w:szCs w:val="28"/>
        </w:rPr>
      </w:pPr>
      <w:r>
        <w:rPr>
          <w:rFonts w:asciiTheme="majorBidi" w:hAnsiTheme="majorBidi" w:cstheme="majorBidi"/>
          <w:b/>
          <w:bCs/>
          <w:sz w:val="28"/>
          <w:szCs w:val="28"/>
        </w:rPr>
        <w:t>Frequen</w:t>
      </w:r>
      <w:bookmarkStart w:id="0" w:name="_GoBack"/>
      <w:bookmarkEnd w:id="0"/>
      <w:r>
        <w:rPr>
          <w:rFonts w:asciiTheme="majorBidi" w:hAnsiTheme="majorBidi" w:cstheme="majorBidi"/>
          <w:b/>
          <w:bCs/>
          <w:sz w:val="28"/>
          <w:szCs w:val="28"/>
        </w:rPr>
        <w:t>cies</w:t>
      </w:r>
    </w:p>
    <w:p w:rsidR="00D90A33" w:rsidRPr="00D90A33" w:rsidRDefault="00D90A33" w:rsidP="00D90A33">
      <w:pPr>
        <w:autoSpaceDE w:val="0"/>
        <w:autoSpaceDN w:val="0"/>
        <w:bidi w:val="0"/>
        <w:adjustRightInd w:val="0"/>
        <w:spacing w:after="0" w:line="240" w:lineRule="auto"/>
        <w:rPr>
          <w:rFonts w:ascii="Times New Roman" w:hAnsi="Times New Roman" w:cs="Times New Roman"/>
          <w:sz w:val="24"/>
          <w:szCs w:val="24"/>
        </w:rPr>
      </w:pPr>
    </w:p>
    <w:tbl>
      <w:tblPr>
        <w:tblW w:w="3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9"/>
        <w:gridCol w:w="749"/>
        <w:gridCol w:w="968"/>
        <w:gridCol w:w="1218"/>
      </w:tblGrid>
      <w:tr w:rsidR="00D90A33" w:rsidRPr="00D90A33">
        <w:tblPrEx>
          <w:tblCellMar>
            <w:top w:w="0" w:type="dxa"/>
            <w:bottom w:w="0" w:type="dxa"/>
          </w:tblCellMar>
        </w:tblPrEx>
        <w:trPr>
          <w:cantSplit/>
        </w:trPr>
        <w:tc>
          <w:tcPr>
            <w:tcW w:w="3822" w:type="dxa"/>
            <w:gridSpan w:val="4"/>
            <w:tcBorders>
              <w:top w:val="nil"/>
              <w:left w:val="nil"/>
              <w:bottom w:val="nil"/>
              <w:right w:val="nil"/>
            </w:tcBorders>
            <w:shd w:val="clear" w:color="auto" w:fill="FFFFFF"/>
            <w:vAlign w:val="center"/>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010205"/>
              </w:rPr>
            </w:pPr>
            <w:r w:rsidRPr="00D90A33">
              <w:rPr>
                <w:rFonts w:ascii="Arial" w:hAnsi="Arial" w:cs="Arial"/>
                <w:b/>
                <w:bCs/>
                <w:color w:val="010205"/>
              </w:rPr>
              <w:t>Statistics</w:t>
            </w:r>
          </w:p>
        </w:tc>
      </w:tr>
      <w:tr w:rsidR="00D90A33" w:rsidRPr="00D90A33">
        <w:tblPrEx>
          <w:tblCellMar>
            <w:top w:w="0" w:type="dxa"/>
            <w:bottom w:w="0" w:type="dxa"/>
          </w:tblCellMar>
        </w:tblPrEx>
        <w:trPr>
          <w:cantSplit/>
        </w:trPr>
        <w:tc>
          <w:tcPr>
            <w:tcW w:w="3822" w:type="dxa"/>
            <w:gridSpan w:val="4"/>
            <w:tcBorders>
              <w:top w:val="nil"/>
              <w:left w:val="nil"/>
              <w:bottom w:val="nil"/>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rPr>
                <w:rFonts w:ascii="Times New Roman" w:hAnsi="Times New Roman" w:cs="Times New Roman"/>
                <w:sz w:val="24"/>
                <w:szCs w:val="24"/>
              </w:rPr>
            </w:pPr>
            <w:r w:rsidRPr="00D90A33">
              <w:rPr>
                <w:rFonts w:ascii="Arial" w:hAnsi="Arial" w:cs="Arial"/>
                <w:color w:val="010205"/>
                <w:sz w:val="18"/>
                <w:szCs w:val="18"/>
                <w:shd w:val="clear" w:color="auto" w:fill="FFFFFF"/>
              </w:rPr>
              <w:t xml:space="preserve">UO6hr  </w:t>
            </w:r>
          </w:p>
        </w:tc>
      </w:tr>
      <w:tr w:rsidR="00D90A33" w:rsidRPr="00D90A33">
        <w:tblPrEx>
          <w:tblCellMar>
            <w:top w:w="0" w:type="dxa"/>
            <w:bottom w:w="0" w:type="dxa"/>
          </w:tblCellMar>
        </w:tblPrEx>
        <w:trPr>
          <w:cantSplit/>
        </w:trPr>
        <w:tc>
          <w:tcPr>
            <w:tcW w:w="889" w:type="dxa"/>
            <w:vMerge w:val="restart"/>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male</w:t>
            </w:r>
          </w:p>
        </w:tc>
        <w:tc>
          <w:tcPr>
            <w:tcW w:w="749" w:type="dxa"/>
            <w:vMerge w:val="restart"/>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N</w:t>
            </w:r>
          </w:p>
        </w:tc>
        <w:tc>
          <w:tcPr>
            <w:tcW w:w="967" w:type="dxa"/>
            <w:tcBorders>
              <w:top w:val="nil"/>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Valid</w:t>
            </w:r>
          </w:p>
        </w:tc>
        <w:tc>
          <w:tcPr>
            <w:tcW w:w="1217" w:type="dxa"/>
            <w:tcBorders>
              <w:top w:val="nil"/>
              <w:left w:val="nil"/>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w:t>
            </w:r>
          </w:p>
        </w:tc>
      </w:tr>
      <w:tr w:rsidR="00D90A33" w:rsidRPr="00D90A33">
        <w:tblPrEx>
          <w:tblCellMar>
            <w:top w:w="0" w:type="dxa"/>
            <w:bottom w:w="0" w:type="dxa"/>
          </w:tblCellMar>
        </w:tblPrEx>
        <w:trPr>
          <w:cantSplit/>
        </w:trPr>
        <w:tc>
          <w:tcPr>
            <w:tcW w:w="88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4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967" w:type="dxa"/>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Missing</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0</w:t>
            </w:r>
          </w:p>
        </w:tc>
      </w:tr>
      <w:tr w:rsidR="00D90A33" w:rsidRPr="00D90A33">
        <w:tblPrEx>
          <w:tblCellMar>
            <w:top w:w="0" w:type="dxa"/>
            <w:bottom w:w="0" w:type="dxa"/>
          </w:tblCellMar>
        </w:tblPrEx>
        <w:trPr>
          <w:cantSplit/>
        </w:trPr>
        <w:tc>
          <w:tcPr>
            <w:tcW w:w="88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Mean</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468.0000</w:t>
            </w:r>
          </w:p>
        </w:tc>
      </w:tr>
      <w:tr w:rsidR="00D90A33" w:rsidRPr="00D90A33">
        <w:tblPrEx>
          <w:tblCellMar>
            <w:top w:w="0" w:type="dxa"/>
            <w:bottom w:w="0" w:type="dxa"/>
          </w:tblCellMar>
        </w:tblPrEx>
        <w:trPr>
          <w:cantSplit/>
        </w:trPr>
        <w:tc>
          <w:tcPr>
            <w:tcW w:w="88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Median</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475.2000</w:t>
            </w:r>
          </w:p>
        </w:tc>
      </w:tr>
      <w:tr w:rsidR="00D90A33" w:rsidRPr="00D90A33">
        <w:tblPrEx>
          <w:tblCellMar>
            <w:top w:w="0" w:type="dxa"/>
            <w:bottom w:w="0" w:type="dxa"/>
          </w:tblCellMar>
        </w:tblPrEx>
        <w:trPr>
          <w:cantSplit/>
        </w:trPr>
        <w:tc>
          <w:tcPr>
            <w:tcW w:w="88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Mode</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302.40</w:t>
            </w:r>
            <w:r w:rsidRPr="00D90A33">
              <w:rPr>
                <w:rFonts w:ascii="Arial" w:hAnsi="Arial" w:cs="Arial"/>
                <w:color w:val="010205"/>
                <w:sz w:val="18"/>
                <w:szCs w:val="18"/>
                <w:vertAlign w:val="superscript"/>
              </w:rPr>
              <w:t>a</w:t>
            </w:r>
          </w:p>
        </w:tc>
      </w:tr>
      <w:tr w:rsidR="00D90A33" w:rsidRPr="00D90A33">
        <w:tblPrEx>
          <w:tblCellMar>
            <w:top w:w="0" w:type="dxa"/>
            <w:bottom w:w="0" w:type="dxa"/>
          </w:tblCellMar>
        </w:tblPrEx>
        <w:trPr>
          <w:cantSplit/>
        </w:trPr>
        <w:tc>
          <w:tcPr>
            <w:tcW w:w="88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Std. Deviation</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114.02400</w:t>
            </w:r>
          </w:p>
        </w:tc>
      </w:tr>
      <w:tr w:rsidR="00D90A33" w:rsidRPr="00D90A33">
        <w:tblPrEx>
          <w:tblCellMar>
            <w:top w:w="0" w:type="dxa"/>
            <w:bottom w:w="0" w:type="dxa"/>
          </w:tblCellMar>
        </w:tblPrEx>
        <w:trPr>
          <w:cantSplit/>
        </w:trPr>
        <w:tc>
          <w:tcPr>
            <w:tcW w:w="889" w:type="dxa"/>
            <w:vMerge/>
            <w:tcBorders>
              <w:top w:val="nil"/>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Range</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302.40</w:t>
            </w:r>
          </w:p>
        </w:tc>
      </w:tr>
      <w:tr w:rsidR="00D90A33" w:rsidRPr="00D90A33">
        <w:tblPrEx>
          <w:tblCellMar>
            <w:top w:w="0" w:type="dxa"/>
            <w:bottom w:w="0" w:type="dxa"/>
          </w:tblCellMar>
        </w:tblPrEx>
        <w:trPr>
          <w:cantSplit/>
        </w:trPr>
        <w:tc>
          <w:tcPr>
            <w:tcW w:w="889" w:type="dxa"/>
            <w:vMerge w:val="restart"/>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female</w:t>
            </w:r>
          </w:p>
        </w:tc>
        <w:tc>
          <w:tcPr>
            <w:tcW w:w="749" w:type="dxa"/>
            <w:vMerge w:val="restart"/>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N</w:t>
            </w:r>
          </w:p>
        </w:tc>
        <w:tc>
          <w:tcPr>
            <w:tcW w:w="967"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Valid</w:t>
            </w:r>
          </w:p>
        </w:tc>
        <w:tc>
          <w:tcPr>
            <w:tcW w:w="1217" w:type="dxa"/>
            <w:tcBorders>
              <w:top w:val="single" w:sz="8" w:space="0" w:color="AEAEAE"/>
              <w:left w:val="nil"/>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w:t>
            </w:r>
          </w:p>
        </w:tc>
      </w:tr>
      <w:tr w:rsidR="00D90A33" w:rsidRPr="00D90A33">
        <w:tblPrEx>
          <w:tblCellMar>
            <w:top w:w="0" w:type="dxa"/>
            <w:bottom w:w="0" w:type="dxa"/>
          </w:tblCellMar>
        </w:tblPrEx>
        <w:trPr>
          <w:cantSplit/>
        </w:trPr>
        <w:tc>
          <w:tcPr>
            <w:tcW w:w="889"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49" w:type="dxa"/>
            <w:vMerge/>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967" w:type="dxa"/>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Missing</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0</w:t>
            </w:r>
          </w:p>
        </w:tc>
      </w:tr>
      <w:tr w:rsidR="00D90A33" w:rsidRPr="00D90A33">
        <w:tblPrEx>
          <w:tblCellMar>
            <w:top w:w="0" w:type="dxa"/>
            <w:bottom w:w="0" w:type="dxa"/>
          </w:tblCellMar>
        </w:tblPrEx>
        <w:trPr>
          <w:cantSplit/>
        </w:trPr>
        <w:tc>
          <w:tcPr>
            <w:tcW w:w="889"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Mean</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367.2000</w:t>
            </w:r>
          </w:p>
        </w:tc>
      </w:tr>
      <w:tr w:rsidR="00D90A33" w:rsidRPr="00D90A33">
        <w:tblPrEx>
          <w:tblCellMar>
            <w:top w:w="0" w:type="dxa"/>
            <w:bottom w:w="0" w:type="dxa"/>
          </w:tblCellMar>
        </w:tblPrEx>
        <w:trPr>
          <w:cantSplit/>
        </w:trPr>
        <w:tc>
          <w:tcPr>
            <w:tcW w:w="889"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Median</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367.2000</w:t>
            </w:r>
          </w:p>
        </w:tc>
      </w:tr>
      <w:tr w:rsidR="00D90A33" w:rsidRPr="00D90A33">
        <w:tblPrEx>
          <w:tblCellMar>
            <w:top w:w="0" w:type="dxa"/>
            <w:bottom w:w="0" w:type="dxa"/>
          </w:tblCellMar>
        </w:tblPrEx>
        <w:trPr>
          <w:cantSplit/>
        </w:trPr>
        <w:tc>
          <w:tcPr>
            <w:tcW w:w="889"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Mode</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216.00</w:t>
            </w:r>
            <w:r w:rsidRPr="00D90A33">
              <w:rPr>
                <w:rFonts w:ascii="Arial" w:hAnsi="Arial" w:cs="Arial"/>
                <w:color w:val="010205"/>
                <w:sz w:val="18"/>
                <w:szCs w:val="18"/>
                <w:vertAlign w:val="superscript"/>
              </w:rPr>
              <w:t>a</w:t>
            </w:r>
          </w:p>
        </w:tc>
      </w:tr>
      <w:tr w:rsidR="00D90A33" w:rsidRPr="00D90A33">
        <w:tblPrEx>
          <w:tblCellMar>
            <w:top w:w="0" w:type="dxa"/>
            <w:bottom w:w="0" w:type="dxa"/>
          </w:tblCellMar>
        </w:tblPrEx>
        <w:trPr>
          <w:cantSplit/>
        </w:trPr>
        <w:tc>
          <w:tcPr>
            <w:tcW w:w="889"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Std. Deviation</w:t>
            </w:r>
          </w:p>
        </w:tc>
        <w:tc>
          <w:tcPr>
            <w:tcW w:w="1217" w:type="dxa"/>
            <w:tcBorders>
              <w:top w:val="single" w:sz="8" w:space="0" w:color="AEAEAE"/>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104.93244</w:t>
            </w:r>
          </w:p>
        </w:tc>
      </w:tr>
      <w:tr w:rsidR="00D90A33" w:rsidRPr="00D90A33">
        <w:tblPrEx>
          <w:tblCellMar>
            <w:top w:w="0" w:type="dxa"/>
            <w:bottom w:w="0" w:type="dxa"/>
          </w:tblCellMar>
        </w:tblPrEx>
        <w:trPr>
          <w:cantSplit/>
        </w:trPr>
        <w:tc>
          <w:tcPr>
            <w:tcW w:w="889"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1716" w:type="dxa"/>
            <w:gridSpan w:val="2"/>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Range</w:t>
            </w:r>
          </w:p>
        </w:tc>
        <w:tc>
          <w:tcPr>
            <w:tcW w:w="1217" w:type="dxa"/>
            <w:tcBorders>
              <w:top w:val="single" w:sz="8" w:space="0" w:color="AEAEAE"/>
              <w:left w:val="nil"/>
              <w:bottom w:val="single" w:sz="8" w:space="0" w:color="152935"/>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302.40</w:t>
            </w:r>
          </w:p>
        </w:tc>
      </w:tr>
      <w:tr w:rsidR="00D90A33" w:rsidRPr="00D90A33">
        <w:tblPrEx>
          <w:tblCellMar>
            <w:top w:w="0" w:type="dxa"/>
            <w:bottom w:w="0" w:type="dxa"/>
          </w:tblCellMar>
        </w:tblPrEx>
        <w:trPr>
          <w:cantSplit/>
        </w:trPr>
        <w:tc>
          <w:tcPr>
            <w:tcW w:w="3822" w:type="dxa"/>
            <w:gridSpan w:val="4"/>
            <w:tcBorders>
              <w:top w:val="nil"/>
              <w:left w:val="nil"/>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rPr>
                <w:rFonts w:ascii="Arial" w:hAnsi="Arial" w:cs="Arial"/>
                <w:color w:val="010205"/>
                <w:sz w:val="18"/>
                <w:szCs w:val="18"/>
              </w:rPr>
            </w:pPr>
            <w:r w:rsidRPr="00D90A33">
              <w:rPr>
                <w:rFonts w:ascii="Arial" w:hAnsi="Arial" w:cs="Arial"/>
                <w:color w:val="010205"/>
                <w:sz w:val="18"/>
                <w:szCs w:val="18"/>
              </w:rPr>
              <w:t>a. Multiple modes exist. The smallest value is shown</w:t>
            </w:r>
          </w:p>
        </w:tc>
      </w:tr>
    </w:tbl>
    <w:p w:rsidR="00D90A33" w:rsidRPr="00D90A33" w:rsidRDefault="00D90A33" w:rsidP="00D90A33">
      <w:pPr>
        <w:autoSpaceDE w:val="0"/>
        <w:autoSpaceDN w:val="0"/>
        <w:bidi w:val="0"/>
        <w:adjustRightInd w:val="0"/>
        <w:spacing w:after="0" w:line="400" w:lineRule="atLeast"/>
        <w:rPr>
          <w:rFonts w:ascii="Times New Roman" w:hAnsi="Times New Roman" w:cs="Times New Roman"/>
          <w:sz w:val="24"/>
          <w:szCs w:val="24"/>
        </w:rPr>
      </w:pPr>
    </w:p>
    <w:p w:rsidR="00D90A33" w:rsidRPr="00D90A33" w:rsidRDefault="00D90A33" w:rsidP="00D90A33">
      <w:pPr>
        <w:autoSpaceDE w:val="0"/>
        <w:autoSpaceDN w:val="0"/>
        <w:bidi w:val="0"/>
        <w:adjustRightInd w:val="0"/>
        <w:spacing w:after="0" w:line="240" w:lineRule="auto"/>
        <w:rPr>
          <w:rFonts w:ascii="Times New Roman" w:hAnsi="Times New Roman" w:cs="Times New Roman"/>
          <w:sz w:val="24"/>
          <w:szCs w:val="24"/>
        </w:rPr>
      </w:pPr>
    </w:p>
    <w:tbl>
      <w:tblPr>
        <w:tblW w:w="75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1"/>
        <w:gridCol w:w="734"/>
        <w:gridCol w:w="871"/>
        <w:gridCol w:w="1163"/>
        <w:gridCol w:w="1025"/>
        <w:gridCol w:w="1393"/>
        <w:gridCol w:w="1469"/>
      </w:tblGrid>
      <w:tr w:rsidR="00D90A33" w:rsidRPr="00D90A33">
        <w:tblPrEx>
          <w:tblCellMar>
            <w:top w:w="0" w:type="dxa"/>
            <w:bottom w:w="0" w:type="dxa"/>
          </w:tblCellMar>
        </w:tblPrEx>
        <w:trPr>
          <w:cantSplit/>
        </w:trPr>
        <w:tc>
          <w:tcPr>
            <w:tcW w:w="7522" w:type="dxa"/>
            <w:gridSpan w:val="7"/>
            <w:tcBorders>
              <w:top w:val="nil"/>
              <w:left w:val="nil"/>
              <w:bottom w:val="nil"/>
              <w:right w:val="nil"/>
            </w:tcBorders>
            <w:shd w:val="clear" w:color="auto" w:fill="FFFFFF"/>
            <w:vAlign w:val="center"/>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010205"/>
              </w:rPr>
            </w:pPr>
            <w:r w:rsidRPr="00D90A33">
              <w:rPr>
                <w:rFonts w:ascii="Arial" w:hAnsi="Arial" w:cs="Arial"/>
                <w:b/>
                <w:bCs/>
                <w:color w:val="010205"/>
              </w:rPr>
              <w:t>UO6hr</w:t>
            </w:r>
          </w:p>
        </w:tc>
      </w:tr>
      <w:tr w:rsidR="00D90A33" w:rsidRPr="00D90A33">
        <w:tblPrEx>
          <w:tblCellMar>
            <w:top w:w="0" w:type="dxa"/>
            <w:bottom w:w="0" w:type="dxa"/>
          </w:tblCellMar>
        </w:tblPrEx>
        <w:trPr>
          <w:cantSplit/>
        </w:trPr>
        <w:tc>
          <w:tcPr>
            <w:tcW w:w="2476" w:type="dxa"/>
            <w:gridSpan w:val="3"/>
            <w:tcBorders>
              <w:top w:val="nil"/>
              <w:left w:val="nil"/>
              <w:bottom w:val="single" w:sz="8" w:space="0" w:color="152935"/>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gender</w:t>
            </w:r>
          </w:p>
        </w:tc>
        <w:tc>
          <w:tcPr>
            <w:tcW w:w="1162" w:type="dxa"/>
            <w:tcBorders>
              <w:top w:val="nil"/>
              <w:left w:val="nil"/>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Cumulative Percent</w:t>
            </w:r>
          </w:p>
        </w:tc>
      </w:tr>
      <w:tr w:rsidR="00D90A33" w:rsidRPr="00D90A33">
        <w:tblPrEx>
          <w:tblCellMar>
            <w:top w:w="0" w:type="dxa"/>
            <w:bottom w:w="0" w:type="dxa"/>
          </w:tblCellMar>
        </w:tblPrEx>
        <w:trPr>
          <w:cantSplit/>
        </w:trPr>
        <w:tc>
          <w:tcPr>
            <w:tcW w:w="871" w:type="dxa"/>
            <w:vMerge w:val="restart"/>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male</w:t>
            </w:r>
          </w:p>
        </w:tc>
        <w:tc>
          <w:tcPr>
            <w:tcW w:w="734" w:type="dxa"/>
            <w:vMerge w:val="restart"/>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Valid</w:t>
            </w:r>
          </w:p>
        </w:tc>
        <w:tc>
          <w:tcPr>
            <w:tcW w:w="871" w:type="dxa"/>
            <w:tcBorders>
              <w:top w:val="single" w:sz="8" w:space="0" w:color="152935"/>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302.40</w:t>
            </w:r>
          </w:p>
        </w:tc>
        <w:tc>
          <w:tcPr>
            <w:tcW w:w="1162" w:type="dxa"/>
            <w:tcBorders>
              <w:top w:val="single" w:sz="8" w:space="0" w:color="152935"/>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152935"/>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r>
      <w:tr w:rsidR="00D90A33" w:rsidRPr="00D90A33">
        <w:tblPrEx>
          <w:tblCellMar>
            <w:top w:w="0" w:type="dxa"/>
            <w:bottom w:w="0" w:type="dxa"/>
          </w:tblCellMar>
        </w:tblPrEx>
        <w:trPr>
          <w:cantSplit/>
        </w:trPr>
        <w:tc>
          <w:tcPr>
            <w:tcW w:w="871"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388.80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33.3</w:t>
            </w:r>
          </w:p>
        </w:tc>
      </w:tr>
      <w:tr w:rsidR="00D90A33" w:rsidRPr="00D90A33">
        <w:tblPrEx>
          <w:tblCellMar>
            <w:top w:w="0" w:type="dxa"/>
            <w:bottom w:w="0" w:type="dxa"/>
          </w:tblCellMar>
        </w:tblPrEx>
        <w:trPr>
          <w:cantSplit/>
        </w:trPr>
        <w:tc>
          <w:tcPr>
            <w:tcW w:w="871"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432.00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50.0</w:t>
            </w:r>
          </w:p>
        </w:tc>
      </w:tr>
      <w:tr w:rsidR="00D90A33" w:rsidRPr="00D90A33">
        <w:tblPrEx>
          <w:tblCellMar>
            <w:top w:w="0" w:type="dxa"/>
            <w:bottom w:w="0" w:type="dxa"/>
          </w:tblCellMar>
        </w:tblPrEx>
        <w:trPr>
          <w:cantSplit/>
        </w:trPr>
        <w:tc>
          <w:tcPr>
            <w:tcW w:w="871"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518.40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66.7</w:t>
            </w:r>
          </w:p>
        </w:tc>
      </w:tr>
      <w:tr w:rsidR="00D90A33" w:rsidRPr="00D90A33">
        <w:tblPrEx>
          <w:tblCellMar>
            <w:top w:w="0" w:type="dxa"/>
            <w:bottom w:w="0" w:type="dxa"/>
          </w:tblCellMar>
        </w:tblPrEx>
        <w:trPr>
          <w:cantSplit/>
        </w:trPr>
        <w:tc>
          <w:tcPr>
            <w:tcW w:w="871"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561.60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83.3</w:t>
            </w:r>
          </w:p>
        </w:tc>
      </w:tr>
      <w:tr w:rsidR="00D90A33" w:rsidRPr="00D90A33">
        <w:tblPrEx>
          <w:tblCellMar>
            <w:top w:w="0" w:type="dxa"/>
            <w:bottom w:w="0" w:type="dxa"/>
          </w:tblCellMar>
        </w:tblPrEx>
        <w:trPr>
          <w:cantSplit/>
        </w:trPr>
        <w:tc>
          <w:tcPr>
            <w:tcW w:w="871"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604.80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100.0</w:t>
            </w:r>
          </w:p>
        </w:tc>
      </w:tr>
      <w:tr w:rsidR="00D90A33" w:rsidRPr="00D90A33">
        <w:tblPrEx>
          <w:tblCellMar>
            <w:top w:w="0" w:type="dxa"/>
            <w:bottom w:w="0" w:type="dxa"/>
          </w:tblCellMar>
        </w:tblPrEx>
        <w:trPr>
          <w:cantSplit/>
        </w:trPr>
        <w:tc>
          <w:tcPr>
            <w:tcW w:w="871"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Total</w:t>
            </w:r>
          </w:p>
        </w:tc>
        <w:tc>
          <w:tcPr>
            <w:tcW w:w="1162" w:type="dxa"/>
            <w:tcBorders>
              <w:top w:val="single" w:sz="8" w:space="0" w:color="AEAEAE"/>
              <w:left w:val="nil"/>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w:t>
            </w:r>
          </w:p>
        </w:tc>
        <w:tc>
          <w:tcPr>
            <w:tcW w:w="1024" w:type="dxa"/>
            <w:tcBorders>
              <w:top w:val="single" w:sz="8" w:space="0" w:color="AEAEAE"/>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100.0</w:t>
            </w:r>
          </w:p>
        </w:tc>
        <w:tc>
          <w:tcPr>
            <w:tcW w:w="1392" w:type="dxa"/>
            <w:tcBorders>
              <w:top w:val="single" w:sz="8" w:space="0" w:color="AEAEAE"/>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100.0</w:t>
            </w:r>
          </w:p>
        </w:tc>
        <w:tc>
          <w:tcPr>
            <w:tcW w:w="1468" w:type="dxa"/>
            <w:tcBorders>
              <w:top w:val="single" w:sz="8" w:space="0" w:color="AEAEAE"/>
              <w:left w:val="single" w:sz="8" w:space="0" w:color="E0E0E0"/>
              <w:bottom w:val="nil"/>
              <w:right w:val="nil"/>
            </w:tcBorders>
            <w:shd w:val="clear" w:color="auto" w:fill="FFFFFF"/>
            <w:vAlign w:val="center"/>
          </w:tcPr>
          <w:p w:rsidR="00D90A33" w:rsidRPr="00D90A33" w:rsidRDefault="00D90A33" w:rsidP="00D90A33">
            <w:pPr>
              <w:autoSpaceDE w:val="0"/>
              <w:autoSpaceDN w:val="0"/>
              <w:bidi w:val="0"/>
              <w:adjustRightInd w:val="0"/>
              <w:spacing w:after="0" w:line="240" w:lineRule="auto"/>
              <w:rPr>
                <w:rFonts w:ascii="Times New Roman" w:hAnsi="Times New Roman" w:cs="Times New Roman"/>
                <w:sz w:val="24"/>
                <w:szCs w:val="24"/>
              </w:rPr>
            </w:pPr>
          </w:p>
        </w:tc>
      </w:tr>
      <w:tr w:rsidR="00D90A33" w:rsidRPr="00D90A33">
        <w:tblPrEx>
          <w:tblCellMar>
            <w:top w:w="0" w:type="dxa"/>
            <w:bottom w:w="0" w:type="dxa"/>
          </w:tblCellMar>
        </w:tblPrEx>
        <w:trPr>
          <w:cantSplit/>
        </w:trPr>
        <w:tc>
          <w:tcPr>
            <w:tcW w:w="871" w:type="dxa"/>
            <w:vMerge w:val="restart"/>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female</w:t>
            </w:r>
          </w:p>
        </w:tc>
        <w:tc>
          <w:tcPr>
            <w:tcW w:w="734" w:type="dxa"/>
            <w:vMerge w:val="restart"/>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Valid</w:t>
            </w: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216.00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r>
      <w:tr w:rsidR="00D90A33" w:rsidRPr="00D90A33">
        <w:tblPrEx>
          <w:tblCellMar>
            <w:top w:w="0" w:type="dxa"/>
            <w:bottom w:w="0" w:type="dxa"/>
          </w:tblCellMar>
        </w:tblPrEx>
        <w:trPr>
          <w:cantSplit/>
        </w:trPr>
        <w:tc>
          <w:tcPr>
            <w:tcW w:w="871"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302.40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33.3</w:t>
            </w:r>
          </w:p>
        </w:tc>
      </w:tr>
      <w:tr w:rsidR="00D90A33" w:rsidRPr="00D90A33">
        <w:tblPrEx>
          <w:tblCellMar>
            <w:top w:w="0" w:type="dxa"/>
            <w:bottom w:w="0" w:type="dxa"/>
          </w:tblCellMar>
        </w:tblPrEx>
        <w:trPr>
          <w:cantSplit/>
        </w:trPr>
        <w:tc>
          <w:tcPr>
            <w:tcW w:w="871"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345.60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50.0</w:t>
            </w:r>
          </w:p>
        </w:tc>
      </w:tr>
      <w:tr w:rsidR="00D90A33" w:rsidRPr="00D90A33">
        <w:tblPrEx>
          <w:tblCellMar>
            <w:top w:w="0" w:type="dxa"/>
            <w:bottom w:w="0" w:type="dxa"/>
          </w:tblCellMar>
        </w:tblPrEx>
        <w:trPr>
          <w:cantSplit/>
        </w:trPr>
        <w:tc>
          <w:tcPr>
            <w:tcW w:w="871"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388.80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66.7</w:t>
            </w:r>
          </w:p>
        </w:tc>
      </w:tr>
      <w:tr w:rsidR="00D90A33" w:rsidRPr="00D90A33">
        <w:tblPrEx>
          <w:tblCellMar>
            <w:top w:w="0" w:type="dxa"/>
            <w:bottom w:w="0" w:type="dxa"/>
          </w:tblCellMar>
        </w:tblPrEx>
        <w:trPr>
          <w:cantSplit/>
        </w:trPr>
        <w:tc>
          <w:tcPr>
            <w:tcW w:w="871"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432.00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83.3</w:t>
            </w:r>
          </w:p>
        </w:tc>
      </w:tr>
      <w:tr w:rsidR="00D90A33" w:rsidRPr="00D90A33">
        <w:tblPrEx>
          <w:tblCellMar>
            <w:top w:w="0" w:type="dxa"/>
            <w:bottom w:w="0" w:type="dxa"/>
          </w:tblCellMar>
        </w:tblPrEx>
        <w:trPr>
          <w:cantSplit/>
        </w:trPr>
        <w:tc>
          <w:tcPr>
            <w:tcW w:w="871"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AEAEAE"/>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518.40</w:t>
            </w:r>
          </w:p>
        </w:tc>
        <w:tc>
          <w:tcPr>
            <w:tcW w:w="1162" w:type="dxa"/>
            <w:tcBorders>
              <w:top w:val="single" w:sz="8" w:space="0" w:color="AEAEAE"/>
              <w:left w:val="nil"/>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16.7</w:t>
            </w:r>
          </w:p>
        </w:tc>
        <w:tc>
          <w:tcPr>
            <w:tcW w:w="1468" w:type="dxa"/>
            <w:tcBorders>
              <w:top w:val="single" w:sz="8" w:space="0" w:color="AEAEAE"/>
              <w:left w:val="single" w:sz="8" w:space="0" w:color="E0E0E0"/>
              <w:bottom w:val="single" w:sz="8" w:space="0" w:color="AEAEAE"/>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100.0</w:t>
            </w:r>
          </w:p>
        </w:tc>
      </w:tr>
      <w:tr w:rsidR="00D90A33" w:rsidRPr="00D90A33">
        <w:tblPrEx>
          <w:tblCellMar>
            <w:top w:w="0" w:type="dxa"/>
            <w:bottom w:w="0" w:type="dxa"/>
          </w:tblCellMar>
        </w:tblPrEx>
        <w:trPr>
          <w:cantSplit/>
        </w:trPr>
        <w:tc>
          <w:tcPr>
            <w:tcW w:w="871"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734" w:type="dxa"/>
            <w:vMerge/>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240" w:lineRule="auto"/>
              <w:rPr>
                <w:rFonts w:ascii="Arial" w:hAnsi="Arial" w:cs="Arial"/>
                <w:color w:val="010205"/>
                <w:sz w:val="18"/>
                <w:szCs w:val="18"/>
              </w:rPr>
            </w:pPr>
          </w:p>
        </w:tc>
        <w:tc>
          <w:tcPr>
            <w:tcW w:w="871" w:type="dxa"/>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D90A33" w:rsidRPr="00D90A33" w:rsidRDefault="00D90A33" w:rsidP="00D90A33">
            <w:pPr>
              <w:autoSpaceDE w:val="0"/>
              <w:autoSpaceDN w:val="0"/>
              <w:bidi w:val="0"/>
              <w:adjustRightInd w:val="0"/>
              <w:spacing w:after="0" w:line="240" w:lineRule="auto"/>
              <w:rPr>
                <w:rFonts w:ascii="Times New Roman" w:hAnsi="Times New Roman" w:cs="Times New Roman"/>
                <w:sz w:val="24"/>
                <w:szCs w:val="24"/>
              </w:rPr>
            </w:pPr>
          </w:p>
        </w:tc>
      </w:tr>
    </w:tbl>
    <w:p w:rsidR="00D90A33" w:rsidRPr="00D90A33" w:rsidRDefault="00D90A33" w:rsidP="00D90A33">
      <w:pPr>
        <w:autoSpaceDE w:val="0"/>
        <w:autoSpaceDN w:val="0"/>
        <w:bidi w:val="0"/>
        <w:adjustRightInd w:val="0"/>
        <w:spacing w:after="0" w:line="400" w:lineRule="atLeast"/>
        <w:rPr>
          <w:rFonts w:ascii="Times New Roman" w:hAnsi="Times New Roman" w:cs="Times New Roman"/>
          <w:sz w:val="24"/>
          <w:szCs w:val="24"/>
        </w:rPr>
      </w:pPr>
    </w:p>
    <w:p w:rsidR="00D90A33" w:rsidRDefault="00D90A33" w:rsidP="00D90A33">
      <w:pPr>
        <w:bidi w:val="0"/>
        <w:spacing w:line="360" w:lineRule="auto"/>
        <w:rPr>
          <w:rFonts w:asciiTheme="majorBidi" w:hAnsiTheme="majorBidi" w:cstheme="majorBidi"/>
          <w:b/>
          <w:bCs/>
          <w:sz w:val="28"/>
          <w:szCs w:val="28"/>
        </w:rPr>
      </w:pPr>
      <w:r>
        <w:rPr>
          <w:rFonts w:asciiTheme="majorBidi" w:hAnsiTheme="majorBidi" w:cstheme="majorBidi"/>
          <w:b/>
          <w:bCs/>
          <w:sz w:val="28"/>
          <w:szCs w:val="28"/>
        </w:rPr>
        <w:t>T-Test</w:t>
      </w:r>
    </w:p>
    <w:p w:rsidR="00D90A33" w:rsidRPr="00D90A33" w:rsidRDefault="00D90A33" w:rsidP="00D90A33">
      <w:pPr>
        <w:autoSpaceDE w:val="0"/>
        <w:autoSpaceDN w:val="0"/>
        <w:bidi w:val="0"/>
        <w:adjustRightInd w:val="0"/>
        <w:spacing w:after="0" w:line="240" w:lineRule="auto"/>
        <w:rPr>
          <w:rFonts w:ascii="Times New Roman" w:hAnsi="Times New Roman" w:cs="Times New Roman"/>
          <w:sz w:val="24"/>
          <w:szCs w:val="24"/>
        </w:rPr>
      </w:pPr>
    </w:p>
    <w:tbl>
      <w:tblPr>
        <w:tblW w:w="6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1"/>
        <w:gridCol w:w="841"/>
        <w:gridCol w:w="1025"/>
        <w:gridCol w:w="1086"/>
        <w:gridCol w:w="1438"/>
        <w:gridCol w:w="1469"/>
      </w:tblGrid>
      <w:tr w:rsidR="00D90A33" w:rsidRPr="00D90A33">
        <w:tblPrEx>
          <w:tblCellMar>
            <w:top w:w="0" w:type="dxa"/>
            <w:bottom w:w="0" w:type="dxa"/>
          </w:tblCellMar>
        </w:tblPrEx>
        <w:trPr>
          <w:cantSplit/>
        </w:trPr>
        <w:tc>
          <w:tcPr>
            <w:tcW w:w="6726" w:type="dxa"/>
            <w:gridSpan w:val="6"/>
            <w:tcBorders>
              <w:top w:val="nil"/>
              <w:left w:val="nil"/>
              <w:bottom w:val="nil"/>
              <w:right w:val="nil"/>
            </w:tcBorders>
            <w:shd w:val="clear" w:color="auto" w:fill="FFFFFF"/>
            <w:vAlign w:val="center"/>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010205"/>
              </w:rPr>
            </w:pPr>
            <w:r w:rsidRPr="00D90A33">
              <w:rPr>
                <w:rFonts w:ascii="Arial" w:hAnsi="Arial" w:cs="Arial"/>
                <w:b/>
                <w:bCs/>
                <w:color w:val="010205"/>
              </w:rPr>
              <w:t>One-Sample Statistics</w:t>
            </w:r>
          </w:p>
        </w:tc>
      </w:tr>
      <w:tr w:rsidR="00D90A33" w:rsidRPr="00D90A33">
        <w:tblPrEx>
          <w:tblCellMar>
            <w:top w:w="0" w:type="dxa"/>
            <w:bottom w:w="0" w:type="dxa"/>
          </w:tblCellMar>
        </w:tblPrEx>
        <w:trPr>
          <w:cantSplit/>
        </w:trPr>
        <w:tc>
          <w:tcPr>
            <w:tcW w:w="1712" w:type="dxa"/>
            <w:gridSpan w:val="2"/>
            <w:tcBorders>
              <w:top w:val="nil"/>
              <w:left w:val="nil"/>
              <w:bottom w:val="single" w:sz="8" w:space="0" w:color="152935"/>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gender</w:t>
            </w:r>
          </w:p>
        </w:tc>
        <w:tc>
          <w:tcPr>
            <w:tcW w:w="1024" w:type="dxa"/>
            <w:tcBorders>
              <w:top w:val="nil"/>
              <w:left w:val="nil"/>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N</w:t>
            </w:r>
          </w:p>
        </w:tc>
        <w:tc>
          <w:tcPr>
            <w:tcW w:w="1085" w:type="dxa"/>
            <w:tcBorders>
              <w:top w:val="nil"/>
              <w:left w:val="single" w:sz="8" w:space="0" w:color="E0E0E0"/>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Mean</w:t>
            </w:r>
          </w:p>
        </w:tc>
        <w:tc>
          <w:tcPr>
            <w:tcW w:w="1437" w:type="dxa"/>
            <w:tcBorders>
              <w:top w:val="nil"/>
              <w:left w:val="single" w:sz="8" w:space="0" w:color="E0E0E0"/>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Std. Error Mean</w:t>
            </w:r>
          </w:p>
        </w:tc>
      </w:tr>
      <w:tr w:rsidR="00D90A33" w:rsidRPr="00D90A33">
        <w:tblPrEx>
          <w:tblCellMar>
            <w:top w:w="0" w:type="dxa"/>
            <w:bottom w:w="0" w:type="dxa"/>
          </w:tblCellMar>
        </w:tblPrEx>
        <w:trPr>
          <w:cantSplit/>
        </w:trPr>
        <w:tc>
          <w:tcPr>
            <w:tcW w:w="871" w:type="dxa"/>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male</w:t>
            </w:r>
          </w:p>
        </w:tc>
        <w:tc>
          <w:tcPr>
            <w:tcW w:w="841" w:type="dxa"/>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UO6hr</w:t>
            </w:r>
          </w:p>
        </w:tc>
        <w:tc>
          <w:tcPr>
            <w:tcW w:w="1024" w:type="dxa"/>
            <w:tcBorders>
              <w:top w:val="single" w:sz="8" w:space="0" w:color="152935"/>
              <w:left w:val="nil"/>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w:t>
            </w:r>
          </w:p>
        </w:tc>
        <w:tc>
          <w:tcPr>
            <w:tcW w:w="1085" w:type="dxa"/>
            <w:tcBorders>
              <w:top w:val="single" w:sz="8" w:space="0" w:color="152935"/>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468.0000</w:t>
            </w:r>
          </w:p>
        </w:tc>
        <w:tc>
          <w:tcPr>
            <w:tcW w:w="1437" w:type="dxa"/>
            <w:tcBorders>
              <w:top w:val="single" w:sz="8" w:space="0" w:color="152935"/>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114.02400</w:t>
            </w:r>
          </w:p>
        </w:tc>
        <w:tc>
          <w:tcPr>
            <w:tcW w:w="1468" w:type="dxa"/>
            <w:tcBorders>
              <w:top w:val="single" w:sz="8" w:space="0" w:color="152935"/>
              <w:left w:val="single" w:sz="8" w:space="0" w:color="E0E0E0"/>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46.55010</w:t>
            </w:r>
          </w:p>
        </w:tc>
      </w:tr>
      <w:tr w:rsidR="00D90A33" w:rsidRPr="00D90A33">
        <w:tblPrEx>
          <w:tblCellMar>
            <w:top w:w="0" w:type="dxa"/>
            <w:bottom w:w="0" w:type="dxa"/>
          </w:tblCellMar>
        </w:tblPrEx>
        <w:trPr>
          <w:cantSplit/>
        </w:trPr>
        <w:tc>
          <w:tcPr>
            <w:tcW w:w="871" w:type="dxa"/>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female</w:t>
            </w:r>
          </w:p>
        </w:tc>
        <w:tc>
          <w:tcPr>
            <w:tcW w:w="841" w:type="dxa"/>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UO6hr</w:t>
            </w:r>
          </w:p>
        </w:tc>
        <w:tc>
          <w:tcPr>
            <w:tcW w:w="1024" w:type="dxa"/>
            <w:tcBorders>
              <w:top w:val="single" w:sz="8" w:space="0" w:color="AEAEAE"/>
              <w:left w:val="nil"/>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6</w:t>
            </w:r>
          </w:p>
        </w:tc>
        <w:tc>
          <w:tcPr>
            <w:tcW w:w="1085"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367.2000</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104.93244</w:t>
            </w:r>
          </w:p>
        </w:tc>
        <w:tc>
          <w:tcPr>
            <w:tcW w:w="1468" w:type="dxa"/>
            <w:tcBorders>
              <w:top w:val="single" w:sz="8" w:space="0" w:color="AEAEAE"/>
              <w:left w:val="single" w:sz="8" w:space="0" w:color="E0E0E0"/>
              <w:bottom w:val="single" w:sz="8" w:space="0" w:color="152935"/>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42.83849</w:t>
            </w:r>
          </w:p>
        </w:tc>
      </w:tr>
    </w:tbl>
    <w:p w:rsidR="00D90A33" w:rsidRPr="00D90A33" w:rsidRDefault="00D90A33" w:rsidP="00D90A33">
      <w:pPr>
        <w:autoSpaceDE w:val="0"/>
        <w:autoSpaceDN w:val="0"/>
        <w:bidi w:val="0"/>
        <w:adjustRightInd w:val="0"/>
        <w:spacing w:after="0" w:line="400" w:lineRule="atLeast"/>
        <w:rPr>
          <w:rFonts w:ascii="Times New Roman" w:hAnsi="Times New Roman" w:cs="Times New Roman"/>
          <w:sz w:val="24"/>
          <w:szCs w:val="24"/>
        </w:rPr>
      </w:pPr>
    </w:p>
    <w:p w:rsidR="00D90A33" w:rsidRPr="00D90A33" w:rsidRDefault="00D90A33" w:rsidP="00D90A33">
      <w:pPr>
        <w:autoSpaceDE w:val="0"/>
        <w:autoSpaceDN w:val="0"/>
        <w:bidi w:val="0"/>
        <w:adjustRightInd w:val="0"/>
        <w:spacing w:after="0" w:line="240" w:lineRule="auto"/>
        <w:rPr>
          <w:rFonts w:ascii="Times New Roman" w:hAnsi="Times New Roman" w:cs="Times New Roman"/>
          <w:sz w:val="24"/>
          <w:szCs w:val="24"/>
        </w:rPr>
      </w:pPr>
    </w:p>
    <w:tbl>
      <w:tblPr>
        <w:tblW w:w="9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6"/>
        <w:gridCol w:w="846"/>
        <w:gridCol w:w="1032"/>
        <w:gridCol w:w="1032"/>
        <w:gridCol w:w="1417"/>
        <w:gridCol w:w="1479"/>
        <w:gridCol w:w="1479"/>
        <w:gridCol w:w="1479"/>
      </w:tblGrid>
      <w:tr w:rsidR="00D90A33" w:rsidRPr="00D90A33">
        <w:tblPrEx>
          <w:tblCellMar>
            <w:top w:w="0" w:type="dxa"/>
            <w:bottom w:w="0" w:type="dxa"/>
          </w:tblCellMar>
        </w:tblPrEx>
        <w:trPr>
          <w:cantSplit/>
        </w:trPr>
        <w:tc>
          <w:tcPr>
            <w:tcW w:w="9635" w:type="dxa"/>
            <w:gridSpan w:val="8"/>
            <w:tcBorders>
              <w:top w:val="nil"/>
              <w:left w:val="nil"/>
              <w:bottom w:val="nil"/>
              <w:right w:val="nil"/>
            </w:tcBorders>
            <w:shd w:val="clear" w:color="auto" w:fill="FFFFFF"/>
            <w:vAlign w:val="center"/>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010205"/>
              </w:rPr>
            </w:pPr>
            <w:r w:rsidRPr="00D90A33">
              <w:rPr>
                <w:rFonts w:ascii="Arial" w:hAnsi="Arial" w:cs="Arial"/>
                <w:b/>
                <w:bCs/>
                <w:color w:val="010205"/>
              </w:rPr>
              <w:t>One-Sample Test</w:t>
            </w:r>
          </w:p>
        </w:tc>
      </w:tr>
      <w:tr w:rsidR="00D90A33" w:rsidRPr="00D90A33">
        <w:tblPrEx>
          <w:tblCellMar>
            <w:top w:w="0" w:type="dxa"/>
            <w:bottom w:w="0" w:type="dxa"/>
          </w:tblCellMar>
        </w:tblPrEx>
        <w:trPr>
          <w:cantSplit/>
        </w:trPr>
        <w:tc>
          <w:tcPr>
            <w:tcW w:w="1723" w:type="dxa"/>
            <w:gridSpan w:val="2"/>
            <w:vMerge w:val="restart"/>
            <w:tcBorders>
              <w:top w:val="nil"/>
              <w:left w:val="nil"/>
              <w:bottom w:val="nil"/>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gender</w:t>
            </w:r>
          </w:p>
        </w:tc>
        <w:tc>
          <w:tcPr>
            <w:tcW w:w="7912" w:type="dxa"/>
            <w:gridSpan w:val="6"/>
            <w:tcBorders>
              <w:top w:val="nil"/>
              <w:left w:val="nil"/>
              <w:bottom w:val="nil"/>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Test Value = 0</w:t>
            </w:r>
          </w:p>
        </w:tc>
      </w:tr>
      <w:tr w:rsidR="00D90A33" w:rsidRPr="00D90A33">
        <w:tblPrEx>
          <w:tblCellMar>
            <w:top w:w="0" w:type="dxa"/>
            <w:bottom w:w="0" w:type="dxa"/>
          </w:tblCellMar>
        </w:tblPrEx>
        <w:trPr>
          <w:cantSplit/>
        </w:trPr>
        <w:tc>
          <w:tcPr>
            <w:tcW w:w="1723" w:type="dxa"/>
            <w:gridSpan w:val="2"/>
            <w:vMerge/>
            <w:tcBorders>
              <w:top w:val="nil"/>
              <w:left w:val="nil"/>
              <w:bottom w:val="nil"/>
              <w:right w:val="nil"/>
            </w:tcBorders>
            <w:shd w:val="clear" w:color="auto" w:fill="FFFFFF"/>
            <w:vAlign w:val="bottom"/>
          </w:tcPr>
          <w:p w:rsidR="00D90A33" w:rsidRPr="00D90A33" w:rsidRDefault="00D90A33" w:rsidP="00D90A33">
            <w:pPr>
              <w:autoSpaceDE w:val="0"/>
              <w:autoSpaceDN w:val="0"/>
              <w:bidi w:val="0"/>
              <w:adjustRightInd w:val="0"/>
              <w:spacing w:after="0" w:line="240" w:lineRule="auto"/>
              <w:rPr>
                <w:rFonts w:ascii="Arial" w:hAnsi="Arial" w:cs="Arial"/>
                <w:color w:val="264A60"/>
                <w:sz w:val="18"/>
                <w:szCs w:val="18"/>
              </w:rPr>
            </w:pPr>
          </w:p>
        </w:tc>
        <w:tc>
          <w:tcPr>
            <w:tcW w:w="1031" w:type="dxa"/>
            <w:vMerge w:val="restart"/>
            <w:tcBorders>
              <w:top w:val="nil"/>
              <w:left w:val="nil"/>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t</w:t>
            </w:r>
          </w:p>
        </w:tc>
        <w:tc>
          <w:tcPr>
            <w:tcW w:w="1031" w:type="dxa"/>
            <w:vMerge w:val="restart"/>
            <w:tcBorders>
              <w:top w:val="nil"/>
              <w:left w:val="single" w:sz="8" w:space="0" w:color="E0E0E0"/>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proofErr w:type="spellStart"/>
            <w:r w:rsidRPr="00D90A33">
              <w:rPr>
                <w:rFonts w:ascii="Arial" w:hAnsi="Arial" w:cs="Arial"/>
                <w:color w:val="264A60"/>
                <w:sz w:val="18"/>
                <w:szCs w:val="18"/>
              </w:rPr>
              <w:t>df</w:t>
            </w:r>
            <w:proofErr w:type="spellEnd"/>
          </w:p>
        </w:tc>
        <w:tc>
          <w:tcPr>
            <w:tcW w:w="1416" w:type="dxa"/>
            <w:vMerge w:val="restart"/>
            <w:tcBorders>
              <w:top w:val="nil"/>
              <w:left w:val="single" w:sz="8" w:space="0" w:color="E0E0E0"/>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Sig. (2-tailed)</w:t>
            </w:r>
          </w:p>
        </w:tc>
        <w:tc>
          <w:tcPr>
            <w:tcW w:w="1478" w:type="dxa"/>
            <w:vMerge w:val="restart"/>
            <w:tcBorders>
              <w:top w:val="nil"/>
              <w:left w:val="single" w:sz="8" w:space="0" w:color="E0E0E0"/>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Mean Difference</w:t>
            </w:r>
          </w:p>
        </w:tc>
        <w:tc>
          <w:tcPr>
            <w:tcW w:w="2956" w:type="dxa"/>
            <w:gridSpan w:val="2"/>
            <w:tcBorders>
              <w:top w:val="nil"/>
              <w:left w:val="single" w:sz="8" w:space="0" w:color="E0E0E0"/>
              <w:bottom w:val="nil"/>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95% Confidence Interval of the Difference</w:t>
            </w:r>
          </w:p>
        </w:tc>
      </w:tr>
      <w:tr w:rsidR="00D90A33" w:rsidRPr="00D90A33">
        <w:tblPrEx>
          <w:tblCellMar>
            <w:top w:w="0" w:type="dxa"/>
            <w:bottom w:w="0" w:type="dxa"/>
          </w:tblCellMar>
        </w:tblPrEx>
        <w:trPr>
          <w:cantSplit/>
        </w:trPr>
        <w:tc>
          <w:tcPr>
            <w:tcW w:w="1723" w:type="dxa"/>
            <w:gridSpan w:val="2"/>
            <w:vMerge/>
            <w:tcBorders>
              <w:top w:val="nil"/>
              <w:left w:val="nil"/>
              <w:bottom w:val="nil"/>
              <w:right w:val="nil"/>
            </w:tcBorders>
            <w:shd w:val="clear" w:color="auto" w:fill="FFFFFF"/>
            <w:vAlign w:val="bottom"/>
          </w:tcPr>
          <w:p w:rsidR="00D90A33" w:rsidRPr="00D90A33" w:rsidRDefault="00D90A33" w:rsidP="00D90A33">
            <w:pPr>
              <w:autoSpaceDE w:val="0"/>
              <w:autoSpaceDN w:val="0"/>
              <w:bidi w:val="0"/>
              <w:adjustRightInd w:val="0"/>
              <w:spacing w:after="0" w:line="240" w:lineRule="auto"/>
              <w:rPr>
                <w:rFonts w:ascii="Arial" w:hAnsi="Arial" w:cs="Arial"/>
                <w:color w:val="264A60"/>
                <w:sz w:val="18"/>
                <w:szCs w:val="18"/>
              </w:rPr>
            </w:pPr>
          </w:p>
        </w:tc>
        <w:tc>
          <w:tcPr>
            <w:tcW w:w="1031" w:type="dxa"/>
            <w:vMerge/>
            <w:tcBorders>
              <w:top w:val="nil"/>
              <w:left w:val="nil"/>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240" w:lineRule="auto"/>
              <w:rPr>
                <w:rFonts w:ascii="Arial" w:hAnsi="Arial" w:cs="Arial"/>
                <w:color w:val="264A60"/>
                <w:sz w:val="18"/>
                <w:szCs w:val="18"/>
              </w:rPr>
            </w:pPr>
          </w:p>
        </w:tc>
        <w:tc>
          <w:tcPr>
            <w:tcW w:w="1031" w:type="dxa"/>
            <w:vMerge/>
            <w:tcBorders>
              <w:top w:val="nil"/>
              <w:left w:val="single" w:sz="8" w:space="0" w:color="E0E0E0"/>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240" w:lineRule="auto"/>
              <w:rPr>
                <w:rFonts w:ascii="Arial" w:hAnsi="Arial" w:cs="Arial"/>
                <w:color w:val="264A60"/>
                <w:sz w:val="18"/>
                <w:szCs w:val="18"/>
              </w:rPr>
            </w:pPr>
          </w:p>
        </w:tc>
        <w:tc>
          <w:tcPr>
            <w:tcW w:w="1416" w:type="dxa"/>
            <w:vMerge/>
            <w:tcBorders>
              <w:top w:val="nil"/>
              <w:left w:val="single" w:sz="8" w:space="0" w:color="E0E0E0"/>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240" w:lineRule="auto"/>
              <w:rPr>
                <w:rFonts w:ascii="Arial" w:hAnsi="Arial" w:cs="Arial"/>
                <w:color w:val="264A60"/>
                <w:sz w:val="18"/>
                <w:szCs w:val="18"/>
              </w:rPr>
            </w:pPr>
          </w:p>
        </w:tc>
        <w:tc>
          <w:tcPr>
            <w:tcW w:w="1478" w:type="dxa"/>
            <w:vMerge/>
            <w:tcBorders>
              <w:top w:val="nil"/>
              <w:left w:val="single" w:sz="8" w:space="0" w:color="E0E0E0"/>
              <w:bottom w:val="nil"/>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240" w:lineRule="auto"/>
              <w:rPr>
                <w:rFonts w:ascii="Arial" w:hAnsi="Arial" w:cs="Arial"/>
                <w:color w:val="264A60"/>
                <w:sz w:val="18"/>
                <w:szCs w:val="18"/>
              </w:rPr>
            </w:pPr>
          </w:p>
        </w:tc>
        <w:tc>
          <w:tcPr>
            <w:tcW w:w="1478" w:type="dxa"/>
            <w:tcBorders>
              <w:top w:val="nil"/>
              <w:left w:val="single" w:sz="8" w:space="0" w:color="E0E0E0"/>
              <w:bottom w:val="single" w:sz="8" w:space="0" w:color="152935"/>
              <w:right w:val="single" w:sz="8" w:space="0" w:color="E0E0E0"/>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Lower</w:t>
            </w:r>
          </w:p>
        </w:tc>
        <w:tc>
          <w:tcPr>
            <w:tcW w:w="1478" w:type="dxa"/>
            <w:tcBorders>
              <w:top w:val="nil"/>
              <w:left w:val="single" w:sz="8" w:space="0" w:color="E0E0E0"/>
              <w:bottom w:val="single" w:sz="8" w:space="0" w:color="152935"/>
              <w:right w:val="nil"/>
            </w:tcBorders>
            <w:shd w:val="clear" w:color="auto" w:fill="FFFFFF"/>
            <w:vAlign w:val="bottom"/>
          </w:tcPr>
          <w:p w:rsidR="00D90A33" w:rsidRPr="00D90A33" w:rsidRDefault="00D90A33" w:rsidP="00D90A33">
            <w:pPr>
              <w:autoSpaceDE w:val="0"/>
              <w:autoSpaceDN w:val="0"/>
              <w:bidi w:val="0"/>
              <w:adjustRightInd w:val="0"/>
              <w:spacing w:after="0" w:line="320" w:lineRule="atLeast"/>
              <w:ind w:left="60" w:right="60"/>
              <w:jc w:val="center"/>
              <w:rPr>
                <w:rFonts w:ascii="Arial" w:hAnsi="Arial" w:cs="Arial"/>
                <w:color w:val="264A60"/>
                <w:sz w:val="18"/>
                <w:szCs w:val="18"/>
              </w:rPr>
            </w:pPr>
            <w:r w:rsidRPr="00D90A33">
              <w:rPr>
                <w:rFonts w:ascii="Arial" w:hAnsi="Arial" w:cs="Arial"/>
                <w:color w:val="264A60"/>
                <w:sz w:val="18"/>
                <w:szCs w:val="18"/>
              </w:rPr>
              <w:t>Upper</w:t>
            </w:r>
          </w:p>
        </w:tc>
      </w:tr>
      <w:tr w:rsidR="00D90A33" w:rsidRPr="00D90A33">
        <w:tblPrEx>
          <w:tblCellMar>
            <w:top w:w="0" w:type="dxa"/>
            <w:bottom w:w="0" w:type="dxa"/>
          </w:tblCellMar>
        </w:tblPrEx>
        <w:trPr>
          <w:cantSplit/>
        </w:trPr>
        <w:tc>
          <w:tcPr>
            <w:tcW w:w="877" w:type="dxa"/>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male</w:t>
            </w:r>
          </w:p>
        </w:tc>
        <w:tc>
          <w:tcPr>
            <w:tcW w:w="846" w:type="dxa"/>
            <w:tcBorders>
              <w:top w:val="single" w:sz="8" w:space="0" w:color="152935"/>
              <w:left w:val="nil"/>
              <w:bottom w:val="nil"/>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UO6hr</w:t>
            </w:r>
          </w:p>
        </w:tc>
        <w:tc>
          <w:tcPr>
            <w:tcW w:w="1031" w:type="dxa"/>
            <w:tcBorders>
              <w:top w:val="single" w:sz="8" w:space="0" w:color="152935"/>
              <w:left w:val="nil"/>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10.054</w:t>
            </w:r>
          </w:p>
        </w:tc>
        <w:tc>
          <w:tcPr>
            <w:tcW w:w="1031" w:type="dxa"/>
            <w:tcBorders>
              <w:top w:val="single" w:sz="8" w:space="0" w:color="152935"/>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5</w:t>
            </w:r>
          </w:p>
        </w:tc>
        <w:tc>
          <w:tcPr>
            <w:tcW w:w="1416" w:type="dxa"/>
            <w:tcBorders>
              <w:top w:val="single" w:sz="8" w:space="0" w:color="152935"/>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.000</w:t>
            </w:r>
          </w:p>
        </w:tc>
        <w:tc>
          <w:tcPr>
            <w:tcW w:w="1478" w:type="dxa"/>
            <w:tcBorders>
              <w:top w:val="single" w:sz="8" w:space="0" w:color="152935"/>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468.00000</w:t>
            </w:r>
          </w:p>
        </w:tc>
        <w:tc>
          <w:tcPr>
            <w:tcW w:w="1478" w:type="dxa"/>
            <w:tcBorders>
              <w:top w:val="single" w:sz="8" w:space="0" w:color="152935"/>
              <w:left w:val="single" w:sz="8" w:space="0" w:color="E0E0E0"/>
              <w:bottom w:val="nil"/>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348.3392</w:t>
            </w:r>
          </w:p>
        </w:tc>
        <w:tc>
          <w:tcPr>
            <w:tcW w:w="1478" w:type="dxa"/>
            <w:tcBorders>
              <w:top w:val="single" w:sz="8" w:space="0" w:color="152935"/>
              <w:left w:val="single" w:sz="8" w:space="0" w:color="E0E0E0"/>
              <w:bottom w:val="nil"/>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587.6608</w:t>
            </w:r>
          </w:p>
        </w:tc>
      </w:tr>
      <w:tr w:rsidR="00D90A33" w:rsidRPr="00D90A33">
        <w:tblPrEx>
          <w:tblCellMar>
            <w:top w:w="0" w:type="dxa"/>
            <w:bottom w:w="0" w:type="dxa"/>
          </w:tblCellMar>
        </w:tblPrEx>
        <w:trPr>
          <w:cantSplit/>
        </w:trPr>
        <w:tc>
          <w:tcPr>
            <w:tcW w:w="877" w:type="dxa"/>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female</w:t>
            </w:r>
          </w:p>
        </w:tc>
        <w:tc>
          <w:tcPr>
            <w:tcW w:w="846" w:type="dxa"/>
            <w:tcBorders>
              <w:top w:val="single" w:sz="8" w:space="0" w:color="AEAEAE"/>
              <w:left w:val="nil"/>
              <w:bottom w:val="single" w:sz="8" w:space="0" w:color="152935"/>
              <w:right w:val="nil"/>
            </w:tcBorders>
            <w:shd w:val="clear" w:color="auto" w:fill="E0E0E0"/>
          </w:tcPr>
          <w:p w:rsidR="00D90A33" w:rsidRPr="00D90A33" w:rsidRDefault="00D90A33" w:rsidP="00D90A33">
            <w:pPr>
              <w:autoSpaceDE w:val="0"/>
              <w:autoSpaceDN w:val="0"/>
              <w:bidi w:val="0"/>
              <w:adjustRightInd w:val="0"/>
              <w:spacing w:after="0" w:line="320" w:lineRule="atLeast"/>
              <w:ind w:left="60" w:right="60"/>
              <w:rPr>
                <w:rFonts w:ascii="Arial" w:hAnsi="Arial" w:cs="Arial"/>
                <w:color w:val="264A60"/>
                <w:sz w:val="18"/>
                <w:szCs w:val="18"/>
              </w:rPr>
            </w:pPr>
            <w:r w:rsidRPr="00D90A33">
              <w:rPr>
                <w:rFonts w:ascii="Arial" w:hAnsi="Arial" w:cs="Arial"/>
                <w:color w:val="264A60"/>
                <w:sz w:val="18"/>
                <w:szCs w:val="18"/>
              </w:rPr>
              <w:t>UO6hr</w:t>
            </w:r>
          </w:p>
        </w:tc>
        <w:tc>
          <w:tcPr>
            <w:tcW w:w="1031" w:type="dxa"/>
            <w:tcBorders>
              <w:top w:val="single" w:sz="8" w:space="0" w:color="AEAEAE"/>
              <w:left w:val="nil"/>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8.572</w:t>
            </w:r>
          </w:p>
        </w:tc>
        <w:tc>
          <w:tcPr>
            <w:tcW w:w="1031"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5</w:t>
            </w:r>
          </w:p>
        </w:tc>
        <w:tc>
          <w:tcPr>
            <w:tcW w:w="1416"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.000</w:t>
            </w:r>
          </w:p>
        </w:tc>
        <w:tc>
          <w:tcPr>
            <w:tcW w:w="1478"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367.20000</w:t>
            </w:r>
          </w:p>
        </w:tc>
        <w:tc>
          <w:tcPr>
            <w:tcW w:w="1478" w:type="dxa"/>
            <w:tcBorders>
              <w:top w:val="single" w:sz="8" w:space="0" w:color="AEAEAE"/>
              <w:left w:val="single" w:sz="8" w:space="0" w:color="E0E0E0"/>
              <w:bottom w:val="single" w:sz="8" w:space="0" w:color="152935"/>
              <w:right w:val="single" w:sz="8" w:space="0" w:color="E0E0E0"/>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257.0802</w:t>
            </w:r>
          </w:p>
        </w:tc>
        <w:tc>
          <w:tcPr>
            <w:tcW w:w="1478" w:type="dxa"/>
            <w:tcBorders>
              <w:top w:val="single" w:sz="8" w:space="0" w:color="AEAEAE"/>
              <w:left w:val="single" w:sz="8" w:space="0" w:color="E0E0E0"/>
              <w:bottom w:val="single" w:sz="8" w:space="0" w:color="152935"/>
              <w:right w:val="nil"/>
            </w:tcBorders>
            <w:shd w:val="clear" w:color="auto" w:fill="FFFFFF"/>
          </w:tcPr>
          <w:p w:rsidR="00D90A33" w:rsidRPr="00D90A33" w:rsidRDefault="00D90A33" w:rsidP="00D90A33">
            <w:pPr>
              <w:autoSpaceDE w:val="0"/>
              <w:autoSpaceDN w:val="0"/>
              <w:bidi w:val="0"/>
              <w:adjustRightInd w:val="0"/>
              <w:spacing w:after="0" w:line="320" w:lineRule="atLeast"/>
              <w:ind w:left="60" w:right="60"/>
              <w:jc w:val="right"/>
              <w:rPr>
                <w:rFonts w:ascii="Arial" w:hAnsi="Arial" w:cs="Arial"/>
                <w:color w:val="010205"/>
                <w:sz w:val="18"/>
                <w:szCs w:val="18"/>
              </w:rPr>
            </w:pPr>
            <w:r w:rsidRPr="00D90A33">
              <w:rPr>
                <w:rFonts w:ascii="Arial" w:hAnsi="Arial" w:cs="Arial"/>
                <w:color w:val="010205"/>
                <w:sz w:val="18"/>
                <w:szCs w:val="18"/>
              </w:rPr>
              <w:t>477.3198</w:t>
            </w:r>
          </w:p>
        </w:tc>
      </w:tr>
    </w:tbl>
    <w:p w:rsidR="00D90A33" w:rsidRPr="00D90A33" w:rsidRDefault="00D90A33" w:rsidP="00D90A33">
      <w:pPr>
        <w:autoSpaceDE w:val="0"/>
        <w:autoSpaceDN w:val="0"/>
        <w:bidi w:val="0"/>
        <w:adjustRightInd w:val="0"/>
        <w:spacing w:after="0" w:line="400" w:lineRule="atLeast"/>
        <w:rPr>
          <w:rFonts w:ascii="Times New Roman" w:hAnsi="Times New Roman" w:cs="Times New Roman"/>
          <w:sz w:val="24"/>
          <w:szCs w:val="24"/>
        </w:rPr>
      </w:pPr>
    </w:p>
    <w:p w:rsidR="000B6955" w:rsidRDefault="000B6955" w:rsidP="000B6955">
      <w:pPr>
        <w:bidi w:val="0"/>
        <w:spacing w:line="360" w:lineRule="auto"/>
        <w:rPr>
          <w:rFonts w:asciiTheme="majorBidi" w:hAnsiTheme="majorBidi" w:cstheme="majorBidi"/>
          <w:b/>
          <w:bCs/>
          <w:sz w:val="28"/>
          <w:szCs w:val="28"/>
        </w:rPr>
      </w:pPr>
    </w:p>
    <w:p w:rsidR="000B6955" w:rsidRPr="000B6955" w:rsidRDefault="000B6955" w:rsidP="000B6955">
      <w:pPr>
        <w:rPr>
          <w:rFonts w:ascii="Times New Roman" w:hAnsi="Times New Roman" w:cs="Times New Roman"/>
          <w:sz w:val="24"/>
          <w:szCs w:val="24"/>
        </w:rPr>
      </w:pPr>
      <w:r>
        <w:rPr>
          <w:rFonts w:asciiTheme="majorBidi" w:hAnsiTheme="majorBidi" w:cstheme="majorBidi"/>
          <w:b/>
          <w:bCs/>
          <w:sz w:val="28"/>
          <w:szCs w:val="28"/>
        </w:rPr>
        <w:tab/>
      </w:r>
    </w:p>
    <w:tbl>
      <w:tblPr>
        <w:tblW w:w="67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2"/>
        <w:gridCol w:w="933"/>
        <w:gridCol w:w="1024"/>
        <w:gridCol w:w="1086"/>
        <w:gridCol w:w="1438"/>
        <w:gridCol w:w="1469"/>
      </w:tblGrid>
      <w:tr w:rsidR="000B6955" w:rsidRPr="000B6955">
        <w:tblPrEx>
          <w:tblCellMar>
            <w:top w:w="0" w:type="dxa"/>
            <w:bottom w:w="0" w:type="dxa"/>
          </w:tblCellMar>
        </w:tblPrEx>
        <w:trPr>
          <w:cantSplit/>
        </w:trPr>
        <w:tc>
          <w:tcPr>
            <w:tcW w:w="6789" w:type="dxa"/>
            <w:gridSpan w:val="6"/>
            <w:tcBorders>
              <w:top w:val="nil"/>
              <w:left w:val="nil"/>
              <w:bottom w:val="nil"/>
              <w:right w:val="nil"/>
            </w:tcBorders>
            <w:shd w:val="clear" w:color="auto" w:fill="FFFFFF"/>
            <w:vAlign w:val="center"/>
          </w:tcPr>
          <w:p w:rsidR="000B6955" w:rsidRPr="000B6955" w:rsidRDefault="000B6955" w:rsidP="000B6955">
            <w:pPr>
              <w:autoSpaceDE w:val="0"/>
              <w:autoSpaceDN w:val="0"/>
              <w:bidi w:val="0"/>
              <w:adjustRightInd w:val="0"/>
              <w:spacing w:after="0" w:line="320" w:lineRule="atLeast"/>
              <w:ind w:left="60" w:right="60"/>
              <w:jc w:val="center"/>
              <w:rPr>
                <w:rFonts w:ascii="Arial" w:hAnsi="Arial" w:cs="Arial"/>
                <w:color w:val="010205"/>
              </w:rPr>
            </w:pPr>
            <w:r w:rsidRPr="000B6955">
              <w:rPr>
                <w:rFonts w:ascii="Arial" w:hAnsi="Arial" w:cs="Arial"/>
                <w:b/>
                <w:bCs/>
                <w:color w:val="010205"/>
              </w:rPr>
              <w:t>Group Statistics</w:t>
            </w:r>
          </w:p>
        </w:tc>
      </w:tr>
      <w:tr w:rsidR="000B6955" w:rsidRPr="000B6955">
        <w:tblPrEx>
          <w:tblCellMar>
            <w:top w:w="0" w:type="dxa"/>
            <w:bottom w:w="0" w:type="dxa"/>
          </w:tblCellMar>
        </w:tblPrEx>
        <w:trPr>
          <w:cantSplit/>
        </w:trPr>
        <w:tc>
          <w:tcPr>
            <w:tcW w:w="841" w:type="dxa"/>
          </w:tcPr>
          <w:p w:rsidR="000B6955" w:rsidRPr="000B6955" w:rsidRDefault="000B6955" w:rsidP="000B6955">
            <w:pPr>
              <w:autoSpaceDE w:val="0"/>
              <w:autoSpaceDN w:val="0"/>
              <w:bidi w:val="0"/>
              <w:adjustRightInd w:val="0"/>
              <w:spacing w:after="0" w:line="240" w:lineRule="auto"/>
              <w:rPr>
                <w:rFonts w:ascii="Arial" w:hAnsi="Arial" w:cs="Arial"/>
                <w:color w:val="010205"/>
              </w:rPr>
            </w:pPr>
          </w:p>
        </w:tc>
        <w:tc>
          <w:tcPr>
            <w:tcW w:w="933" w:type="dxa"/>
            <w:tcBorders>
              <w:top w:val="nil"/>
              <w:left w:val="nil"/>
              <w:bottom w:val="single" w:sz="8" w:space="0" w:color="152935"/>
              <w:right w:val="nil"/>
            </w:tcBorders>
            <w:shd w:val="clear" w:color="auto" w:fill="FFFFFF"/>
            <w:vAlign w:val="bottom"/>
          </w:tcPr>
          <w:p w:rsidR="000B6955" w:rsidRPr="000B6955" w:rsidRDefault="000B6955" w:rsidP="000B6955">
            <w:pPr>
              <w:autoSpaceDE w:val="0"/>
              <w:autoSpaceDN w:val="0"/>
              <w:bidi w:val="0"/>
              <w:adjustRightInd w:val="0"/>
              <w:spacing w:after="0" w:line="320" w:lineRule="atLeast"/>
              <w:ind w:left="60" w:right="60"/>
              <w:rPr>
                <w:rFonts w:ascii="Arial" w:hAnsi="Arial" w:cs="Arial"/>
                <w:color w:val="264A60"/>
                <w:sz w:val="18"/>
                <w:szCs w:val="18"/>
              </w:rPr>
            </w:pPr>
            <w:r w:rsidRPr="000B6955">
              <w:rPr>
                <w:rFonts w:ascii="Arial" w:hAnsi="Arial" w:cs="Arial"/>
                <w:color w:val="264A60"/>
                <w:sz w:val="18"/>
                <w:szCs w:val="18"/>
              </w:rPr>
              <w:t>Gender</w:t>
            </w:r>
          </w:p>
        </w:tc>
        <w:tc>
          <w:tcPr>
            <w:tcW w:w="1024" w:type="dxa"/>
            <w:tcBorders>
              <w:top w:val="nil"/>
              <w:left w:val="nil"/>
              <w:bottom w:val="single" w:sz="8" w:space="0" w:color="152935"/>
              <w:right w:val="single" w:sz="8" w:space="0" w:color="E0E0E0"/>
            </w:tcBorders>
            <w:shd w:val="clear" w:color="auto" w:fill="FFFFFF"/>
            <w:vAlign w:val="bottom"/>
          </w:tcPr>
          <w:p w:rsidR="000B6955" w:rsidRPr="000B6955" w:rsidRDefault="000B6955" w:rsidP="000B6955">
            <w:pPr>
              <w:autoSpaceDE w:val="0"/>
              <w:autoSpaceDN w:val="0"/>
              <w:bidi w:val="0"/>
              <w:adjustRightInd w:val="0"/>
              <w:spacing w:after="0" w:line="320" w:lineRule="atLeast"/>
              <w:ind w:left="60" w:right="60"/>
              <w:jc w:val="center"/>
              <w:rPr>
                <w:rFonts w:ascii="Arial" w:hAnsi="Arial" w:cs="Arial"/>
                <w:color w:val="264A60"/>
                <w:sz w:val="18"/>
                <w:szCs w:val="18"/>
              </w:rPr>
            </w:pPr>
            <w:r w:rsidRPr="000B6955">
              <w:rPr>
                <w:rFonts w:ascii="Arial" w:hAnsi="Arial" w:cs="Arial"/>
                <w:color w:val="264A60"/>
                <w:sz w:val="18"/>
                <w:szCs w:val="18"/>
              </w:rPr>
              <w:t>N</w:t>
            </w:r>
          </w:p>
        </w:tc>
        <w:tc>
          <w:tcPr>
            <w:tcW w:w="1086" w:type="dxa"/>
            <w:tcBorders>
              <w:top w:val="nil"/>
              <w:left w:val="single" w:sz="8" w:space="0" w:color="E0E0E0"/>
              <w:bottom w:val="single" w:sz="8" w:space="0" w:color="152935"/>
              <w:right w:val="single" w:sz="8" w:space="0" w:color="E0E0E0"/>
            </w:tcBorders>
            <w:shd w:val="clear" w:color="auto" w:fill="FFFFFF"/>
            <w:vAlign w:val="bottom"/>
          </w:tcPr>
          <w:p w:rsidR="000B6955" w:rsidRPr="000B6955" w:rsidRDefault="000B6955" w:rsidP="000B6955">
            <w:pPr>
              <w:autoSpaceDE w:val="0"/>
              <w:autoSpaceDN w:val="0"/>
              <w:bidi w:val="0"/>
              <w:adjustRightInd w:val="0"/>
              <w:spacing w:after="0" w:line="320" w:lineRule="atLeast"/>
              <w:ind w:left="60" w:right="60"/>
              <w:jc w:val="center"/>
              <w:rPr>
                <w:rFonts w:ascii="Arial" w:hAnsi="Arial" w:cs="Arial"/>
                <w:color w:val="264A60"/>
                <w:sz w:val="18"/>
                <w:szCs w:val="18"/>
              </w:rPr>
            </w:pPr>
            <w:r w:rsidRPr="000B6955">
              <w:rPr>
                <w:rFonts w:ascii="Arial" w:hAnsi="Arial" w:cs="Arial"/>
                <w:color w:val="264A60"/>
                <w:sz w:val="18"/>
                <w:szCs w:val="18"/>
              </w:rPr>
              <w:t>Mean</w:t>
            </w:r>
          </w:p>
        </w:tc>
        <w:tc>
          <w:tcPr>
            <w:tcW w:w="1437" w:type="dxa"/>
            <w:tcBorders>
              <w:top w:val="nil"/>
              <w:left w:val="single" w:sz="8" w:space="0" w:color="E0E0E0"/>
              <w:bottom w:val="single" w:sz="8" w:space="0" w:color="152935"/>
              <w:right w:val="single" w:sz="8" w:space="0" w:color="E0E0E0"/>
            </w:tcBorders>
            <w:shd w:val="clear" w:color="auto" w:fill="FFFFFF"/>
            <w:vAlign w:val="bottom"/>
          </w:tcPr>
          <w:p w:rsidR="000B6955" w:rsidRPr="000B6955" w:rsidRDefault="000B6955" w:rsidP="000B6955">
            <w:pPr>
              <w:autoSpaceDE w:val="0"/>
              <w:autoSpaceDN w:val="0"/>
              <w:bidi w:val="0"/>
              <w:adjustRightInd w:val="0"/>
              <w:spacing w:after="0" w:line="320" w:lineRule="atLeast"/>
              <w:ind w:left="60" w:right="60"/>
              <w:jc w:val="center"/>
              <w:rPr>
                <w:rFonts w:ascii="Arial" w:hAnsi="Arial" w:cs="Arial"/>
                <w:color w:val="264A60"/>
                <w:sz w:val="18"/>
                <w:szCs w:val="18"/>
              </w:rPr>
            </w:pPr>
            <w:r w:rsidRPr="000B6955">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rsidR="000B6955" w:rsidRPr="000B6955" w:rsidRDefault="000B6955" w:rsidP="000B6955">
            <w:pPr>
              <w:autoSpaceDE w:val="0"/>
              <w:autoSpaceDN w:val="0"/>
              <w:bidi w:val="0"/>
              <w:adjustRightInd w:val="0"/>
              <w:spacing w:after="0" w:line="320" w:lineRule="atLeast"/>
              <w:ind w:left="60" w:right="60"/>
              <w:jc w:val="center"/>
              <w:rPr>
                <w:rFonts w:ascii="Arial" w:hAnsi="Arial" w:cs="Arial"/>
                <w:color w:val="264A60"/>
                <w:sz w:val="18"/>
                <w:szCs w:val="18"/>
              </w:rPr>
            </w:pPr>
            <w:r w:rsidRPr="000B6955">
              <w:rPr>
                <w:rFonts w:ascii="Arial" w:hAnsi="Arial" w:cs="Arial"/>
                <w:color w:val="264A60"/>
                <w:sz w:val="18"/>
                <w:szCs w:val="18"/>
              </w:rPr>
              <w:t>Std. Error Mean</w:t>
            </w:r>
          </w:p>
        </w:tc>
      </w:tr>
      <w:tr w:rsidR="000B6955" w:rsidRPr="000B6955">
        <w:tblPrEx>
          <w:tblCellMar>
            <w:top w:w="0" w:type="dxa"/>
            <w:bottom w:w="0" w:type="dxa"/>
          </w:tblCellMar>
        </w:tblPrEx>
        <w:trPr>
          <w:cantSplit/>
        </w:trPr>
        <w:tc>
          <w:tcPr>
            <w:tcW w:w="841" w:type="dxa"/>
            <w:vMerge w:val="restart"/>
            <w:tcBorders>
              <w:top w:val="single" w:sz="8" w:space="0" w:color="152935"/>
              <w:left w:val="nil"/>
              <w:bottom w:val="single" w:sz="8" w:space="0" w:color="152935"/>
              <w:right w:val="nil"/>
            </w:tcBorders>
            <w:shd w:val="clear" w:color="auto" w:fill="E0E0E0"/>
          </w:tcPr>
          <w:p w:rsidR="000B6955" w:rsidRPr="000B6955" w:rsidRDefault="000B6955" w:rsidP="000B6955">
            <w:pPr>
              <w:autoSpaceDE w:val="0"/>
              <w:autoSpaceDN w:val="0"/>
              <w:bidi w:val="0"/>
              <w:adjustRightInd w:val="0"/>
              <w:spacing w:after="0" w:line="320" w:lineRule="atLeast"/>
              <w:ind w:left="60" w:right="60"/>
              <w:rPr>
                <w:rFonts w:ascii="Arial" w:hAnsi="Arial" w:cs="Arial"/>
                <w:color w:val="264A60"/>
                <w:sz w:val="18"/>
                <w:szCs w:val="18"/>
              </w:rPr>
            </w:pPr>
            <w:r w:rsidRPr="000B6955">
              <w:rPr>
                <w:rFonts w:ascii="Arial" w:hAnsi="Arial" w:cs="Arial"/>
                <w:color w:val="264A60"/>
                <w:sz w:val="18"/>
                <w:szCs w:val="18"/>
              </w:rPr>
              <w:t>UO6hr</w:t>
            </w:r>
          </w:p>
        </w:tc>
        <w:tc>
          <w:tcPr>
            <w:tcW w:w="933" w:type="dxa"/>
            <w:tcBorders>
              <w:top w:val="single" w:sz="8" w:space="0" w:color="152935"/>
              <w:left w:val="nil"/>
              <w:bottom w:val="single" w:sz="8" w:space="0" w:color="AEAEAE"/>
              <w:right w:val="nil"/>
            </w:tcBorders>
            <w:shd w:val="clear" w:color="auto" w:fill="E0E0E0"/>
          </w:tcPr>
          <w:p w:rsidR="000B6955" w:rsidRPr="000B6955" w:rsidRDefault="000B6955" w:rsidP="000B6955">
            <w:pPr>
              <w:autoSpaceDE w:val="0"/>
              <w:autoSpaceDN w:val="0"/>
              <w:bidi w:val="0"/>
              <w:adjustRightInd w:val="0"/>
              <w:spacing w:after="0" w:line="320" w:lineRule="atLeast"/>
              <w:ind w:left="60" w:right="60"/>
              <w:rPr>
                <w:rFonts w:ascii="Arial" w:hAnsi="Arial" w:cs="Arial"/>
                <w:color w:val="264A60"/>
                <w:sz w:val="18"/>
                <w:szCs w:val="18"/>
              </w:rPr>
            </w:pPr>
            <w:r w:rsidRPr="000B6955">
              <w:rPr>
                <w:rFonts w:ascii="Arial" w:hAnsi="Arial" w:cs="Arial"/>
                <w:color w:val="264A60"/>
                <w:sz w:val="18"/>
                <w:szCs w:val="18"/>
              </w:rPr>
              <w:t>Female</w:t>
            </w:r>
          </w:p>
        </w:tc>
        <w:tc>
          <w:tcPr>
            <w:tcW w:w="1024" w:type="dxa"/>
            <w:tcBorders>
              <w:top w:val="single" w:sz="8" w:space="0" w:color="152935"/>
              <w:left w:val="nil"/>
              <w:bottom w:val="single" w:sz="8" w:space="0" w:color="AEAEAE"/>
              <w:right w:val="single" w:sz="8" w:space="0" w:color="E0E0E0"/>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6</w:t>
            </w:r>
          </w:p>
        </w:tc>
        <w:tc>
          <w:tcPr>
            <w:tcW w:w="1086" w:type="dxa"/>
            <w:tcBorders>
              <w:top w:val="single" w:sz="8" w:space="0" w:color="152935"/>
              <w:left w:val="single" w:sz="8" w:space="0" w:color="E0E0E0"/>
              <w:bottom w:val="single" w:sz="8" w:space="0" w:color="AEAEAE"/>
              <w:right w:val="single" w:sz="8" w:space="0" w:color="E0E0E0"/>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367.2000</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104.93244</w:t>
            </w:r>
          </w:p>
        </w:tc>
        <w:tc>
          <w:tcPr>
            <w:tcW w:w="1468" w:type="dxa"/>
            <w:tcBorders>
              <w:top w:val="single" w:sz="8" w:space="0" w:color="152935"/>
              <w:left w:val="single" w:sz="8" w:space="0" w:color="E0E0E0"/>
              <w:bottom w:val="single" w:sz="8" w:space="0" w:color="AEAEAE"/>
              <w:right w:val="nil"/>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42.83849</w:t>
            </w:r>
          </w:p>
        </w:tc>
      </w:tr>
      <w:tr w:rsidR="000B6955" w:rsidRPr="000B6955">
        <w:tblPrEx>
          <w:tblCellMar>
            <w:top w:w="0" w:type="dxa"/>
            <w:bottom w:w="0" w:type="dxa"/>
          </w:tblCellMar>
        </w:tblPrEx>
        <w:trPr>
          <w:cantSplit/>
        </w:trPr>
        <w:tc>
          <w:tcPr>
            <w:tcW w:w="841" w:type="dxa"/>
            <w:vMerge/>
            <w:tcBorders>
              <w:top w:val="single" w:sz="8" w:space="0" w:color="152935"/>
              <w:left w:val="nil"/>
              <w:bottom w:val="single" w:sz="8" w:space="0" w:color="152935"/>
              <w:right w:val="nil"/>
            </w:tcBorders>
            <w:shd w:val="clear" w:color="auto" w:fill="E0E0E0"/>
          </w:tcPr>
          <w:p w:rsidR="000B6955" w:rsidRPr="000B6955" w:rsidRDefault="000B6955" w:rsidP="000B6955">
            <w:pPr>
              <w:autoSpaceDE w:val="0"/>
              <w:autoSpaceDN w:val="0"/>
              <w:bidi w:val="0"/>
              <w:adjustRightInd w:val="0"/>
              <w:spacing w:after="0" w:line="240" w:lineRule="auto"/>
              <w:rPr>
                <w:rFonts w:ascii="Arial" w:hAnsi="Arial" w:cs="Arial"/>
                <w:color w:val="010205"/>
                <w:sz w:val="18"/>
                <w:szCs w:val="18"/>
              </w:rPr>
            </w:pPr>
          </w:p>
        </w:tc>
        <w:tc>
          <w:tcPr>
            <w:tcW w:w="933" w:type="dxa"/>
            <w:tcBorders>
              <w:top w:val="single" w:sz="8" w:space="0" w:color="AEAEAE"/>
              <w:left w:val="nil"/>
              <w:bottom w:val="single" w:sz="8" w:space="0" w:color="152935"/>
              <w:right w:val="nil"/>
            </w:tcBorders>
            <w:shd w:val="clear" w:color="auto" w:fill="E0E0E0"/>
          </w:tcPr>
          <w:p w:rsidR="000B6955" w:rsidRPr="000B6955" w:rsidRDefault="000B6955" w:rsidP="000B6955">
            <w:pPr>
              <w:autoSpaceDE w:val="0"/>
              <w:autoSpaceDN w:val="0"/>
              <w:bidi w:val="0"/>
              <w:adjustRightInd w:val="0"/>
              <w:spacing w:after="0" w:line="320" w:lineRule="atLeast"/>
              <w:ind w:left="60" w:right="60"/>
              <w:rPr>
                <w:rFonts w:ascii="Arial" w:hAnsi="Arial" w:cs="Arial"/>
                <w:color w:val="264A60"/>
                <w:sz w:val="18"/>
                <w:szCs w:val="18"/>
              </w:rPr>
            </w:pPr>
            <w:r w:rsidRPr="000B6955">
              <w:rPr>
                <w:rFonts w:ascii="Arial" w:hAnsi="Arial" w:cs="Arial"/>
                <w:color w:val="264A60"/>
                <w:sz w:val="18"/>
                <w:szCs w:val="18"/>
              </w:rPr>
              <w:t>Male</w:t>
            </w:r>
          </w:p>
        </w:tc>
        <w:tc>
          <w:tcPr>
            <w:tcW w:w="1024" w:type="dxa"/>
            <w:tcBorders>
              <w:top w:val="single" w:sz="8" w:space="0" w:color="AEAEAE"/>
              <w:left w:val="nil"/>
              <w:bottom w:val="single" w:sz="8" w:space="0" w:color="152935"/>
              <w:right w:val="single" w:sz="8" w:space="0" w:color="E0E0E0"/>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6</w:t>
            </w:r>
          </w:p>
        </w:tc>
        <w:tc>
          <w:tcPr>
            <w:tcW w:w="1086" w:type="dxa"/>
            <w:tcBorders>
              <w:top w:val="single" w:sz="8" w:space="0" w:color="AEAEAE"/>
              <w:left w:val="single" w:sz="8" w:space="0" w:color="E0E0E0"/>
              <w:bottom w:val="single" w:sz="8" w:space="0" w:color="152935"/>
              <w:right w:val="single" w:sz="8" w:space="0" w:color="E0E0E0"/>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468.0000</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114.02400</w:t>
            </w:r>
          </w:p>
        </w:tc>
        <w:tc>
          <w:tcPr>
            <w:tcW w:w="1468" w:type="dxa"/>
            <w:tcBorders>
              <w:top w:val="single" w:sz="8" w:space="0" w:color="AEAEAE"/>
              <w:left w:val="single" w:sz="8" w:space="0" w:color="E0E0E0"/>
              <w:bottom w:val="single" w:sz="8" w:space="0" w:color="152935"/>
              <w:right w:val="nil"/>
            </w:tcBorders>
            <w:shd w:val="clear" w:color="auto" w:fill="FFFFFF"/>
          </w:tcPr>
          <w:p w:rsidR="000B6955" w:rsidRPr="000B6955" w:rsidRDefault="000B6955" w:rsidP="000B6955">
            <w:pPr>
              <w:autoSpaceDE w:val="0"/>
              <w:autoSpaceDN w:val="0"/>
              <w:bidi w:val="0"/>
              <w:adjustRightInd w:val="0"/>
              <w:spacing w:after="0" w:line="320" w:lineRule="atLeast"/>
              <w:ind w:left="60" w:right="60"/>
              <w:jc w:val="right"/>
              <w:rPr>
                <w:rFonts w:ascii="Arial" w:hAnsi="Arial" w:cs="Arial"/>
                <w:color w:val="010205"/>
                <w:sz w:val="18"/>
                <w:szCs w:val="18"/>
              </w:rPr>
            </w:pPr>
            <w:r w:rsidRPr="000B6955">
              <w:rPr>
                <w:rFonts w:ascii="Arial" w:hAnsi="Arial" w:cs="Arial"/>
                <w:color w:val="010205"/>
                <w:sz w:val="18"/>
                <w:szCs w:val="18"/>
              </w:rPr>
              <w:t>46.55010</w:t>
            </w:r>
          </w:p>
        </w:tc>
      </w:tr>
    </w:tbl>
    <w:p w:rsidR="000B6955" w:rsidRDefault="000B6955" w:rsidP="000B6955">
      <w:pPr>
        <w:autoSpaceDE w:val="0"/>
        <w:autoSpaceDN w:val="0"/>
        <w:bidi w:val="0"/>
        <w:adjustRightInd w:val="0"/>
        <w:spacing w:after="0" w:line="400" w:lineRule="atLeast"/>
        <w:rPr>
          <w:rFonts w:ascii="Times New Roman" w:hAnsi="Times New Roman" w:cs="Times New Roman"/>
          <w:b/>
          <w:bCs/>
          <w:sz w:val="28"/>
          <w:szCs w:val="28"/>
        </w:rPr>
      </w:pPr>
    </w:p>
    <w:p w:rsidR="000B6955" w:rsidRPr="000B6955" w:rsidRDefault="000B6955" w:rsidP="000B6955">
      <w:pPr>
        <w:autoSpaceDE w:val="0"/>
        <w:autoSpaceDN w:val="0"/>
        <w:bidi w:val="0"/>
        <w:adjustRightInd w:val="0"/>
        <w:spacing w:after="0" w:line="400" w:lineRule="atLeast"/>
        <w:rPr>
          <w:rFonts w:ascii="Times New Roman" w:hAnsi="Times New Roman" w:cs="Times New Roman"/>
          <w:b/>
          <w:bCs/>
          <w:sz w:val="28"/>
          <w:szCs w:val="28"/>
        </w:rPr>
      </w:pPr>
    </w:p>
    <w:p w:rsidR="00B66F44" w:rsidRDefault="00B66F44" w:rsidP="00B66F44">
      <w:pPr>
        <w:autoSpaceDE w:val="0"/>
        <w:autoSpaceDN w:val="0"/>
        <w:bidi w:val="0"/>
        <w:adjustRightInd w:val="0"/>
        <w:spacing w:after="0" w:line="240" w:lineRule="auto"/>
        <w:rPr>
          <w:rFonts w:ascii="Times New Roman" w:hAnsi="Times New Roman" w:cs="Times New Roman"/>
          <w:noProof/>
          <w:sz w:val="24"/>
          <w:szCs w:val="24"/>
        </w:rPr>
      </w:pPr>
    </w:p>
    <w:p w:rsidR="000B6955" w:rsidRDefault="000B6955" w:rsidP="000B6955">
      <w:pPr>
        <w:autoSpaceDE w:val="0"/>
        <w:autoSpaceDN w:val="0"/>
        <w:bidi w:val="0"/>
        <w:adjustRightInd w:val="0"/>
        <w:spacing w:after="0" w:line="240" w:lineRule="auto"/>
        <w:rPr>
          <w:rFonts w:ascii="Times New Roman" w:hAnsi="Times New Roman" w:cs="Times New Roman"/>
          <w:noProof/>
          <w:sz w:val="24"/>
          <w:szCs w:val="24"/>
        </w:rPr>
      </w:pPr>
    </w:p>
    <w:p w:rsidR="000B6955" w:rsidRDefault="000B6955" w:rsidP="000B6955">
      <w:pPr>
        <w:autoSpaceDE w:val="0"/>
        <w:autoSpaceDN w:val="0"/>
        <w:bidi w:val="0"/>
        <w:adjustRightInd w:val="0"/>
        <w:spacing w:after="0" w:line="240" w:lineRule="auto"/>
        <w:rPr>
          <w:rFonts w:ascii="Times New Roman" w:hAnsi="Times New Roman" w:cs="Times New Roman"/>
          <w:noProof/>
          <w:sz w:val="24"/>
          <w:szCs w:val="24"/>
        </w:rPr>
      </w:pPr>
    </w:p>
    <w:p w:rsidR="009B682A" w:rsidRPr="000750C2" w:rsidRDefault="000750C2" w:rsidP="000B6955">
      <w:pPr>
        <w:autoSpaceDE w:val="0"/>
        <w:autoSpaceDN w:val="0"/>
        <w:bidi w:val="0"/>
        <w:adjustRightInd w:val="0"/>
        <w:spacing w:after="0" w:line="360" w:lineRule="auto"/>
        <w:rPr>
          <w:rFonts w:asciiTheme="majorBidi" w:hAnsiTheme="majorBidi" w:cstheme="majorBidi"/>
          <w:color w:val="000000"/>
          <w:sz w:val="24"/>
          <w:szCs w:val="24"/>
        </w:rPr>
      </w:pPr>
      <w:r w:rsidRPr="000750C2">
        <w:rPr>
          <w:rFonts w:asciiTheme="majorBidi" w:hAnsiTheme="majorBidi" w:cstheme="majorBidi"/>
          <w:color w:val="000000"/>
          <w:sz w:val="24"/>
          <w:szCs w:val="24"/>
        </w:rPr>
        <w:t xml:space="preserve">So the results indicate that they are significant with the variables used in this case as the p value </w:t>
      </w:r>
      <w:r w:rsidR="00B66F44">
        <w:rPr>
          <w:rFonts w:asciiTheme="majorBidi" w:hAnsiTheme="majorBidi" w:cstheme="majorBidi"/>
          <w:color w:val="000000"/>
          <w:sz w:val="24"/>
          <w:szCs w:val="24"/>
        </w:rPr>
        <w:t xml:space="preserve">are all below </w:t>
      </w:r>
      <w:r w:rsidRPr="000750C2">
        <w:rPr>
          <w:rFonts w:asciiTheme="majorBidi" w:hAnsiTheme="majorBidi" w:cstheme="majorBidi"/>
          <w:color w:val="000000"/>
          <w:sz w:val="24"/>
          <w:szCs w:val="24"/>
        </w:rPr>
        <w:t>0.05 so we will reject the null hypothesis in our case.</w:t>
      </w:r>
      <w:r w:rsidR="00B66F44">
        <w:rPr>
          <w:rFonts w:asciiTheme="majorBidi" w:hAnsiTheme="majorBidi" w:cstheme="majorBidi"/>
          <w:color w:val="000000"/>
          <w:sz w:val="24"/>
          <w:szCs w:val="24"/>
        </w:rPr>
        <w:t xml:space="preserve"> So there is significance with using furosemide as a UTI medication. </w:t>
      </w:r>
    </w:p>
    <w:p w:rsidR="000750C2" w:rsidRPr="000750C2" w:rsidRDefault="000750C2" w:rsidP="000750C2">
      <w:pPr>
        <w:autoSpaceDE w:val="0"/>
        <w:autoSpaceDN w:val="0"/>
        <w:bidi w:val="0"/>
        <w:adjustRightInd w:val="0"/>
        <w:spacing w:after="0" w:line="360" w:lineRule="auto"/>
        <w:rPr>
          <w:rFonts w:asciiTheme="majorBidi" w:hAnsiTheme="majorBidi" w:cstheme="majorBidi"/>
          <w:color w:val="000000"/>
          <w:sz w:val="24"/>
          <w:szCs w:val="24"/>
        </w:rPr>
      </w:pPr>
      <w:r w:rsidRPr="000750C2">
        <w:rPr>
          <w:rFonts w:asciiTheme="majorBidi" w:hAnsiTheme="majorBidi" w:cstheme="majorBidi"/>
          <w:color w:val="000000"/>
          <w:sz w:val="24"/>
          <w:szCs w:val="24"/>
        </w:rPr>
        <w:t>There is also a formula that was is used to calculate the urine output (UO= (amount of urine/number of hours)/weight of the patient in kg</w:t>
      </w:r>
      <w:r>
        <w:rPr>
          <w:rFonts w:asciiTheme="majorBidi" w:hAnsiTheme="majorBidi" w:cstheme="majorBidi"/>
          <w:color w:val="000000"/>
          <w:sz w:val="24"/>
          <w:szCs w:val="24"/>
        </w:rPr>
        <w:t>)</w:t>
      </w:r>
      <w:r w:rsidRPr="000750C2">
        <w:rPr>
          <w:rFonts w:asciiTheme="majorBidi" w:hAnsiTheme="majorBidi" w:cstheme="majorBidi"/>
          <w:color w:val="000000"/>
          <w:sz w:val="24"/>
          <w:szCs w:val="24"/>
        </w:rPr>
        <w:t>.</w:t>
      </w:r>
    </w:p>
    <w:p w:rsidR="000750C2" w:rsidRDefault="000750C2" w:rsidP="000750C2">
      <w:pPr>
        <w:autoSpaceDE w:val="0"/>
        <w:autoSpaceDN w:val="0"/>
        <w:bidi w:val="0"/>
        <w:adjustRightInd w:val="0"/>
        <w:spacing w:after="0" w:line="360" w:lineRule="auto"/>
        <w:rPr>
          <w:rFonts w:asciiTheme="majorBidi" w:hAnsiTheme="majorBidi" w:cstheme="majorBidi"/>
          <w:color w:val="000000"/>
          <w:sz w:val="24"/>
          <w:szCs w:val="24"/>
        </w:rPr>
      </w:pPr>
      <w:r w:rsidRPr="000750C2">
        <w:rPr>
          <w:rFonts w:asciiTheme="majorBidi" w:hAnsiTheme="majorBidi" w:cstheme="majorBidi"/>
          <w:color w:val="000000"/>
          <w:sz w:val="24"/>
          <w:szCs w:val="24"/>
        </w:rPr>
        <w:t>After using this formula is being suggested that there was a significance between the urine output of both genders.</w:t>
      </w:r>
    </w:p>
    <w:p w:rsidR="000B6955" w:rsidRDefault="000B6955" w:rsidP="000B6955">
      <w:pPr>
        <w:autoSpaceDE w:val="0"/>
        <w:autoSpaceDN w:val="0"/>
        <w:bidi w:val="0"/>
        <w:adjustRightInd w:val="0"/>
        <w:spacing w:after="0" w:line="276" w:lineRule="auto"/>
        <w:rPr>
          <w:rFonts w:asciiTheme="majorBidi" w:hAnsiTheme="majorBidi" w:cstheme="majorBidi"/>
          <w:color w:val="000000"/>
          <w:sz w:val="24"/>
          <w:szCs w:val="24"/>
        </w:rPr>
      </w:pPr>
    </w:p>
    <w:p w:rsidR="000750C2" w:rsidRDefault="000750C2" w:rsidP="000B6955">
      <w:pPr>
        <w:autoSpaceDE w:val="0"/>
        <w:autoSpaceDN w:val="0"/>
        <w:bidi w:val="0"/>
        <w:adjustRightInd w:val="0"/>
        <w:spacing w:after="0" w:line="276" w:lineRule="auto"/>
        <w:rPr>
          <w:rFonts w:asciiTheme="majorBidi" w:hAnsiTheme="majorBidi" w:cstheme="majorBidi"/>
          <w:b/>
          <w:bCs/>
          <w:color w:val="000000"/>
          <w:sz w:val="28"/>
          <w:szCs w:val="28"/>
        </w:rPr>
      </w:pPr>
      <w:r w:rsidRPr="000750C2">
        <w:rPr>
          <w:rFonts w:asciiTheme="majorBidi" w:hAnsiTheme="majorBidi" w:cstheme="majorBidi"/>
          <w:b/>
          <w:bCs/>
          <w:color w:val="000000"/>
          <w:sz w:val="28"/>
          <w:szCs w:val="28"/>
        </w:rPr>
        <w:lastRenderedPageBreak/>
        <w:t>Conclusion and Future Directions</w:t>
      </w:r>
    </w:p>
    <w:p w:rsidR="00ED53BE" w:rsidRDefault="00ED53BE" w:rsidP="00ED53BE">
      <w:pPr>
        <w:autoSpaceDE w:val="0"/>
        <w:autoSpaceDN w:val="0"/>
        <w:bidi w:val="0"/>
        <w:adjustRightInd w:val="0"/>
        <w:spacing w:after="0" w:line="276" w:lineRule="auto"/>
        <w:rPr>
          <w:rFonts w:asciiTheme="majorBidi" w:hAnsiTheme="majorBidi" w:cstheme="majorBidi"/>
          <w:color w:val="000000"/>
          <w:sz w:val="24"/>
          <w:szCs w:val="24"/>
        </w:rPr>
      </w:pPr>
    </w:p>
    <w:p w:rsidR="00ED53BE" w:rsidRDefault="00ED53BE" w:rsidP="000B6955">
      <w:pPr>
        <w:autoSpaceDE w:val="0"/>
        <w:autoSpaceDN w:val="0"/>
        <w:bidi w:val="0"/>
        <w:adjustRightInd w:val="0"/>
        <w:spacing w:after="0" w:line="360" w:lineRule="auto"/>
        <w:rPr>
          <w:rFonts w:asciiTheme="majorBidi" w:hAnsiTheme="majorBidi" w:cstheme="majorBidi"/>
          <w:color w:val="000000"/>
          <w:sz w:val="24"/>
          <w:szCs w:val="24"/>
        </w:rPr>
      </w:pPr>
      <w:r>
        <w:rPr>
          <w:rFonts w:asciiTheme="majorBidi" w:hAnsiTheme="majorBidi" w:cstheme="majorBidi"/>
          <w:color w:val="000000"/>
          <w:sz w:val="24"/>
          <w:szCs w:val="24"/>
        </w:rPr>
        <w:t>It has been concluded that there is significance</w:t>
      </w:r>
      <w:r w:rsidR="00B66F44">
        <w:rPr>
          <w:rFonts w:asciiTheme="majorBidi" w:hAnsiTheme="majorBidi" w:cstheme="majorBidi"/>
          <w:color w:val="000000"/>
          <w:sz w:val="24"/>
          <w:szCs w:val="24"/>
        </w:rPr>
        <w:t xml:space="preserve"> in</w:t>
      </w:r>
      <w:r>
        <w:rPr>
          <w:rFonts w:asciiTheme="majorBidi" w:hAnsiTheme="majorBidi" w:cstheme="majorBidi"/>
          <w:color w:val="000000"/>
          <w:sz w:val="24"/>
          <w:szCs w:val="24"/>
        </w:rPr>
        <w:t xml:space="preserve"> urinary output and so this leads to the conclusion that factors like gender</w:t>
      </w:r>
      <w:r w:rsidR="00B66F44">
        <w:rPr>
          <w:rFonts w:asciiTheme="majorBidi" w:hAnsiTheme="majorBidi" w:cstheme="majorBidi"/>
          <w:color w:val="000000"/>
          <w:sz w:val="24"/>
          <w:szCs w:val="24"/>
        </w:rPr>
        <w:t xml:space="preserve"> and diuretics used</w:t>
      </w:r>
      <w:r>
        <w:rPr>
          <w:rFonts w:asciiTheme="majorBidi" w:hAnsiTheme="majorBidi" w:cstheme="majorBidi"/>
          <w:color w:val="000000"/>
          <w:sz w:val="24"/>
          <w:szCs w:val="24"/>
        </w:rPr>
        <w:t xml:space="preserve"> can have an effect on the output of the results of the urine output and so they must be considered thoughtfully so scientists could think of more about substances or medicatio</w:t>
      </w:r>
      <w:r w:rsidR="0013641E">
        <w:rPr>
          <w:rFonts w:asciiTheme="majorBidi" w:hAnsiTheme="majorBidi" w:cstheme="majorBidi"/>
          <w:color w:val="000000"/>
          <w:sz w:val="24"/>
          <w:szCs w:val="24"/>
        </w:rPr>
        <w:t xml:space="preserve">ns that alter the urine output. The modern way and simplest way </w:t>
      </w:r>
      <w:r w:rsidR="00B66F44">
        <w:rPr>
          <w:rFonts w:asciiTheme="majorBidi" w:hAnsiTheme="majorBidi" w:cstheme="majorBidi"/>
          <w:color w:val="000000"/>
          <w:sz w:val="24"/>
          <w:szCs w:val="24"/>
        </w:rPr>
        <w:t xml:space="preserve">is to use the </w:t>
      </w:r>
      <w:r w:rsidR="0013641E">
        <w:rPr>
          <w:rFonts w:asciiTheme="majorBidi" w:hAnsiTheme="majorBidi" w:cstheme="majorBidi"/>
          <w:color w:val="000000"/>
          <w:sz w:val="24"/>
          <w:szCs w:val="24"/>
        </w:rPr>
        <w:t xml:space="preserve">urine </w:t>
      </w:r>
      <w:r w:rsidR="00B66F44">
        <w:rPr>
          <w:rFonts w:asciiTheme="majorBidi" w:hAnsiTheme="majorBidi" w:cstheme="majorBidi"/>
          <w:color w:val="000000"/>
          <w:sz w:val="24"/>
          <w:szCs w:val="24"/>
        </w:rPr>
        <w:t>output formula which easily give</w:t>
      </w:r>
      <w:r w:rsidR="0013641E">
        <w:rPr>
          <w:rFonts w:asciiTheme="majorBidi" w:hAnsiTheme="majorBidi" w:cstheme="majorBidi"/>
          <w:color w:val="000000"/>
          <w:sz w:val="24"/>
          <w:szCs w:val="24"/>
        </w:rPr>
        <w:t xml:space="preserve"> the results needed. The urine obtained from the output could be used for urinalysis and this may help laboratory workers to fine more information about certain UTIs. </w:t>
      </w:r>
    </w:p>
    <w:p w:rsidR="0013641E" w:rsidRDefault="0013641E" w:rsidP="0013641E">
      <w:pPr>
        <w:autoSpaceDE w:val="0"/>
        <w:autoSpaceDN w:val="0"/>
        <w:bidi w:val="0"/>
        <w:adjustRightInd w:val="0"/>
        <w:spacing w:after="0" w:line="276" w:lineRule="auto"/>
        <w:rPr>
          <w:rFonts w:asciiTheme="majorBidi" w:hAnsiTheme="majorBidi" w:cstheme="majorBidi"/>
          <w:color w:val="000000"/>
          <w:sz w:val="24"/>
          <w:szCs w:val="24"/>
        </w:rPr>
      </w:pPr>
    </w:p>
    <w:p w:rsid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387EDD" w:rsidRDefault="00387EDD"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387EDD">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0B6955" w:rsidRDefault="000B6955" w:rsidP="000B6955">
      <w:pPr>
        <w:autoSpaceDE w:val="0"/>
        <w:autoSpaceDN w:val="0"/>
        <w:bidi w:val="0"/>
        <w:adjustRightInd w:val="0"/>
        <w:spacing w:after="0" w:line="276" w:lineRule="auto"/>
        <w:rPr>
          <w:rFonts w:asciiTheme="majorBidi" w:hAnsiTheme="majorBidi" w:cstheme="majorBidi"/>
          <w:b/>
          <w:bCs/>
          <w:color w:val="000000"/>
          <w:sz w:val="28"/>
          <w:szCs w:val="28"/>
        </w:rPr>
      </w:pPr>
    </w:p>
    <w:p w:rsidR="0013641E" w:rsidRDefault="0013641E" w:rsidP="000B6955">
      <w:pPr>
        <w:autoSpaceDE w:val="0"/>
        <w:autoSpaceDN w:val="0"/>
        <w:bidi w:val="0"/>
        <w:adjustRightInd w:val="0"/>
        <w:spacing w:after="0" w:line="276" w:lineRule="auto"/>
        <w:rPr>
          <w:rFonts w:asciiTheme="majorBidi" w:hAnsiTheme="majorBidi" w:cstheme="majorBidi"/>
          <w:b/>
          <w:bCs/>
          <w:color w:val="000000"/>
          <w:sz w:val="28"/>
          <w:szCs w:val="28"/>
        </w:rPr>
      </w:pPr>
      <w:r w:rsidRPr="0013641E">
        <w:rPr>
          <w:rFonts w:asciiTheme="majorBidi" w:hAnsiTheme="majorBidi" w:cstheme="majorBidi"/>
          <w:b/>
          <w:bCs/>
          <w:color w:val="000000"/>
          <w:sz w:val="28"/>
          <w:szCs w:val="28"/>
        </w:rPr>
        <w:lastRenderedPageBreak/>
        <w:t xml:space="preserve">References </w:t>
      </w:r>
    </w:p>
    <w:p w:rsid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13641E" w:rsidRDefault="0013641E" w:rsidP="0013641E">
      <w:pPr>
        <w:pStyle w:val="ListParagraph"/>
        <w:numPr>
          <w:ilvl w:val="0"/>
          <w:numId w:val="1"/>
        </w:numPr>
        <w:bidi w:val="0"/>
        <w:spacing w:line="360" w:lineRule="auto"/>
        <w:rPr>
          <w:rFonts w:asciiTheme="majorBidi" w:hAnsiTheme="majorBidi" w:cstheme="majorBidi"/>
          <w:sz w:val="24"/>
          <w:szCs w:val="24"/>
        </w:rPr>
      </w:pPr>
      <w:proofErr w:type="spellStart"/>
      <w:r w:rsidRPr="002906B8">
        <w:rPr>
          <w:rFonts w:asciiTheme="majorBidi" w:hAnsiTheme="majorBidi" w:cstheme="majorBidi"/>
          <w:sz w:val="24"/>
          <w:szCs w:val="24"/>
        </w:rPr>
        <w:t>Minardi</w:t>
      </w:r>
      <w:proofErr w:type="spellEnd"/>
      <w:r w:rsidRPr="002906B8">
        <w:rPr>
          <w:rFonts w:asciiTheme="majorBidi" w:hAnsiTheme="majorBidi" w:cstheme="majorBidi"/>
          <w:sz w:val="24"/>
          <w:szCs w:val="24"/>
        </w:rPr>
        <w:t xml:space="preserve"> D, </w:t>
      </w:r>
      <w:proofErr w:type="spellStart"/>
      <w:r w:rsidRPr="002906B8">
        <w:rPr>
          <w:rFonts w:asciiTheme="majorBidi" w:hAnsiTheme="majorBidi" w:cstheme="majorBidi"/>
          <w:sz w:val="24"/>
          <w:szCs w:val="24"/>
        </w:rPr>
        <w:t>d’Anzeo</w:t>
      </w:r>
      <w:proofErr w:type="spellEnd"/>
      <w:r w:rsidRPr="002906B8">
        <w:rPr>
          <w:rFonts w:asciiTheme="majorBidi" w:hAnsiTheme="majorBidi" w:cstheme="majorBidi"/>
          <w:sz w:val="24"/>
          <w:szCs w:val="24"/>
        </w:rPr>
        <w:t xml:space="preserve"> G, </w:t>
      </w:r>
      <w:proofErr w:type="spellStart"/>
      <w:r w:rsidRPr="002906B8">
        <w:rPr>
          <w:rFonts w:asciiTheme="majorBidi" w:hAnsiTheme="majorBidi" w:cstheme="majorBidi"/>
          <w:sz w:val="24"/>
          <w:szCs w:val="24"/>
        </w:rPr>
        <w:t>Cantoro</w:t>
      </w:r>
      <w:proofErr w:type="spellEnd"/>
      <w:r w:rsidRPr="002906B8">
        <w:rPr>
          <w:rFonts w:asciiTheme="majorBidi" w:hAnsiTheme="majorBidi" w:cstheme="majorBidi"/>
          <w:sz w:val="24"/>
          <w:szCs w:val="24"/>
        </w:rPr>
        <w:t xml:space="preserve"> D, Conti A, </w:t>
      </w:r>
      <w:proofErr w:type="spellStart"/>
      <w:r w:rsidRPr="002906B8">
        <w:rPr>
          <w:rFonts w:asciiTheme="majorBidi" w:hAnsiTheme="majorBidi" w:cstheme="majorBidi"/>
          <w:sz w:val="24"/>
          <w:szCs w:val="24"/>
        </w:rPr>
        <w:t>Muzzonigro</w:t>
      </w:r>
      <w:proofErr w:type="spellEnd"/>
      <w:r w:rsidRPr="002906B8">
        <w:rPr>
          <w:rFonts w:asciiTheme="majorBidi" w:hAnsiTheme="majorBidi" w:cstheme="majorBidi"/>
          <w:sz w:val="24"/>
          <w:szCs w:val="24"/>
        </w:rPr>
        <w:t xml:space="preserve"> G. Urinary tract infections in women: etiology and treatment options. </w:t>
      </w:r>
      <w:proofErr w:type="spellStart"/>
      <w:r w:rsidRPr="002906B8">
        <w:rPr>
          <w:rFonts w:asciiTheme="majorBidi" w:hAnsiTheme="majorBidi" w:cstheme="majorBidi"/>
          <w:sz w:val="24"/>
          <w:szCs w:val="24"/>
        </w:rPr>
        <w:t>Int</w:t>
      </w:r>
      <w:proofErr w:type="spellEnd"/>
      <w:r w:rsidRPr="002906B8">
        <w:rPr>
          <w:rFonts w:asciiTheme="majorBidi" w:hAnsiTheme="majorBidi" w:cstheme="majorBidi"/>
          <w:sz w:val="24"/>
          <w:szCs w:val="24"/>
        </w:rPr>
        <w:t xml:space="preserve"> J Gen Med. 2011; 4:333–43.</w:t>
      </w:r>
    </w:p>
    <w:p w:rsidR="0013641E" w:rsidRDefault="0013641E" w:rsidP="0013641E">
      <w:pPr>
        <w:pStyle w:val="ListParagraph"/>
        <w:numPr>
          <w:ilvl w:val="0"/>
          <w:numId w:val="1"/>
        </w:numPr>
        <w:bidi w:val="0"/>
        <w:spacing w:line="360" w:lineRule="auto"/>
        <w:rPr>
          <w:rFonts w:asciiTheme="majorBidi" w:hAnsiTheme="majorBidi" w:cstheme="majorBidi"/>
          <w:sz w:val="24"/>
          <w:szCs w:val="24"/>
        </w:rPr>
      </w:pPr>
      <w:r w:rsidRPr="002906B8">
        <w:rPr>
          <w:rFonts w:asciiTheme="majorBidi" w:hAnsiTheme="majorBidi" w:cstheme="majorBidi"/>
          <w:sz w:val="24"/>
          <w:szCs w:val="24"/>
        </w:rPr>
        <w:t xml:space="preserve">Chu CM, </w:t>
      </w:r>
      <w:proofErr w:type="spellStart"/>
      <w:r w:rsidRPr="002906B8">
        <w:rPr>
          <w:rFonts w:asciiTheme="majorBidi" w:hAnsiTheme="majorBidi" w:cstheme="majorBidi"/>
          <w:sz w:val="24"/>
          <w:szCs w:val="24"/>
        </w:rPr>
        <w:t>Lowder</w:t>
      </w:r>
      <w:proofErr w:type="spellEnd"/>
      <w:r w:rsidRPr="002906B8">
        <w:rPr>
          <w:rFonts w:asciiTheme="majorBidi" w:hAnsiTheme="majorBidi" w:cstheme="majorBidi"/>
          <w:sz w:val="24"/>
          <w:szCs w:val="24"/>
        </w:rPr>
        <w:t xml:space="preserve"> JL. Diagnosis and treatment of urinary tract infections across age groups. Am J </w:t>
      </w:r>
      <w:proofErr w:type="spellStart"/>
      <w:r w:rsidRPr="002906B8">
        <w:rPr>
          <w:rFonts w:asciiTheme="majorBidi" w:hAnsiTheme="majorBidi" w:cstheme="majorBidi"/>
          <w:sz w:val="24"/>
          <w:szCs w:val="24"/>
        </w:rPr>
        <w:t>Obstet</w:t>
      </w:r>
      <w:proofErr w:type="spellEnd"/>
      <w:r w:rsidRPr="002906B8">
        <w:rPr>
          <w:rFonts w:asciiTheme="majorBidi" w:hAnsiTheme="majorBidi" w:cstheme="majorBidi"/>
          <w:sz w:val="24"/>
          <w:szCs w:val="24"/>
        </w:rPr>
        <w:t xml:space="preserve"> Gynecol. 2018;219(1):40–51.</w:t>
      </w:r>
      <w:r>
        <w:rPr>
          <w:rFonts w:asciiTheme="majorBidi" w:hAnsiTheme="majorBidi" w:cstheme="majorBidi"/>
          <w:sz w:val="24"/>
          <w:szCs w:val="24"/>
        </w:rPr>
        <w:t xml:space="preserve"> </w:t>
      </w:r>
    </w:p>
    <w:p w:rsidR="0013641E" w:rsidRDefault="0013641E" w:rsidP="0013641E">
      <w:pPr>
        <w:pStyle w:val="ListParagraph"/>
        <w:numPr>
          <w:ilvl w:val="0"/>
          <w:numId w:val="1"/>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N Jessica, Schaffer, and M Melanie. 2015. Proteus Mirabilis and Urinary Tract Infections. Department of Microbiology, New York University </w:t>
      </w:r>
      <w:proofErr w:type="spellStart"/>
      <w:r>
        <w:rPr>
          <w:rFonts w:asciiTheme="majorBidi" w:hAnsiTheme="majorBidi" w:cstheme="majorBidi"/>
          <w:sz w:val="24"/>
          <w:szCs w:val="24"/>
        </w:rPr>
        <w:t>Langone</w:t>
      </w:r>
      <w:proofErr w:type="spellEnd"/>
      <w:r>
        <w:rPr>
          <w:rFonts w:asciiTheme="majorBidi" w:hAnsiTheme="majorBidi" w:cstheme="majorBidi"/>
          <w:sz w:val="24"/>
          <w:szCs w:val="24"/>
        </w:rPr>
        <w:t xml:space="preserve"> Medical Center, New York, NY 10016. </w:t>
      </w:r>
    </w:p>
    <w:p w:rsidR="0013641E" w:rsidRPr="00D31C82" w:rsidRDefault="0013641E" w:rsidP="0013641E">
      <w:pPr>
        <w:pStyle w:val="ListParagraph"/>
        <w:numPr>
          <w:ilvl w:val="0"/>
          <w:numId w:val="1"/>
        </w:numPr>
        <w:bidi w:val="0"/>
        <w:spacing w:line="360" w:lineRule="auto"/>
        <w:rPr>
          <w:rFonts w:asciiTheme="majorBidi" w:hAnsiTheme="majorBidi" w:cstheme="majorBidi"/>
          <w:sz w:val="24"/>
          <w:szCs w:val="24"/>
        </w:rPr>
      </w:pPr>
      <w:proofErr w:type="spellStart"/>
      <w:r w:rsidRPr="002906B8">
        <w:rPr>
          <w:rFonts w:asciiTheme="majorBidi" w:hAnsiTheme="majorBidi" w:cstheme="majorBidi"/>
          <w:sz w:val="24"/>
          <w:szCs w:val="24"/>
        </w:rPr>
        <w:t>Shelenkov</w:t>
      </w:r>
      <w:proofErr w:type="spellEnd"/>
      <w:r w:rsidRPr="002906B8">
        <w:rPr>
          <w:rFonts w:asciiTheme="majorBidi" w:hAnsiTheme="majorBidi" w:cstheme="majorBidi"/>
          <w:sz w:val="24"/>
          <w:szCs w:val="24"/>
        </w:rPr>
        <w:t xml:space="preserve"> A, </w:t>
      </w:r>
      <w:proofErr w:type="spellStart"/>
      <w:r w:rsidRPr="002906B8">
        <w:rPr>
          <w:rFonts w:asciiTheme="majorBidi" w:hAnsiTheme="majorBidi" w:cstheme="majorBidi"/>
          <w:sz w:val="24"/>
          <w:szCs w:val="24"/>
        </w:rPr>
        <w:t>Petrova</w:t>
      </w:r>
      <w:proofErr w:type="spellEnd"/>
      <w:r w:rsidRPr="002906B8">
        <w:rPr>
          <w:rFonts w:asciiTheme="majorBidi" w:hAnsiTheme="majorBidi" w:cstheme="majorBidi"/>
          <w:sz w:val="24"/>
          <w:szCs w:val="24"/>
        </w:rPr>
        <w:t xml:space="preserve"> L, </w:t>
      </w:r>
      <w:proofErr w:type="spellStart"/>
      <w:r w:rsidRPr="002906B8">
        <w:rPr>
          <w:rFonts w:asciiTheme="majorBidi" w:hAnsiTheme="majorBidi" w:cstheme="majorBidi"/>
          <w:sz w:val="24"/>
          <w:szCs w:val="24"/>
        </w:rPr>
        <w:t>Fomina</w:t>
      </w:r>
      <w:proofErr w:type="spellEnd"/>
      <w:r w:rsidRPr="002906B8">
        <w:rPr>
          <w:rFonts w:asciiTheme="majorBidi" w:hAnsiTheme="majorBidi" w:cstheme="majorBidi"/>
          <w:sz w:val="24"/>
          <w:szCs w:val="24"/>
        </w:rPr>
        <w:t xml:space="preserve"> V, </w:t>
      </w:r>
      <w:proofErr w:type="spellStart"/>
      <w:r w:rsidRPr="002906B8">
        <w:rPr>
          <w:rFonts w:asciiTheme="majorBidi" w:hAnsiTheme="majorBidi" w:cstheme="majorBidi"/>
          <w:sz w:val="24"/>
          <w:szCs w:val="24"/>
        </w:rPr>
        <w:t>Zamyatin</w:t>
      </w:r>
      <w:proofErr w:type="spellEnd"/>
      <w:r w:rsidRPr="002906B8">
        <w:rPr>
          <w:rFonts w:asciiTheme="majorBidi" w:hAnsiTheme="majorBidi" w:cstheme="majorBidi"/>
          <w:sz w:val="24"/>
          <w:szCs w:val="24"/>
        </w:rPr>
        <w:t xml:space="preserve"> M, </w:t>
      </w:r>
      <w:proofErr w:type="spellStart"/>
      <w:r w:rsidRPr="002906B8">
        <w:rPr>
          <w:rFonts w:asciiTheme="majorBidi" w:hAnsiTheme="majorBidi" w:cstheme="majorBidi"/>
          <w:sz w:val="24"/>
          <w:szCs w:val="24"/>
        </w:rPr>
        <w:t>Mikhaylova</w:t>
      </w:r>
      <w:proofErr w:type="spellEnd"/>
      <w:r w:rsidRPr="002906B8">
        <w:rPr>
          <w:rFonts w:asciiTheme="majorBidi" w:hAnsiTheme="majorBidi" w:cstheme="majorBidi"/>
          <w:sz w:val="24"/>
          <w:szCs w:val="24"/>
        </w:rPr>
        <w:t xml:space="preserve"> Y, </w:t>
      </w:r>
      <w:proofErr w:type="spellStart"/>
      <w:r w:rsidRPr="002906B8">
        <w:rPr>
          <w:rFonts w:asciiTheme="majorBidi" w:hAnsiTheme="majorBidi" w:cstheme="majorBidi"/>
          <w:sz w:val="24"/>
          <w:szCs w:val="24"/>
        </w:rPr>
        <w:t>Akimkin</w:t>
      </w:r>
      <w:proofErr w:type="spellEnd"/>
      <w:r w:rsidRPr="002906B8">
        <w:rPr>
          <w:rFonts w:asciiTheme="majorBidi" w:hAnsiTheme="majorBidi" w:cstheme="majorBidi"/>
          <w:sz w:val="24"/>
          <w:szCs w:val="24"/>
        </w:rPr>
        <w:t xml:space="preserve"> V. Multidrug-resistant Proteus mirabilis strain with </w:t>
      </w:r>
      <w:proofErr w:type="spellStart"/>
      <w:r w:rsidRPr="002906B8">
        <w:rPr>
          <w:rFonts w:asciiTheme="majorBidi" w:hAnsiTheme="majorBidi" w:cstheme="majorBidi"/>
          <w:sz w:val="24"/>
          <w:szCs w:val="24"/>
        </w:rPr>
        <w:t>cointegrate</w:t>
      </w:r>
      <w:proofErr w:type="spellEnd"/>
      <w:r w:rsidRPr="002906B8">
        <w:rPr>
          <w:rFonts w:asciiTheme="majorBidi" w:hAnsiTheme="majorBidi" w:cstheme="majorBidi"/>
          <w:sz w:val="24"/>
          <w:szCs w:val="24"/>
        </w:rPr>
        <w:t xml:space="preserve"> Plasmid. Microorganisms. 2020;8(11):1775.</w:t>
      </w:r>
      <w:r w:rsidRPr="00D31C82">
        <w:rPr>
          <w:rFonts w:asciiTheme="majorBidi" w:hAnsiTheme="majorBidi" w:cstheme="majorBidi"/>
          <w:sz w:val="24"/>
          <w:szCs w:val="24"/>
        </w:rPr>
        <w:t xml:space="preserve"> </w:t>
      </w:r>
    </w:p>
    <w:p w:rsidR="0013641E" w:rsidRPr="0013641E" w:rsidRDefault="0013641E" w:rsidP="0013641E">
      <w:pPr>
        <w:autoSpaceDE w:val="0"/>
        <w:autoSpaceDN w:val="0"/>
        <w:bidi w:val="0"/>
        <w:adjustRightInd w:val="0"/>
        <w:spacing w:after="0" w:line="276" w:lineRule="auto"/>
        <w:rPr>
          <w:rFonts w:asciiTheme="majorBidi" w:hAnsiTheme="majorBidi" w:cstheme="majorBidi"/>
          <w:b/>
          <w:bCs/>
          <w:color w:val="000000"/>
          <w:sz w:val="28"/>
          <w:szCs w:val="28"/>
        </w:rPr>
      </w:pPr>
    </w:p>
    <w:p w:rsidR="000750C2" w:rsidRDefault="000750C2" w:rsidP="000750C2">
      <w:pPr>
        <w:autoSpaceDE w:val="0"/>
        <w:autoSpaceDN w:val="0"/>
        <w:bidi w:val="0"/>
        <w:adjustRightInd w:val="0"/>
        <w:spacing w:after="0" w:line="276" w:lineRule="auto"/>
        <w:rPr>
          <w:rFonts w:asciiTheme="majorBidi" w:hAnsiTheme="majorBidi" w:cstheme="majorBidi"/>
          <w:b/>
          <w:bCs/>
          <w:color w:val="000000"/>
          <w:sz w:val="28"/>
          <w:szCs w:val="28"/>
        </w:rPr>
      </w:pPr>
    </w:p>
    <w:p w:rsidR="000750C2" w:rsidRDefault="000750C2" w:rsidP="000750C2">
      <w:pPr>
        <w:autoSpaceDE w:val="0"/>
        <w:autoSpaceDN w:val="0"/>
        <w:bidi w:val="0"/>
        <w:adjustRightInd w:val="0"/>
        <w:spacing w:after="0" w:line="276" w:lineRule="auto"/>
        <w:rPr>
          <w:rFonts w:asciiTheme="majorBidi" w:hAnsiTheme="majorBidi" w:cstheme="majorBidi"/>
          <w:b/>
          <w:bCs/>
          <w:color w:val="000000"/>
          <w:sz w:val="28"/>
          <w:szCs w:val="28"/>
        </w:rPr>
      </w:pPr>
    </w:p>
    <w:p w:rsidR="000750C2" w:rsidRDefault="000750C2" w:rsidP="000750C2">
      <w:pPr>
        <w:autoSpaceDE w:val="0"/>
        <w:autoSpaceDN w:val="0"/>
        <w:bidi w:val="0"/>
        <w:adjustRightInd w:val="0"/>
        <w:spacing w:after="0" w:line="276" w:lineRule="auto"/>
        <w:rPr>
          <w:rFonts w:asciiTheme="majorBidi" w:hAnsiTheme="majorBidi" w:cstheme="majorBidi"/>
          <w:color w:val="000000"/>
          <w:sz w:val="24"/>
          <w:szCs w:val="24"/>
        </w:rPr>
      </w:pPr>
    </w:p>
    <w:p w:rsidR="000750C2" w:rsidRPr="000750C2" w:rsidRDefault="000750C2" w:rsidP="000750C2">
      <w:pPr>
        <w:autoSpaceDE w:val="0"/>
        <w:autoSpaceDN w:val="0"/>
        <w:bidi w:val="0"/>
        <w:adjustRightInd w:val="0"/>
        <w:spacing w:after="0" w:line="276" w:lineRule="auto"/>
        <w:rPr>
          <w:rFonts w:asciiTheme="majorBidi" w:hAnsiTheme="majorBidi" w:cstheme="majorBidi"/>
          <w:color w:val="000000"/>
          <w:sz w:val="24"/>
          <w:szCs w:val="24"/>
        </w:rPr>
      </w:pPr>
    </w:p>
    <w:p w:rsidR="000750C2" w:rsidRDefault="000750C2" w:rsidP="000750C2">
      <w:pPr>
        <w:autoSpaceDE w:val="0"/>
        <w:autoSpaceDN w:val="0"/>
        <w:bidi w:val="0"/>
        <w:adjustRightInd w:val="0"/>
        <w:spacing w:after="0" w:line="240" w:lineRule="auto"/>
        <w:rPr>
          <w:rFonts w:ascii="Arial" w:hAnsi="Arial" w:cs="Arial"/>
          <w:color w:val="000000"/>
          <w:sz w:val="26"/>
          <w:szCs w:val="26"/>
        </w:rPr>
      </w:pPr>
    </w:p>
    <w:p w:rsidR="000750C2" w:rsidRDefault="000750C2" w:rsidP="000750C2">
      <w:pPr>
        <w:autoSpaceDE w:val="0"/>
        <w:autoSpaceDN w:val="0"/>
        <w:bidi w:val="0"/>
        <w:adjustRightInd w:val="0"/>
        <w:spacing w:after="0" w:line="240" w:lineRule="auto"/>
        <w:rPr>
          <w:rFonts w:ascii="Arial" w:hAnsi="Arial" w:cs="Arial"/>
          <w:color w:val="000000"/>
          <w:sz w:val="26"/>
          <w:szCs w:val="26"/>
        </w:rPr>
      </w:pPr>
    </w:p>
    <w:p w:rsidR="000750C2" w:rsidRDefault="000750C2" w:rsidP="000750C2">
      <w:pPr>
        <w:autoSpaceDE w:val="0"/>
        <w:autoSpaceDN w:val="0"/>
        <w:bidi w:val="0"/>
        <w:adjustRightInd w:val="0"/>
        <w:spacing w:after="0" w:line="240" w:lineRule="auto"/>
        <w:rPr>
          <w:rFonts w:ascii="Arial" w:hAnsi="Arial" w:cs="Arial"/>
          <w:color w:val="000000"/>
          <w:sz w:val="26"/>
          <w:szCs w:val="26"/>
        </w:rPr>
      </w:pPr>
    </w:p>
    <w:p w:rsidR="000750C2" w:rsidRPr="009B682A" w:rsidRDefault="000750C2" w:rsidP="000750C2">
      <w:pPr>
        <w:autoSpaceDE w:val="0"/>
        <w:autoSpaceDN w:val="0"/>
        <w:bidi w:val="0"/>
        <w:adjustRightInd w:val="0"/>
        <w:spacing w:after="0" w:line="240" w:lineRule="auto"/>
        <w:rPr>
          <w:rFonts w:ascii="Arial" w:hAnsi="Arial" w:cs="Arial"/>
          <w:color w:val="000000"/>
          <w:sz w:val="26"/>
          <w:szCs w:val="26"/>
        </w:rPr>
      </w:pPr>
    </w:p>
    <w:p w:rsidR="009B682A" w:rsidRPr="009B682A" w:rsidRDefault="009B682A" w:rsidP="009B682A">
      <w:pPr>
        <w:autoSpaceDE w:val="0"/>
        <w:autoSpaceDN w:val="0"/>
        <w:bidi w:val="0"/>
        <w:adjustRightInd w:val="0"/>
        <w:spacing w:after="0" w:line="240" w:lineRule="auto"/>
        <w:rPr>
          <w:rFonts w:ascii="Arial" w:hAnsi="Arial" w:cs="Arial"/>
          <w:color w:val="000000"/>
          <w:sz w:val="26"/>
          <w:szCs w:val="26"/>
        </w:rPr>
      </w:pPr>
    </w:p>
    <w:p w:rsidR="009B682A" w:rsidRPr="009B682A" w:rsidRDefault="009B682A" w:rsidP="009B682A">
      <w:pPr>
        <w:autoSpaceDE w:val="0"/>
        <w:autoSpaceDN w:val="0"/>
        <w:bidi w:val="0"/>
        <w:adjustRightInd w:val="0"/>
        <w:spacing w:after="0" w:line="400" w:lineRule="atLeast"/>
        <w:rPr>
          <w:rFonts w:ascii="Times New Roman" w:hAnsi="Times New Roman" w:cs="Times New Roman"/>
          <w:sz w:val="24"/>
          <w:szCs w:val="24"/>
        </w:rPr>
      </w:pPr>
    </w:p>
    <w:p w:rsidR="00F2537B" w:rsidRPr="00F2537B" w:rsidRDefault="00F2537B" w:rsidP="00F2537B">
      <w:pPr>
        <w:bidi w:val="0"/>
        <w:jc w:val="center"/>
        <w:rPr>
          <w:rFonts w:asciiTheme="majorBidi" w:hAnsiTheme="majorBidi" w:cstheme="majorBidi"/>
          <w:b/>
          <w:bCs/>
          <w:sz w:val="36"/>
          <w:szCs w:val="36"/>
        </w:rPr>
      </w:pPr>
    </w:p>
    <w:p w:rsidR="005142A9" w:rsidRDefault="005142A9" w:rsidP="00F2537B">
      <w:pPr>
        <w:jc w:val="center"/>
        <w:rPr>
          <w:rFonts w:hint="cs"/>
          <w:lang w:bidi="ar-LY"/>
        </w:rPr>
      </w:pPr>
    </w:p>
    <w:sectPr w:rsidR="005142A9" w:rsidSect="005142A9">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4420" w:rsidRDefault="003A4420" w:rsidP="00F2537B">
      <w:pPr>
        <w:spacing w:after="0" w:line="240" w:lineRule="auto"/>
      </w:pPr>
      <w:r>
        <w:separator/>
      </w:r>
    </w:p>
  </w:endnote>
  <w:endnote w:type="continuationSeparator" w:id="0">
    <w:p w:rsidR="003A4420" w:rsidRDefault="003A4420" w:rsidP="00F253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4420" w:rsidRDefault="003A4420" w:rsidP="00F2537B">
      <w:pPr>
        <w:spacing w:after="0" w:line="240" w:lineRule="auto"/>
      </w:pPr>
      <w:r>
        <w:separator/>
      </w:r>
    </w:p>
  </w:footnote>
  <w:footnote w:type="continuationSeparator" w:id="0">
    <w:p w:rsidR="003A4420" w:rsidRDefault="003A4420" w:rsidP="00F253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D1364C"/>
    <w:multiLevelType w:val="hybridMultilevel"/>
    <w:tmpl w:val="429495FE"/>
    <w:lvl w:ilvl="0" w:tplc="D60C42B6">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37B"/>
    <w:rsid w:val="000750C2"/>
    <w:rsid w:val="000B6955"/>
    <w:rsid w:val="0013641E"/>
    <w:rsid w:val="00387EDD"/>
    <w:rsid w:val="003A4420"/>
    <w:rsid w:val="005142A9"/>
    <w:rsid w:val="007D2CB6"/>
    <w:rsid w:val="009B682A"/>
    <w:rsid w:val="00B66F44"/>
    <w:rsid w:val="00D51991"/>
    <w:rsid w:val="00D90A33"/>
    <w:rsid w:val="00E77096"/>
    <w:rsid w:val="00ED53BE"/>
    <w:rsid w:val="00F253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4AB1B4"/>
  <w15:chartTrackingRefBased/>
  <w15:docId w15:val="{712A5575-5B0A-4E0F-B048-93A255D65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537B"/>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537B"/>
    <w:pPr>
      <w:tabs>
        <w:tab w:val="center" w:pos="4153"/>
        <w:tab w:val="right" w:pos="8306"/>
      </w:tabs>
      <w:spacing w:after="0" w:line="240" w:lineRule="auto"/>
    </w:pPr>
  </w:style>
  <w:style w:type="character" w:customStyle="1" w:styleId="HeaderChar">
    <w:name w:val="Header Char"/>
    <w:basedOn w:val="DefaultParagraphFont"/>
    <w:link w:val="Header"/>
    <w:uiPriority w:val="99"/>
    <w:rsid w:val="00F2537B"/>
  </w:style>
  <w:style w:type="paragraph" w:styleId="Footer">
    <w:name w:val="footer"/>
    <w:basedOn w:val="Normal"/>
    <w:link w:val="FooterChar"/>
    <w:uiPriority w:val="99"/>
    <w:unhideWhenUsed/>
    <w:rsid w:val="00F2537B"/>
    <w:pPr>
      <w:tabs>
        <w:tab w:val="center" w:pos="4153"/>
        <w:tab w:val="right" w:pos="8306"/>
      </w:tabs>
      <w:spacing w:after="0" w:line="240" w:lineRule="auto"/>
    </w:pPr>
  </w:style>
  <w:style w:type="character" w:customStyle="1" w:styleId="FooterChar">
    <w:name w:val="Footer Char"/>
    <w:basedOn w:val="DefaultParagraphFont"/>
    <w:link w:val="Footer"/>
    <w:uiPriority w:val="99"/>
    <w:rsid w:val="00F2537B"/>
  </w:style>
  <w:style w:type="paragraph" w:styleId="ListParagraph">
    <w:name w:val="List Paragraph"/>
    <w:basedOn w:val="Normal"/>
    <w:uiPriority w:val="34"/>
    <w:qFormat/>
    <w:rsid w:val="001364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422368">
      <w:bodyDiv w:val="1"/>
      <w:marLeft w:val="0"/>
      <w:marRight w:val="0"/>
      <w:marTop w:val="0"/>
      <w:marBottom w:val="0"/>
      <w:divBdr>
        <w:top w:val="none" w:sz="0" w:space="0" w:color="auto"/>
        <w:left w:val="none" w:sz="0" w:space="0" w:color="auto"/>
        <w:bottom w:val="none" w:sz="0" w:space="0" w:color="auto"/>
        <w:right w:val="none" w:sz="0" w:space="0" w:color="auto"/>
      </w:divBdr>
      <w:divsChild>
        <w:div w:id="1269239939">
          <w:marLeft w:val="562"/>
          <w:marRight w:val="360"/>
          <w:marTop w:val="154"/>
          <w:marBottom w:val="0"/>
          <w:divBdr>
            <w:top w:val="none" w:sz="0" w:space="0" w:color="auto"/>
            <w:left w:val="none" w:sz="0" w:space="0" w:color="auto"/>
            <w:bottom w:val="none" w:sz="0" w:space="0" w:color="auto"/>
            <w:right w:val="none" w:sz="0" w:space="0" w:color="auto"/>
          </w:divBdr>
        </w:div>
      </w:divsChild>
    </w:div>
    <w:div w:id="1401442513">
      <w:bodyDiv w:val="1"/>
      <w:marLeft w:val="0"/>
      <w:marRight w:val="0"/>
      <w:marTop w:val="0"/>
      <w:marBottom w:val="0"/>
      <w:divBdr>
        <w:top w:val="none" w:sz="0" w:space="0" w:color="auto"/>
        <w:left w:val="none" w:sz="0" w:space="0" w:color="auto"/>
        <w:bottom w:val="none" w:sz="0" w:space="0" w:color="auto"/>
        <w:right w:val="none" w:sz="0" w:space="0" w:color="auto"/>
      </w:divBdr>
      <w:divsChild>
        <w:div w:id="1207916338">
          <w:marLeft w:val="562"/>
          <w:marRight w:val="0"/>
          <w:marTop w:val="173"/>
          <w:marBottom w:val="0"/>
          <w:divBdr>
            <w:top w:val="none" w:sz="0" w:space="0" w:color="auto"/>
            <w:left w:val="none" w:sz="0" w:space="0" w:color="auto"/>
            <w:bottom w:val="none" w:sz="0" w:space="0" w:color="auto"/>
            <w:right w:val="none" w:sz="0" w:space="0" w:color="auto"/>
          </w:divBdr>
        </w:div>
        <w:div w:id="276570043">
          <w:marLeft w:val="562"/>
          <w:marRight w:val="173"/>
          <w:marTop w:val="154"/>
          <w:marBottom w:val="0"/>
          <w:divBdr>
            <w:top w:val="none" w:sz="0" w:space="0" w:color="auto"/>
            <w:left w:val="none" w:sz="0" w:space="0" w:color="auto"/>
            <w:bottom w:val="none" w:sz="0" w:space="0" w:color="auto"/>
            <w:right w:val="none" w:sz="0" w:space="0" w:color="auto"/>
          </w:divBdr>
        </w:div>
        <w:div w:id="1342387755">
          <w:marLeft w:val="562"/>
          <w:marRight w:val="14"/>
          <w:marTop w:val="154"/>
          <w:marBottom w:val="0"/>
          <w:divBdr>
            <w:top w:val="none" w:sz="0" w:space="0" w:color="auto"/>
            <w:left w:val="none" w:sz="0" w:space="0" w:color="auto"/>
            <w:bottom w:val="none" w:sz="0" w:space="0" w:color="auto"/>
            <w:right w:val="none" w:sz="0" w:space="0" w:color="auto"/>
          </w:divBdr>
        </w:div>
        <w:div w:id="1486629231">
          <w:marLeft w:val="562"/>
          <w:marRight w:val="0"/>
          <w:marTop w:val="154"/>
          <w:marBottom w:val="0"/>
          <w:divBdr>
            <w:top w:val="none" w:sz="0" w:space="0" w:color="auto"/>
            <w:left w:val="none" w:sz="0" w:space="0" w:color="auto"/>
            <w:bottom w:val="none" w:sz="0" w:space="0" w:color="auto"/>
            <w:right w:val="none" w:sz="0" w:space="0" w:color="auto"/>
          </w:divBdr>
        </w:div>
        <w:div w:id="166411580">
          <w:marLeft w:val="562"/>
          <w:marRight w:val="1627"/>
          <w:marTop w:val="15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4BCC8B-B226-4C17-99DD-34A685EDA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2299</TotalTime>
  <Pages>8</Pages>
  <Words>1354</Words>
  <Characters>7723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Microsoft (C)</Company>
  <LinksUpToDate>false</LinksUpToDate>
  <CharactersWithSpaces>9059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imAtlas</dc:creator>
  <cp:keywords/>
  <dc:description/>
  <cp:lastModifiedBy>imAtlas</cp:lastModifiedBy>
  <cp:revision>2</cp:revision>
  <dcterms:created xsi:type="dcterms:W3CDTF">2022-06-19T01:10:00Z</dcterms:created>
  <dcterms:modified xsi:type="dcterms:W3CDTF">2022-06-20T15:40:00Z</dcterms:modified>
</cp:coreProperties>
</file>