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EB4" w:rsidRDefault="00920EB4"/>
    <w:p w:rsidR="007A4BAE" w:rsidRDefault="007A4BAE" w:rsidP="00920EB4">
      <w:pPr>
        <w:rPr>
          <w:sz w:val="36"/>
          <w:szCs w:val="36"/>
        </w:rPr>
      </w:pPr>
      <w:r>
        <w:rPr>
          <w:noProof/>
        </w:rPr>
        <w:drawing>
          <wp:inline distT="0" distB="0" distL="0" distR="0" wp14:anchorId="173C8570" wp14:editId="3A4ADC9D">
            <wp:extent cx="5486400" cy="1045210"/>
            <wp:effectExtent l="0" t="0" r="0" b="2540"/>
            <wp:docPr id="1" name="Picture 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a16="http://schemas.microsoft.com/office/drawing/2014/main" xmlns="" xmlns:lc="http://schemas.openxmlformats.org/drawingml/2006/lockedCanvas" id="{1B7E47D7-7C21-4F99-BEF6-E9651B0AA4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a16="http://schemas.microsoft.com/office/drawing/2014/main" xmlns="" xmlns:lc="http://schemas.openxmlformats.org/drawingml/2006/lockedCanvas" id="{1B7E47D7-7C21-4F99-BEF6-E9651B0AA4E7}"/>
                        </a:ext>
                      </a:extLst>
                    </pic:cNvPr>
                    <pic:cNvPicPr>
                      <a:picLocks noChangeAspect="1"/>
                    </pic:cNvPicPr>
                  </pic:nvPicPr>
                  <pic:blipFill>
                    <a:blip r:embed="rId7"/>
                    <a:stretch>
                      <a:fillRect/>
                    </a:stretch>
                  </pic:blipFill>
                  <pic:spPr>
                    <a:xfrm>
                      <a:off x="0" y="0"/>
                      <a:ext cx="5486400" cy="1045210"/>
                    </a:xfrm>
                    <a:prstGeom prst="rect">
                      <a:avLst/>
                    </a:prstGeom>
                  </pic:spPr>
                </pic:pic>
              </a:graphicData>
            </a:graphic>
          </wp:inline>
        </w:drawing>
      </w:r>
    </w:p>
    <w:p w:rsidR="00920EB4" w:rsidRPr="007A4BAE" w:rsidRDefault="00920EB4" w:rsidP="007A4BAE">
      <w:pPr>
        <w:jc w:val="center"/>
        <w:rPr>
          <w:rFonts w:asciiTheme="majorBidi" w:hAnsiTheme="majorBidi" w:cstheme="majorBidi"/>
          <w:sz w:val="36"/>
          <w:szCs w:val="36"/>
        </w:rPr>
      </w:pPr>
      <w:r w:rsidRPr="007A4BAE">
        <w:rPr>
          <w:rFonts w:asciiTheme="majorBidi" w:hAnsiTheme="majorBidi" w:cstheme="majorBidi"/>
          <w:sz w:val="36"/>
          <w:szCs w:val="36"/>
        </w:rPr>
        <w:t>Use of urinary gram stain for detection of urinary tract infection in childhood</w:t>
      </w:r>
    </w:p>
    <w:p w:rsidR="00920EB4" w:rsidRPr="00347756" w:rsidRDefault="00920EB4" w:rsidP="00347756">
      <w:pPr>
        <w:jc w:val="center"/>
        <w:rPr>
          <w:rFonts w:asciiTheme="majorBidi" w:hAnsiTheme="majorBidi" w:cstheme="majorBidi"/>
          <w:sz w:val="32"/>
          <w:szCs w:val="32"/>
        </w:rPr>
      </w:pPr>
      <w:r w:rsidRPr="00347756">
        <w:rPr>
          <w:rFonts w:asciiTheme="majorBidi" w:hAnsiTheme="majorBidi" w:cstheme="majorBidi"/>
          <w:sz w:val="32"/>
          <w:szCs w:val="32"/>
        </w:rPr>
        <w:t xml:space="preserve">Student name: </w:t>
      </w:r>
      <w:r w:rsidR="00347756" w:rsidRPr="00347756">
        <w:rPr>
          <w:rFonts w:asciiTheme="majorBidi" w:hAnsiTheme="majorBidi" w:cstheme="majorBidi"/>
          <w:sz w:val="32"/>
          <w:szCs w:val="32"/>
        </w:rPr>
        <w:t>Hunaydah Hani Ben ghuzzi</w:t>
      </w:r>
    </w:p>
    <w:p w:rsidR="00347756" w:rsidRPr="00347756" w:rsidRDefault="00347756" w:rsidP="00347756">
      <w:pPr>
        <w:jc w:val="center"/>
        <w:rPr>
          <w:rFonts w:asciiTheme="majorBidi" w:hAnsiTheme="majorBidi" w:cstheme="majorBidi"/>
          <w:sz w:val="32"/>
          <w:szCs w:val="32"/>
        </w:rPr>
      </w:pPr>
      <w:r w:rsidRPr="00347756">
        <w:rPr>
          <w:rFonts w:asciiTheme="majorBidi" w:hAnsiTheme="majorBidi" w:cstheme="majorBidi"/>
          <w:sz w:val="32"/>
          <w:szCs w:val="32"/>
        </w:rPr>
        <w:t>Student number: 3003</w:t>
      </w:r>
    </w:p>
    <w:p w:rsidR="00920EB4" w:rsidRPr="00747F68" w:rsidRDefault="00920EB4" w:rsidP="00347756">
      <w:pPr>
        <w:jc w:val="center"/>
        <w:rPr>
          <w:rFonts w:asciiTheme="majorBidi" w:hAnsiTheme="majorBidi" w:cstheme="majorBidi"/>
          <w:sz w:val="32"/>
          <w:szCs w:val="32"/>
        </w:rPr>
      </w:pPr>
      <w:r w:rsidRPr="00347756">
        <w:rPr>
          <w:rFonts w:asciiTheme="majorBidi" w:hAnsiTheme="majorBidi" w:cstheme="majorBidi"/>
          <w:sz w:val="32"/>
          <w:szCs w:val="32"/>
        </w:rPr>
        <w:t>Supervisor name:</w:t>
      </w:r>
      <w:r w:rsidR="00A73B2D">
        <w:rPr>
          <w:rFonts w:asciiTheme="majorBidi" w:hAnsiTheme="majorBidi" w:cstheme="majorBidi" w:hint="cs"/>
          <w:sz w:val="32"/>
          <w:szCs w:val="32"/>
          <w:rtl/>
        </w:rPr>
        <w:t xml:space="preserve"> </w:t>
      </w:r>
      <w:r w:rsidR="00A73B2D" w:rsidRPr="00A73B2D">
        <w:rPr>
          <w:rFonts w:asciiTheme="majorBidi" w:hAnsiTheme="majorBidi" w:cstheme="majorBidi"/>
          <w:sz w:val="32"/>
          <w:szCs w:val="32"/>
        </w:rPr>
        <w:t>Dr</w:t>
      </w:r>
      <w:r w:rsidR="00747F68">
        <w:rPr>
          <w:rFonts w:asciiTheme="majorBidi" w:hAnsiTheme="majorBidi" w:cstheme="majorBidi"/>
          <w:sz w:val="32"/>
          <w:szCs w:val="32"/>
        </w:rPr>
        <w:t>s</w:t>
      </w:r>
      <w:r w:rsidR="00A73B2D" w:rsidRPr="00A73B2D">
        <w:rPr>
          <w:rFonts w:asciiTheme="majorBidi" w:hAnsiTheme="majorBidi" w:cstheme="majorBidi"/>
          <w:sz w:val="32"/>
          <w:szCs w:val="32"/>
        </w:rPr>
        <w:t>. Entesar Alnagi</w:t>
      </w:r>
      <w:r w:rsidR="00A73B2D">
        <w:rPr>
          <w:rFonts w:asciiTheme="majorBidi" w:hAnsiTheme="majorBidi" w:cstheme="majorBidi" w:hint="cs"/>
          <w:sz w:val="32"/>
          <w:szCs w:val="32"/>
          <w:rtl/>
        </w:rPr>
        <w:t xml:space="preserve"> </w:t>
      </w:r>
      <w:r w:rsidR="00A73B2D">
        <w:rPr>
          <w:rFonts w:asciiTheme="majorBidi" w:hAnsiTheme="majorBidi" w:cstheme="majorBidi"/>
          <w:sz w:val="32"/>
          <w:szCs w:val="32"/>
        </w:rPr>
        <w:t xml:space="preserve">, </w:t>
      </w:r>
      <w:r w:rsidR="00747F68">
        <w:rPr>
          <w:rFonts w:asciiTheme="majorBidi" w:hAnsiTheme="majorBidi" w:cstheme="majorBidi"/>
          <w:sz w:val="32"/>
          <w:szCs w:val="32"/>
        </w:rPr>
        <w:t>Asma Alkawafi , Alsenussi , Iman Alfarjani , Laboratory Technician .</w:t>
      </w:r>
    </w:p>
    <w:p w:rsidR="00347756" w:rsidRPr="00347756" w:rsidRDefault="00747F68" w:rsidP="00347756">
      <w:pPr>
        <w:jc w:val="center"/>
        <w:rPr>
          <w:rFonts w:asciiTheme="majorBidi" w:hAnsiTheme="majorBidi" w:cstheme="majorBidi"/>
          <w:sz w:val="32"/>
          <w:szCs w:val="32"/>
        </w:rPr>
      </w:pPr>
      <w:r>
        <w:rPr>
          <w:rFonts w:asciiTheme="majorBidi" w:hAnsiTheme="majorBidi" w:cstheme="majorBidi"/>
          <w:sz w:val="32"/>
          <w:szCs w:val="32"/>
        </w:rPr>
        <w:t>Date: June 20</w:t>
      </w:r>
      <w:r w:rsidR="00347756" w:rsidRPr="00347756">
        <w:rPr>
          <w:rFonts w:asciiTheme="majorBidi" w:hAnsiTheme="majorBidi" w:cstheme="majorBidi"/>
          <w:sz w:val="32"/>
          <w:szCs w:val="32"/>
        </w:rPr>
        <w:t>,2022</w:t>
      </w:r>
    </w:p>
    <w:p w:rsidR="00920EB4" w:rsidRDefault="00920EB4" w:rsidP="00392600">
      <w:r>
        <w:br w:type="page"/>
      </w:r>
    </w:p>
    <w:p w:rsidR="00462660" w:rsidRPr="00C116CF" w:rsidRDefault="00462660" w:rsidP="00462660">
      <w:pPr>
        <w:rPr>
          <w:rFonts w:asciiTheme="majorBidi" w:hAnsiTheme="majorBidi" w:cstheme="majorBidi"/>
          <w:b/>
          <w:bCs/>
          <w:sz w:val="28"/>
          <w:szCs w:val="28"/>
          <w:rtl/>
          <w:lang w:bidi="ar-LY"/>
        </w:rPr>
      </w:pPr>
      <w:r w:rsidRPr="00C116CF">
        <w:rPr>
          <w:rFonts w:asciiTheme="majorBidi" w:hAnsiTheme="majorBidi" w:cstheme="majorBidi"/>
          <w:b/>
          <w:bCs/>
          <w:sz w:val="28"/>
          <w:szCs w:val="28"/>
        </w:rPr>
        <w:lastRenderedPageBreak/>
        <w:t xml:space="preserve">Abstract : </w:t>
      </w:r>
    </w:p>
    <w:p w:rsidR="00D26351" w:rsidRDefault="00462660" w:rsidP="00D26351">
      <w:pPr>
        <w:rPr>
          <w:rFonts w:asciiTheme="majorBidi" w:hAnsiTheme="majorBidi" w:cstheme="majorBidi"/>
          <w:sz w:val="24"/>
          <w:szCs w:val="24"/>
        </w:rPr>
      </w:pPr>
      <w:r w:rsidRPr="00462660">
        <w:rPr>
          <w:rFonts w:asciiTheme="majorBidi" w:hAnsiTheme="majorBidi" w:cstheme="majorBidi"/>
          <w:sz w:val="24"/>
          <w:szCs w:val="24"/>
        </w:rPr>
        <w:t>Urinary culture, Gram stain, and urine analysis assays were used in this investigation.</w:t>
      </w:r>
      <w:r w:rsidR="00D26351">
        <w:rPr>
          <w:rFonts w:asciiTheme="majorBidi" w:hAnsiTheme="majorBidi" w:cstheme="majorBidi"/>
          <w:sz w:val="24"/>
          <w:szCs w:val="24"/>
        </w:rPr>
        <w:t xml:space="preserve"> </w:t>
      </w:r>
      <w:r w:rsidRPr="00462660">
        <w:rPr>
          <w:rFonts w:asciiTheme="majorBidi" w:hAnsiTheme="majorBidi" w:cstheme="majorBidi"/>
          <w:sz w:val="24"/>
          <w:szCs w:val="24"/>
        </w:rPr>
        <w:t>"Leucocyte esterase, nitrate, Microscopy for bacteria, and pyuria" were tested in 100 children with signs of urinary tract infection.</w:t>
      </w:r>
      <w:r w:rsidR="00D26351">
        <w:rPr>
          <w:rFonts w:asciiTheme="majorBidi" w:hAnsiTheme="majorBidi" w:cstheme="majorBidi"/>
          <w:sz w:val="24"/>
          <w:szCs w:val="24"/>
        </w:rPr>
        <w:t xml:space="preserve"> </w:t>
      </w:r>
    </w:p>
    <w:p w:rsidR="007A4BAE" w:rsidRDefault="00E9369A" w:rsidP="00D26351">
      <w:pPr>
        <w:rPr>
          <w:rFonts w:asciiTheme="majorBidi" w:hAnsiTheme="majorBidi" w:cstheme="majorBidi"/>
          <w:sz w:val="24"/>
          <w:szCs w:val="24"/>
        </w:rPr>
      </w:pPr>
      <w:r>
        <w:rPr>
          <w:rFonts w:asciiTheme="majorBidi" w:hAnsiTheme="majorBidi" w:cstheme="majorBidi"/>
          <w:sz w:val="24"/>
          <w:szCs w:val="24"/>
        </w:rPr>
        <w:t>G</w:t>
      </w:r>
      <w:r w:rsidR="00462660" w:rsidRPr="00462660">
        <w:rPr>
          <w:rFonts w:asciiTheme="majorBidi" w:hAnsiTheme="majorBidi" w:cstheme="majorBidi"/>
          <w:sz w:val="24"/>
          <w:szCs w:val="24"/>
        </w:rPr>
        <w:t>oal was to compare the validity and benefits of a urinary Gram stain to a combination of Gram stain and total urine analysis, such as nitrate positireness</w:t>
      </w:r>
      <w:r w:rsidR="00D26351">
        <w:rPr>
          <w:rFonts w:asciiTheme="majorBidi" w:hAnsiTheme="majorBidi" w:cstheme="majorBidi"/>
          <w:sz w:val="24"/>
          <w:szCs w:val="24"/>
        </w:rPr>
        <w:t xml:space="preserve"> </w:t>
      </w:r>
      <w:r w:rsidR="00462660" w:rsidRPr="00462660">
        <w:rPr>
          <w:rFonts w:asciiTheme="majorBidi" w:hAnsiTheme="majorBidi" w:cstheme="majorBidi"/>
          <w:sz w:val="24"/>
          <w:szCs w:val="24"/>
        </w:rPr>
        <w:t>, leukocyte esterase, bacteria microscopy, and white blood cell microscopy.</w:t>
      </w:r>
    </w:p>
    <w:p w:rsidR="00D26351" w:rsidRDefault="00D26351" w:rsidP="00D26351">
      <w:pPr>
        <w:rPr>
          <w:rFonts w:asciiTheme="majorBidi" w:hAnsiTheme="majorBidi" w:cstheme="majorBidi"/>
          <w:sz w:val="24"/>
          <w:szCs w:val="24"/>
        </w:rPr>
      </w:pPr>
      <w:r>
        <w:rPr>
          <w:rFonts w:asciiTheme="majorBidi" w:hAnsiTheme="majorBidi" w:cstheme="majorBidi"/>
          <w:sz w:val="24"/>
          <w:szCs w:val="24"/>
        </w:rPr>
        <w:t xml:space="preserve"> </w:t>
      </w:r>
      <w:r w:rsidRPr="00D26351">
        <w:rPr>
          <w:rFonts w:asciiTheme="majorBidi" w:hAnsiTheme="majorBidi" w:cstheme="majorBidi"/>
          <w:sz w:val="24"/>
          <w:szCs w:val="24"/>
        </w:rPr>
        <w:t>Of 100 children (age: 2 days-15 years), 70% had a positive urinary culture : 43% boys and 57% girls</w:t>
      </w:r>
      <w:r>
        <w:rPr>
          <w:rFonts w:asciiTheme="majorBidi" w:hAnsiTheme="majorBidi" w:cstheme="majorBidi"/>
          <w:sz w:val="24"/>
          <w:szCs w:val="24"/>
        </w:rPr>
        <w:t xml:space="preserve"> .</w:t>
      </w:r>
    </w:p>
    <w:p w:rsidR="007A4BAE" w:rsidRDefault="00D26351" w:rsidP="00D26351">
      <w:pPr>
        <w:rPr>
          <w:rFonts w:asciiTheme="majorBidi" w:hAnsiTheme="majorBidi" w:cstheme="majorBidi"/>
          <w:sz w:val="24"/>
          <w:szCs w:val="24"/>
        </w:rPr>
      </w:pPr>
      <w:r>
        <w:rPr>
          <w:rFonts w:asciiTheme="majorBidi" w:hAnsiTheme="majorBidi" w:cstheme="majorBidi"/>
          <w:sz w:val="24"/>
          <w:szCs w:val="24"/>
        </w:rPr>
        <w:t xml:space="preserve"> </w:t>
      </w:r>
      <w:r w:rsidRPr="00D26351">
        <w:rPr>
          <w:rFonts w:asciiTheme="majorBidi" w:hAnsiTheme="majorBidi" w:cstheme="majorBidi"/>
          <w:sz w:val="24"/>
          <w:szCs w:val="24"/>
        </w:rPr>
        <w:t>E.</w:t>
      </w:r>
      <w:r w:rsidR="00347756">
        <w:rPr>
          <w:rFonts w:asciiTheme="majorBidi" w:hAnsiTheme="majorBidi" w:cstheme="majorBidi"/>
          <w:sz w:val="24"/>
          <w:szCs w:val="24"/>
        </w:rPr>
        <w:t xml:space="preserve"> </w:t>
      </w:r>
      <w:r w:rsidRPr="00D26351">
        <w:rPr>
          <w:rFonts w:asciiTheme="majorBidi" w:hAnsiTheme="majorBidi" w:cstheme="majorBidi"/>
          <w:sz w:val="24"/>
          <w:szCs w:val="24"/>
        </w:rPr>
        <w:t>coli was the most commonly isolated agent (Escherichia coli)</w:t>
      </w:r>
      <w:r>
        <w:rPr>
          <w:rFonts w:asciiTheme="majorBidi" w:hAnsiTheme="majorBidi" w:cstheme="majorBidi"/>
          <w:sz w:val="24"/>
          <w:szCs w:val="24"/>
        </w:rPr>
        <w:t xml:space="preserve"> .</w:t>
      </w:r>
    </w:p>
    <w:p w:rsidR="007A4BAE" w:rsidRDefault="00D26351" w:rsidP="00D26351">
      <w:pPr>
        <w:rPr>
          <w:rFonts w:asciiTheme="majorBidi" w:hAnsiTheme="majorBidi" w:cstheme="majorBidi"/>
          <w:sz w:val="24"/>
          <w:szCs w:val="24"/>
        </w:rPr>
      </w:pPr>
      <w:r w:rsidRPr="00D26351">
        <w:rPr>
          <w:rFonts w:asciiTheme="majorBidi" w:hAnsiTheme="majorBidi" w:cstheme="majorBidi"/>
          <w:sz w:val="24"/>
          <w:szCs w:val="24"/>
        </w:rPr>
        <w:t>The urinary Gram stain has a sensitivity and specificity of 80% and 83 percent, respectively, for both pyuria and Gram positivity.</w:t>
      </w:r>
    </w:p>
    <w:p w:rsidR="00D26351" w:rsidRDefault="00D26351" w:rsidP="00D26351">
      <w:pPr>
        <w:rPr>
          <w:rFonts w:asciiTheme="majorBidi" w:hAnsiTheme="majorBidi" w:cstheme="majorBidi"/>
          <w:sz w:val="24"/>
          <w:szCs w:val="24"/>
        </w:rPr>
      </w:pPr>
      <w:r>
        <w:rPr>
          <w:rFonts w:asciiTheme="majorBidi" w:hAnsiTheme="majorBidi" w:cstheme="majorBidi"/>
          <w:sz w:val="24"/>
          <w:szCs w:val="24"/>
        </w:rPr>
        <w:t xml:space="preserve"> </w:t>
      </w:r>
      <w:r w:rsidRPr="00D26351">
        <w:rPr>
          <w:rFonts w:asciiTheme="majorBidi" w:hAnsiTheme="majorBidi" w:cstheme="majorBidi"/>
          <w:sz w:val="24"/>
          <w:szCs w:val="24"/>
        </w:rPr>
        <w:t>A positive urinary culture was found in 70 percent of 100 children (aged 2 days to 15 years): 43 percent of boys and 57 percent of</w:t>
      </w:r>
      <w:r>
        <w:rPr>
          <w:rFonts w:asciiTheme="majorBidi" w:hAnsiTheme="majorBidi" w:cstheme="majorBidi"/>
          <w:sz w:val="24"/>
          <w:szCs w:val="24"/>
        </w:rPr>
        <w:t xml:space="preserve"> girls . </w:t>
      </w:r>
      <w:r w:rsidRPr="00D26351">
        <w:rPr>
          <w:rFonts w:asciiTheme="majorBidi" w:hAnsiTheme="majorBidi" w:cstheme="majorBidi"/>
          <w:sz w:val="24"/>
          <w:szCs w:val="24"/>
        </w:rPr>
        <w:t>E</w:t>
      </w:r>
      <w:r w:rsidR="007A4BAE">
        <w:rPr>
          <w:rFonts w:asciiTheme="majorBidi" w:hAnsiTheme="majorBidi" w:cstheme="majorBidi"/>
          <w:sz w:val="24"/>
          <w:szCs w:val="24"/>
        </w:rPr>
        <w:t xml:space="preserve"> </w:t>
      </w:r>
      <w:r w:rsidRPr="00D26351">
        <w:rPr>
          <w:rFonts w:asciiTheme="majorBidi" w:hAnsiTheme="majorBidi" w:cstheme="majorBidi"/>
          <w:sz w:val="24"/>
          <w:szCs w:val="24"/>
        </w:rPr>
        <w:t>.coli was the most commonly isolated agent (Escherichia coli)</w:t>
      </w:r>
      <w:r>
        <w:rPr>
          <w:rFonts w:asciiTheme="majorBidi" w:hAnsiTheme="majorBidi" w:cstheme="majorBidi"/>
          <w:sz w:val="24"/>
          <w:szCs w:val="24"/>
        </w:rPr>
        <w:t xml:space="preserve"> .</w:t>
      </w:r>
      <w:r w:rsidRPr="00D26351">
        <w:rPr>
          <w:rFonts w:asciiTheme="majorBidi" w:hAnsiTheme="majorBidi" w:cstheme="majorBidi"/>
          <w:sz w:val="24"/>
          <w:szCs w:val="24"/>
        </w:rPr>
        <w:t>The urinary Gram stain has a sensitivity and specificity of 80% and 83 percent, respectively, for both pyuria and Gram positivity</w:t>
      </w:r>
      <w:r>
        <w:rPr>
          <w:rFonts w:asciiTheme="majorBidi" w:hAnsiTheme="majorBidi" w:cstheme="majorBidi"/>
          <w:sz w:val="24"/>
          <w:szCs w:val="24"/>
        </w:rPr>
        <w:t xml:space="preserve"> .</w:t>
      </w:r>
    </w:p>
    <w:p w:rsidR="007A4BAE" w:rsidRDefault="00D26351" w:rsidP="00E9369A">
      <w:pPr>
        <w:rPr>
          <w:rFonts w:asciiTheme="majorBidi" w:hAnsiTheme="majorBidi" w:cstheme="majorBidi"/>
          <w:sz w:val="24"/>
          <w:szCs w:val="24"/>
        </w:rPr>
      </w:pPr>
      <w:r w:rsidRPr="00D26351">
        <w:rPr>
          <w:rFonts w:asciiTheme="majorBidi" w:hAnsiTheme="majorBidi" w:cstheme="majorBidi"/>
          <w:sz w:val="24"/>
          <w:szCs w:val="24"/>
        </w:rPr>
        <w:t>accounted for 42 percent and 90 percent of the whole urine analysis, respectively, while the entire urine analysis accounted for 3.5 percent.</w:t>
      </w:r>
      <w:r w:rsidR="00E9369A">
        <w:rPr>
          <w:rFonts w:asciiTheme="majorBidi" w:hAnsiTheme="majorBidi" w:cstheme="majorBidi"/>
          <w:sz w:val="24"/>
          <w:szCs w:val="24"/>
        </w:rPr>
        <w:t xml:space="preserve"> </w:t>
      </w:r>
      <w:r w:rsidRPr="00D26351">
        <w:rPr>
          <w:rFonts w:asciiTheme="majorBidi" w:hAnsiTheme="majorBidi" w:cstheme="majorBidi"/>
          <w:sz w:val="24"/>
          <w:szCs w:val="24"/>
        </w:rPr>
        <w:t>In symptomatic individuals, no urine screen can replace a urine cul</w:t>
      </w:r>
      <w:r w:rsidR="00E9369A">
        <w:rPr>
          <w:rFonts w:asciiTheme="majorBidi" w:hAnsiTheme="majorBidi" w:cstheme="majorBidi"/>
          <w:sz w:val="24"/>
          <w:szCs w:val="24"/>
        </w:rPr>
        <w:t xml:space="preserve">ture, according to </w:t>
      </w:r>
      <w:r w:rsidR="007A4BAE">
        <w:rPr>
          <w:rFonts w:asciiTheme="majorBidi" w:hAnsiTheme="majorBidi" w:cstheme="majorBidi"/>
          <w:sz w:val="24"/>
          <w:szCs w:val="24"/>
        </w:rPr>
        <w:t>finding .</w:t>
      </w: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7A4BAE" w:rsidRDefault="007A4BAE" w:rsidP="007A4BAE">
      <w:pPr>
        <w:rPr>
          <w:rFonts w:asciiTheme="majorBidi" w:hAnsiTheme="majorBidi" w:cstheme="majorBidi"/>
          <w:sz w:val="24"/>
          <w:szCs w:val="24"/>
        </w:rPr>
      </w:pPr>
    </w:p>
    <w:p w:rsidR="00D26351" w:rsidRPr="00C116CF" w:rsidRDefault="00D26351" w:rsidP="007A4BAE">
      <w:pPr>
        <w:rPr>
          <w:rFonts w:asciiTheme="majorBidi" w:hAnsiTheme="majorBidi" w:cstheme="majorBidi"/>
          <w:b/>
          <w:bCs/>
          <w:sz w:val="24"/>
          <w:szCs w:val="24"/>
        </w:rPr>
      </w:pPr>
      <w:r w:rsidRPr="00C116CF">
        <w:rPr>
          <w:rFonts w:asciiTheme="majorBidi" w:hAnsiTheme="majorBidi" w:cstheme="majorBidi"/>
          <w:b/>
          <w:bCs/>
          <w:sz w:val="28"/>
          <w:szCs w:val="28"/>
        </w:rPr>
        <w:t>Introduction :</w:t>
      </w:r>
    </w:p>
    <w:p w:rsidR="00E066F4" w:rsidRDefault="00D26351" w:rsidP="00E066F4">
      <w:pPr>
        <w:rPr>
          <w:rFonts w:asciiTheme="majorBidi" w:hAnsiTheme="majorBidi" w:cstheme="majorBidi"/>
          <w:sz w:val="24"/>
          <w:szCs w:val="24"/>
        </w:rPr>
      </w:pPr>
      <w:r w:rsidRPr="00D26351">
        <w:rPr>
          <w:rFonts w:asciiTheme="majorBidi" w:hAnsiTheme="majorBidi" w:cstheme="majorBidi"/>
          <w:sz w:val="28"/>
          <w:szCs w:val="28"/>
        </w:rPr>
        <w:t xml:space="preserve"> </w:t>
      </w:r>
      <w:r w:rsidRPr="00D26351">
        <w:rPr>
          <w:rFonts w:asciiTheme="majorBidi" w:hAnsiTheme="majorBidi" w:cstheme="majorBidi"/>
          <w:sz w:val="24"/>
          <w:szCs w:val="24"/>
        </w:rPr>
        <w:t>Urinary tract infection (UTI) is a frequent pediatric ailment that affects 3-5 percent of girls and 1% of males</w:t>
      </w:r>
      <w:r w:rsidR="00E066F4">
        <w:rPr>
          <w:rFonts w:asciiTheme="majorBidi" w:hAnsiTheme="majorBidi" w:cstheme="majorBidi"/>
          <w:sz w:val="24"/>
          <w:szCs w:val="24"/>
        </w:rPr>
        <w:t xml:space="preserve"> </w:t>
      </w:r>
      <w:r w:rsidRPr="00D26351">
        <w:rPr>
          <w:rFonts w:asciiTheme="majorBidi" w:hAnsiTheme="majorBidi" w:cstheme="majorBidi"/>
          <w:sz w:val="24"/>
          <w:szCs w:val="24"/>
        </w:rPr>
        <w:t>.</w:t>
      </w:r>
      <w:r w:rsidR="00E066F4">
        <w:rPr>
          <w:rFonts w:asciiTheme="majorBidi" w:hAnsiTheme="majorBidi" w:cstheme="majorBidi"/>
          <w:sz w:val="24"/>
          <w:szCs w:val="24"/>
        </w:rPr>
        <w:t xml:space="preserve"> </w:t>
      </w:r>
      <w:r w:rsidRPr="00D26351">
        <w:rPr>
          <w:rFonts w:asciiTheme="majorBidi" w:hAnsiTheme="majorBidi" w:cstheme="majorBidi"/>
          <w:sz w:val="24"/>
          <w:szCs w:val="24"/>
        </w:rPr>
        <w:t>Prompt treatment is critical in this age range because even a little delay might result in long-term consequences.</w:t>
      </w:r>
      <w:r w:rsidR="00E066F4">
        <w:rPr>
          <w:rFonts w:asciiTheme="majorBidi" w:hAnsiTheme="majorBidi" w:cstheme="majorBidi"/>
          <w:sz w:val="24"/>
          <w:szCs w:val="24"/>
        </w:rPr>
        <w:t xml:space="preserve"> </w:t>
      </w:r>
    </w:p>
    <w:p w:rsidR="00D26351" w:rsidRDefault="00D26351" w:rsidP="00E066F4">
      <w:pPr>
        <w:rPr>
          <w:rFonts w:asciiTheme="majorBidi" w:hAnsiTheme="majorBidi" w:cstheme="majorBidi"/>
          <w:sz w:val="24"/>
          <w:szCs w:val="24"/>
        </w:rPr>
      </w:pPr>
      <w:r w:rsidRPr="00D26351">
        <w:rPr>
          <w:rFonts w:asciiTheme="majorBidi" w:hAnsiTheme="majorBidi" w:cstheme="majorBidi"/>
          <w:sz w:val="24"/>
          <w:szCs w:val="24"/>
        </w:rPr>
        <w:t>However, quick therapy is contingent on accurate diagnosis.</w:t>
      </w:r>
      <w:r>
        <w:rPr>
          <w:rFonts w:asciiTheme="majorBidi" w:hAnsiTheme="majorBidi" w:cstheme="majorBidi"/>
          <w:sz w:val="24"/>
          <w:szCs w:val="24"/>
        </w:rPr>
        <w:t xml:space="preserve"> </w:t>
      </w:r>
      <w:r w:rsidRPr="00D26351">
        <w:rPr>
          <w:rFonts w:asciiTheme="majorBidi" w:hAnsiTheme="majorBidi" w:cstheme="majorBidi"/>
          <w:sz w:val="24"/>
          <w:szCs w:val="24"/>
        </w:rPr>
        <w:t>Although there are various fast screening techniques available, including urine analysis (microscopic pyuria), enhanced urine analysis (white blood cell "WBC" count per cubic millimeter + Gram stain), urine dipstick (leukocyte esterase or nitrate), and urine screen (catalase test). None of them have shown to be adequate</w:t>
      </w:r>
      <w:r>
        <w:rPr>
          <w:rFonts w:asciiTheme="majorBidi" w:hAnsiTheme="majorBidi" w:cstheme="majorBidi"/>
          <w:sz w:val="24"/>
          <w:szCs w:val="24"/>
        </w:rPr>
        <w:t xml:space="preserve"> </w:t>
      </w:r>
      <w:r w:rsidRPr="00D26351">
        <w:rPr>
          <w:rFonts w:asciiTheme="majorBidi" w:hAnsiTheme="majorBidi" w:cstheme="majorBidi"/>
          <w:sz w:val="24"/>
          <w:szCs w:val="24"/>
        </w:rPr>
        <w:t>.Urinary culture, urinary Gram stain, and four tests within the urine analysis, leukocyte esterase, nitrate, microscopy for bacteria, and microscopy for viruses, were used in this investigation</w:t>
      </w:r>
      <w:r>
        <w:rPr>
          <w:rFonts w:asciiTheme="majorBidi" w:hAnsiTheme="majorBidi" w:cstheme="majorBidi"/>
          <w:sz w:val="24"/>
          <w:szCs w:val="24"/>
        </w:rPr>
        <w:t xml:space="preserve"> </w:t>
      </w:r>
      <w:r w:rsidRPr="00D26351">
        <w:rPr>
          <w:rFonts w:asciiTheme="majorBidi" w:hAnsiTheme="majorBidi" w:cstheme="majorBidi"/>
          <w:sz w:val="24"/>
          <w:szCs w:val="24"/>
        </w:rPr>
        <w:t>.The goal of this study was to compare the urinary Gram stain</w:t>
      </w:r>
      <w:r w:rsidR="00E066F4">
        <w:rPr>
          <w:rFonts w:asciiTheme="majorBidi" w:hAnsiTheme="majorBidi" w:cstheme="majorBidi"/>
          <w:sz w:val="24"/>
          <w:szCs w:val="24"/>
        </w:rPr>
        <w:t xml:space="preserve"> to a combination of pyuria positive </w:t>
      </w:r>
      <w:r w:rsidRPr="00D26351">
        <w:rPr>
          <w:rFonts w:asciiTheme="majorBidi" w:hAnsiTheme="majorBidi" w:cstheme="majorBidi"/>
          <w:sz w:val="24"/>
          <w:szCs w:val="24"/>
        </w:rPr>
        <w:t>Gram stain and total urine analysis to see how accurate it was.</w:t>
      </w:r>
    </w:p>
    <w:p w:rsidR="00E066F4" w:rsidRPr="00C116CF" w:rsidRDefault="00E066F4" w:rsidP="00E066F4">
      <w:pPr>
        <w:rPr>
          <w:rFonts w:asciiTheme="majorBidi" w:hAnsiTheme="majorBidi" w:cstheme="majorBidi"/>
          <w:b/>
          <w:bCs/>
          <w:sz w:val="28"/>
          <w:szCs w:val="28"/>
        </w:rPr>
      </w:pPr>
      <w:r w:rsidRPr="00C116CF">
        <w:rPr>
          <w:rFonts w:asciiTheme="majorBidi" w:hAnsiTheme="majorBidi" w:cstheme="majorBidi"/>
          <w:b/>
          <w:bCs/>
          <w:sz w:val="28"/>
          <w:szCs w:val="28"/>
        </w:rPr>
        <w:t>Materials and Methods:</w:t>
      </w:r>
    </w:p>
    <w:p w:rsid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The study included 100 children who were admitted to the hospital , department of popocliatrics , between January 1999 and Jun 1999 with symptoms suggesting UTI .</w:t>
      </w:r>
      <w:r>
        <w:rPr>
          <w:rFonts w:asciiTheme="majorBidi" w:hAnsiTheme="majorBidi" w:cstheme="majorBidi"/>
          <w:sz w:val="24"/>
          <w:szCs w:val="24"/>
        </w:rPr>
        <w:t xml:space="preserve"> </w:t>
      </w:r>
      <w:r w:rsidRPr="00E066F4">
        <w:rPr>
          <w:rFonts w:asciiTheme="majorBidi" w:hAnsiTheme="majorBidi" w:cstheme="majorBidi"/>
          <w:sz w:val="24"/>
          <w:szCs w:val="24"/>
        </w:rPr>
        <w:t>Physical examinations were performed on all children, and urine samples were collected using a sterile procedure.</w:t>
      </w:r>
      <w:r>
        <w:rPr>
          <w:rFonts w:asciiTheme="majorBidi" w:hAnsiTheme="majorBidi" w:cstheme="majorBidi"/>
          <w:sz w:val="24"/>
          <w:szCs w:val="24"/>
        </w:rPr>
        <w:t xml:space="preserve"> </w:t>
      </w:r>
      <w:r w:rsidRPr="00E066F4">
        <w:rPr>
          <w:rFonts w:asciiTheme="majorBidi" w:hAnsiTheme="majorBidi" w:cstheme="majorBidi"/>
          <w:sz w:val="24"/>
          <w:szCs w:val="24"/>
        </w:rPr>
        <w:t>An automated urine analyzer was used to perform leukocyte esterase and nitrate investigations in fresh and non-centrifuged urine.</w:t>
      </w:r>
      <w:r>
        <w:rPr>
          <w:rFonts w:asciiTheme="majorBidi" w:hAnsiTheme="majorBidi" w:cstheme="majorBidi"/>
          <w:sz w:val="24"/>
          <w:szCs w:val="24"/>
        </w:rPr>
        <w:t xml:space="preserve"> </w:t>
      </w:r>
      <w:r w:rsidRPr="00E066F4">
        <w:rPr>
          <w:rFonts w:asciiTheme="majorBidi" w:hAnsiTheme="majorBidi" w:cstheme="majorBidi"/>
          <w:sz w:val="24"/>
          <w:szCs w:val="24"/>
        </w:rPr>
        <w:t>On a centrifuged urine specimen, microscopy for microorganisms and pyuria was done. In automated urinalysis, leukocyte esterase was judged positive if at least a (trace) was present, and nitrate was read qualitatively as (positive) or (negative).</w:t>
      </w:r>
    </w:p>
    <w:p w:rsid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Pyuria was considered present if there were more than fine WBCs on unstained microcopy, and bacteria was present if there was at least a (slight) reading pre-average high-powered field (40 x magnification).Inoculating sheep blood agar and eosin metilen blue agar culture plates with quantitative urine culture was done using a loop calibrated to deliver 0.01 ml.</w:t>
      </w:r>
      <w:r>
        <w:rPr>
          <w:rFonts w:asciiTheme="majorBidi" w:hAnsiTheme="majorBidi" w:cstheme="majorBidi"/>
          <w:sz w:val="24"/>
          <w:szCs w:val="24"/>
        </w:rPr>
        <w:t xml:space="preserve"> </w:t>
      </w:r>
      <w:r w:rsidRPr="00E066F4">
        <w:rPr>
          <w:rFonts w:asciiTheme="majorBidi" w:hAnsiTheme="majorBidi" w:cstheme="majorBidi"/>
          <w:sz w:val="24"/>
          <w:szCs w:val="24"/>
        </w:rPr>
        <w:t>For bacterial identification and colony count, all plates were incubated at 35°C for 48 hours and read.</w:t>
      </w:r>
      <w:r w:rsidR="00507540">
        <w:rPr>
          <w:rFonts w:asciiTheme="majorBidi" w:hAnsiTheme="majorBidi" w:cstheme="majorBidi" w:hint="cs"/>
          <w:sz w:val="24"/>
          <w:szCs w:val="24"/>
          <w:rtl/>
        </w:rPr>
        <w:t xml:space="preserve">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Gram stain were performed on all specimens using of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Centrifuged urine.</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Solutions of crystal violet , Gram’s iodine (2 g potassium iodine in 300 ml distilled water plus 1g iodine crystals) ,95% ethanol and/or isopropanol _ acetone mixture (1:3) and safrarin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lastRenderedPageBreak/>
        <w:t>•  Clean glass slides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Inoculating loop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xml:space="preserve">•  Bunsen burner.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Bibulous paper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Immersion oil .</w:t>
      </w:r>
    </w:p>
    <w:p w:rsidR="00E066F4" w:rsidRPr="00E066F4" w:rsidRDefault="00E066F4" w:rsidP="00E066F4">
      <w:pPr>
        <w:rPr>
          <w:rFonts w:asciiTheme="majorBidi" w:hAnsiTheme="majorBidi" w:cstheme="majorBidi"/>
          <w:sz w:val="24"/>
          <w:szCs w:val="24"/>
        </w:rPr>
      </w:pPr>
      <w:r w:rsidRPr="00E066F4">
        <w:rPr>
          <w:rFonts w:asciiTheme="majorBidi" w:hAnsiTheme="majorBidi" w:cstheme="majorBidi"/>
          <w:sz w:val="24"/>
          <w:szCs w:val="24"/>
        </w:rPr>
        <w:t>•  Staining rack .</w:t>
      </w:r>
    </w:p>
    <w:p w:rsidR="00E066F4" w:rsidRDefault="00E066F4" w:rsidP="00E054DF">
      <w:pPr>
        <w:rPr>
          <w:rFonts w:asciiTheme="majorBidi" w:hAnsiTheme="majorBidi" w:cstheme="majorBidi"/>
          <w:sz w:val="24"/>
          <w:szCs w:val="24"/>
        </w:rPr>
      </w:pPr>
      <w:r w:rsidRPr="00E066F4">
        <w:rPr>
          <w:rFonts w:asciiTheme="majorBidi" w:hAnsiTheme="majorBidi" w:cstheme="majorBidi"/>
          <w:sz w:val="24"/>
          <w:szCs w:val="24"/>
        </w:rPr>
        <w:t>•  Bacto Gram stain reagents from difco  for the three _ step gram stain .</w:t>
      </w:r>
      <w:r>
        <w:rPr>
          <w:rFonts w:asciiTheme="majorBidi" w:hAnsiTheme="majorBidi" w:cstheme="majorBidi"/>
          <w:sz w:val="24"/>
          <w:szCs w:val="24"/>
        </w:rPr>
        <w:t xml:space="preserve"> </w:t>
      </w:r>
    </w:p>
    <w:p w:rsidR="00E066F4" w:rsidRDefault="00E066F4" w:rsidP="00E054DF">
      <w:pPr>
        <w:rPr>
          <w:rFonts w:asciiTheme="majorBidi" w:hAnsiTheme="majorBidi" w:cstheme="majorBidi"/>
          <w:sz w:val="24"/>
          <w:szCs w:val="24"/>
          <w:rtl/>
        </w:rPr>
      </w:pPr>
      <w:r>
        <w:rPr>
          <w:rFonts w:asciiTheme="majorBidi" w:hAnsiTheme="majorBidi" w:cstheme="majorBidi"/>
          <w:sz w:val="24"/>
          <w:szCs w:val="24"/>
        </w:rPr>
        <w:t xml:space="preserve">Figure : </w:t>
      </w:r>
    </w:p>
    <w:p w:rsidR="00E054DF" w:rsidRDefault="00E054DF" w:rsidP="00E054DF">
      <w:pPr>
        <w:rPr>
          <w:rFonts w:asciiTheme="majorBidi" w:hAnsiTheme="majorBidi" w:cstheme="majorBidi"/>
          <w:sz w:val="24"/>
          <w:szCs w:val="24"/>
          <w:rtl/>
          <w:lang w:bidi="ar-LY"/>
        </w:rPr>
      </w:pPr>
      <w:r>
        <w:rPr>
          <w:rFonts w:asciiTheme="majorBidi" w:hAnsiTheme="majorBidi" w:cstheme="majorBidi"/>
          <w:noProof/>
          <w:sz w:val="24"/>
          <w:szCs w:val="24"/>
        </w:rPr>
        <w:drawing>
          <wp:inline distT="0" distB="0" distL="0" distR="0">
            <wp:extent cx="5486400" cy="2837446"/>
            <wp:effectExtent l="0" t="0" r="0" b="1270"/>
            <wp:docPr id="2" name="صورة 2" descr="C:\Users\omalqura\Desktop\photo_2022-06-12_22-2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malqura\Desktop\photo_2022-06-12_22-21-06.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0" cy="2837446"/>
                    </a:xfrm>
                    <a:prstGeom prst="rect">
                      <a:avLst/>
                    </a:prstGeom>
                    <a:noFill/>
                    <a:ln>
                      <a:noFill/>
                    </a:ln>
                  </pic:spPr>
                </pic:pic>
              </a:graphicData>
            </a:graphic>
          </wp:inline>
        </w:drawing>
      </w:r>
    </w:p>
    <w:p w:rsidR="00E066F4" w:rsidRPr="00E066F4" w:rsidRDefault="00E066F4" w:rsidP="00E066F4">
      <w:pPr>
        <w:rPr>
          <w:rFonts w:asciiTheme="majorBidi" w:hAnsiTheme="majorBidi" w:cstheme="majorBidi"/>
          <w:sz w:val="24"/>
          <w:szCs w:val="24"/>
          <w:rtl/>
          <w:lang w:bidi="ar-LY"/>
        </w:rPr>
      </w:pPr>
    </w:p>
    <w:p w:rsidR="00E066F4" w:rsidRDefault="00E066F4" w:rsidP="00E066F4">
      <w:pPr>
        <w:rPr>
          <w:rFonts w:asciiTheme="majorBidi" w:hAnsiTheme="majorBidi" w:cstheme="majorBidi"/>
          <w:sz w:val="24"/>
          <w:szCs w:val="24"/>
        </w:rPr>
      </w:pPr>
    </w:p>
    <w:p w:rsidR="00272B07" w:rsidRDefault="00E054DF" w:rsidP="00272B07">
      <w:pPr>
        <w:rPr>
          <w:rFonts w:asciiTheme="majorBidi" w:hAnsiTheme="majorBidi" w:cstheme="majorBidi"/>
          <w:sz w:val="24"/>
          <w:szCs w:val="24"/>
          <w:rtl/>
        </w:rPr>
      </w:pPr>
      <w:r w:rsidRPr="00E054DF">
        <w:rPr>
          <w:rFonts w:asciiTheme="majorBidi" w:hAnsiTheme="majorBidi" w:cstheme="majorBidi"/>
          <w:sz w:val="24"/>
          <w:szCs w:val="24"/>
        </w:rPr>
        <w:t>If a culture contained more than 100.000 colonies of a single pathogen, it was termed positive.</w:t>
      </w:r>
      <w:r>
        <w:rPr>
          <w:rFonts w:asciiTheme="majorBidi" w:hAnsiTheme="majorBidi" w:cstheme="majorBidi" w:hint="cs"/>
          <w:sz w:val="24"/>
          <w:szCs w:val="24"/>
          <w:rtl/>
          <w:lang w:bidi="ar-LY"/>
        </w:rPr>
        <w:t xml:space="preserve"> </w:t>
      </w:r>
      <w:r w:rsidRPr="00E054DF">
        <w:rPr>
          <w:rFonts w:asciiTheme="majorBidi" w:hAnsiTheme="majorBidi" w:cstheme="majorBidi"/>
          <w:sz w:val="24"/>
          <w:szCs w:val="24"/>
        </w:rPr>
        <w:t>The data was evaluated, and the X square test was used to perform statistical analysis.</w:t>
      </w:r>
    </w:p>
    <w:p w:rsidR="00272B07" w:rsidRDefault="00272B07" w:rsidP="00272B07">
      <w:pPr>
        <w:bidi/>
        <w:jc w:val="right"/>
        <w:rPr>
          <w:rFonts w:asciiTheme="majorBidi" w:hAnsiTheme="majorBidi" w:cstheme="majorBidi"/>
          <w:sz w:val="24"/>
          <w:szCs w:val="24"/>
          <w:lang w:bidi="ar-LY"/>
        </w:rPr>
      </w:pPr>
      <w:r>
        <w:rPr>
          <w:rFonts w:asciiTheme="majorBidi" w:hAnsiTheme="majorBidi" w:cstheme="majorBidi"/>
          <w:sz w:val="24"/>
          <w:szCs w:val="24"/>
          <w:lang w:bidi="ar-LY"/>
        </w:rPr>
        <w:t xml:space="preserve">According to SPSS , use Fisher’s law because it shows the UTI difference between male and female . </w:t>
      </w:r>
    </w:p>
    <w:p w:rsidR="00347756" w:rsidRDefault="00347756" w:rsidP="00D26351">
      <w:pPr>
        <w:rPr>
          <w:rFonts w:asciiTheme="majorBidi" w:hAnsiTheme="majorBidi" w:cstheme="majorBidi"/>
          <w:sz w:val="28"/>
          <w:szCs w:val="28"/>
        </w:rPr>
      </w:pPr>
    </w:p>
    <w:p w:rsidR="00D26351" w:rsidRPr="00C116CF" w:rsidRDefault="00E054DF" w:rsidP="00D26351">
      <w:pPr>
        <w:rPr>
          <w:rFonts w:asciiTheme="majorBidi" w:hAnsiTheme="majorBidi" w:cstheme="majorBidi"/>
          <w:b/>
          <w:bCs/>
          <w:sz w:val="28"/>
          <w:szCs w:val="28"/>
        </w:rPr>
      </w:pPr>
      <w:r w:rsidRPr="00C116CF">
        <w:rPr>
          <w:rFonts w:asciiTheme="majorBidi" w:hAnsiTheme="majorBidi" w:cstheme="majorBidi"/>
          <w:b/>
          <w:bCs/>
          <w:sz w:val="28"/>
          <w:szCs w:val="28"/>
        </w:rPr>
        <w:t>Results :</w:t>
      </w:r>
    </w:p>
    <w:p w:rsidR="00E054DF" w:rsidRPr="00E054DF" w:rsidRDefault="00E054DF" w:rsidP="00E054DF">
      <w:pPr>
        <w:rPr>
          <w:rFonts w:asciiTheme="majorBidi" w:hAnsiTheme="majorBidi" w:cstheme="majorBidi"/>
          <w:sz w:val="24"/>
          <w:szCs w:val="24"/>
        </w:rPr>
      </w:pPr>
      <w:r w:rsidRPr="00E054DF">
        <w:rPr>
          <w:rFonts w:asciiTheme="majorBidi" w:hAnsiTheme="majorBidi" w:cstheme="majorBidi"/>
          <w:sz w:val="24"/>
          <w:szCs w:val="24"/>
        </w:rPr>
        <w:lastRenderedPageBreak/>
        <w:t>The study comprised 100 children ranging in age from 2 days to 15 years old, with 48 percent boys and 52 percent girls.</w:t>
      </w:r>
      <w:r>
        <w:rPr>
          <w:rFonts w:asciiTheme="majorBidi" w:hAnsiTheme="majorBidi" w:cstheme="majorBidi"/>
          <w:sz w:val="24"/>
          <w:szCs w:val="24"/>
        </w:rPr>
        <w:t xml:space="preserve"> </w:t>
      </w:r>
      <w:r w:rsidRPr="00E054DF">
        <w:rPr>
          <w:rFonts w:asciiTheme="majorBidi" w:hAnsiTheme="majorBidi" w:cstheme="majorBidi"/>
          <w:sz w:val="24"/>
          <w:szCs w:val="24"/>
        </w:rPr>
        <w:t>A positive urinary culture was found in 70% of the children, with 43 percent of boys and 57 percent of girls.</w:t>
      </w:r>
      <w:r>
        <w:rPr>
          <w:rFonts w:asciiTheme="majorBidi" w:hAnsiTheme="majorBidi" w:cstheme="majorBidi"/>
          <w:sz w:val="24"/>
          <w:szCs w:val="24"/>
        </w:rPr>
        <w:t xml:space="preserve"> </w:t>
      </w:r>
      <w:r w:rsidRPr="00E054DF">
        <w:rPr>
          <w:rFonts w:asciiTheme="majorBidi" w:hAnsiTheme="majorBidi" w:cstheme="majorBidi"/>
          <w:sz w:val="24"/>
          <w:szCs w:val="24"/>
        </w:rPr>
        <w:t>The majority of these children were under the age of five.</w:t>
      </w:r>
    </w:p>
    <w:p w:rsidR="00E054DF" w:rsidRDefault="00E054DF" w:rsidP="00E054DF">
      <w:pPr>
        <w:rPr>
          <w:rFonts w:asciiTheme="majorBidi" w:hAnsiTheme="majorBidi" w:cstheme="majorBidi"/>
          <w:sz w:val="24"/>
          <w:szCs w:val="24"/>
        </w:rPr>
      </w:pPr>
      <w:r w:rsidRPr="00E054DF">
        <w:rPr>
          <w:rFonts w:asciiTheme="majorBidi" w:hAnsiTheme="majorBidi" w:cstheme="majorBidi"/>
          <w:sz w:val="24"/>
          <w:szCs w:val="24"/>
        </w:rPr>
        <w:t>There is a clear distinction between gender and age groupings (Table 1).</w:t>
      </w:r>
    </w:p>
    <w:p w:rsidR="00291966" w:rsidRPr="00E054DF" w:rsidRDefault="00291966" w:rsidP="00E054DF">
      <w:pP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486400" cy="2344245"/>
            <wp:effectExtent l="0" t="0" r="0" b="0"/>
            <wp:docPr id="3" name="صورة 3" descr="C:\Users\omalqura\Desktop\tab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malqura\Desktop\table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2344245"/>
                    </a:xfrm>
                    <a:prstGeom prst="rect">
                      <a:avLst/>
                    </a:prstGeom>
                    <a:noFill/>
                    <a:ln>
                      <a:noFill/>
                    </a:ln>
                  </pic:spPr>
                </pic:pic>
              </a:graphicData>
            </a:graphic>
          </wp:inline>
        </w:drawing>
      </w:r>
    </w:p>
    <w:p w:rsidR="00E054DF" w:rsidRDefault="00E054DF" w:rsidP="00E054DF">
      <w:pPr>
        <w:rPr>
          <w:rFonts w:asciiTheme="majorBidi" w:hAnsiTheme="majorBidi" w:cstheme="majorBidi"/>
          <w:sz w:val="24"/>
          <w:szCs w:val="24"/>
        </w:rPr>
      </w:pPr>
      <w:r w:rsidRPr="00E054DF">
        <w:rPr>
          <w:rFonts w:asciiTheme="majorBidi" w:hAnsiTheme="majorBidi" w:cstheme="majorBidi"/>
          <w:sz w:val="24"/>
          <w:szCs w:val="24"/>
        </w:rPr>
        <w:t>47 percent of the cultures tested positive for E. coli, 18.5 percent for Klebsiella pneumonia, 10% for Proteus mirabilis, and 8.5 percent for staphylococci, among other bacteria.</w:t>
      </w:r>
      <w:r w:rsidR="00080D8A">
        <w:rPr>
          <w:rFonts w:asciiTheme="majorBidi" w:hAnsiTheme="majorBidi" w:cstheme="majorBidi"/>
          <w:sz w:val="24"/>
          <w:szCs w:val="24"/>
        </w:rPr>
        <w:t xml:space="preserve"> </w:t>
      </w:r>
      <w:r w:rsidR="00080D8A" w:rsidRPr="00080D8A">
        <w:rPr>
          <w:rFonts w:asciiTheme="majorBidi" w:hAnsiTheme="majorBidi" w:cstheme="majorBidi"/>
          <w:sz w:val="24"/>
          <w:szCs w:val="24"/>
        </w:rPr>
        <w:t>(Table 2 )</w:t>
      </w:r>
      <w:r w:rsidR="00080D8A">
        <w:rPr>
          <w:rFonts w:asciiTheme="majorBidi" w:hAnsiTheme="majorBidi" w:cstheme="majorBidi"/>
          <w:sz w:val="24"/>
          <w:szCs w:val="24"/>
        </w:rPr>
        <w:t xml:space="preserve"> .</w:t>
      </w:r>
    </w:p>
    <w:p w:rsidR="00291966" w:rsidRPr="00E054DF" w:rsidRDefault="00291966" w:rsidP="00E054DF">
      <w:pP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486400" cy="2821754"/>
            <wp:effectExtent l="0" t="0" r="0" b="0"/>
            <wp:docPr id="4" name="صورة 4" descr="C:\Users\omalqura\Desktop\2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malqura\Desktop\2tabl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86400" cy="2821754"/>
                    </a:xfrm>
                    <a:prstGeom prst="rect">
                      <a:avLst/>
                    </a:prstGeom>
                    <a:noFill/>
                    <a:ln>
                      <a:noFill/>
                    </a:ln>
                  </pic:spPr>
                </pic:pic>
              </a:graphicData>
            </a:graphic>
          </wp:inline>
        </w:drawing>
      </w:r>
    </w:p>
    <w:p w:rsidR="00E054DF" w:rsidRDefault="00E054DF" w:rsidP="00E054DF">
      <w:pPr>
        <w:rPr>
          <w:rFonts w:asciiTheme="majorBidi" w:hAnsiTheme="majorBidi" w:cstheme="majorBidi"/>
          <w:sz w:val="24"/>
          <w:szCs w:val="24"/>
        </w:rPr>
      </w:pPr>
      <w:r w:rsidRPr="00E054DF">
        <w:rPr>
          <w:rFonts w:asciiTheme="majorBidi" w:hAnsiTheme="majorBidi" w:cstheme="majorBidi"/>
          <w:sz w:val="24"/>
          <w:szCs w:val="24"/>
        </w:rPr>
        <w:t xml:space="preserve">The sensitivity, specificity, and predictive values for Gram stain, pyuria with Gram stain, and overall urine analysis are summarized in </w:t>
      </w:r>
      <w:r>
        <w:rPr>
          <w:rFonts w:asciiTheme="majorBidi" w:hAnsiTheme="majorBidi" w:cstheme="majorBidi"/>
          <w:sz w:val="24"/>
          <w:szCs w:val="24"/>
        </w:rPr>
        <w:t>(</w:t>
      </w:r>
      <w:r w:rsidRPr="00E054DF">
        <w:rPr>
          <w:rFonts w:asciiTheme="majorBidi" w:hAnsiTheme="majorBidi" w:cstheme="majorBidi"/>
          <w:sz w:val="24"/>
          <w:szCs w:val="24"/>
        </w:rPr>
        <w:t>Table 3</w:t>
      </w:r>
      <w:r>
        <w:rPr>
          <w:rFonts w:asciiTheme="majorBidi" w:hAnsiTheme="majorBidi" w:cstheme="majorBidi"/>
          <w:sz w:val="24"/>
          <w:szCs w:val="24"/>
        </w:rPr>
        <w:t>)</w:t>
      </w:r>
      <w:r w:rsidRPr="00E054DF">
        <w:rPr>
          <w:rFonts w:asciiTheme="majorBidi" w:hAnsiTheme="majorBidi" w:cstheme="majorBidi"/>
          <w:sz w:val="24"/>
          <w:szCs w:val="24"/>
        </w:rPr>
        <w:t>.</w:t>
      </w:r>
    </w:p>
    <w:p w:rsidR="00291966" w:rsidRDefault="00291966" w:rsidP="00E054DF">
      <w:pP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486400" cy="2615163"/>
            <wp:effectExtent l="0" t="0" r="0" b="0"/>
            <wp:docPr id="5" name="صورة 5" descr="C:\Users\omalqura\Desktop\Inked3table_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malqura\Desktop\Inked3table_L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2615163"/>
                    </a:xfrm>
                    <a:prstGeom prst="rect">
                      <a:avLst/>
                    </a:prstGeom>
                    <a:noFill/>
                    <a:ln>
                      <a:noFill/>
                    </a:ln>
                  </pic:spPr>
                </pic:pic>
              </a:graphicData>
            </a:graphic>
          </wp:inline>
        </w:drawing>
      </w:r>
    </w:p>
    <w:p w:rsidR="00291966" w:rsidRPr="00E054DF" w:rsidRDefault="00291966" w:rsidP="00E054DF">
      <w:pPr>
        <w:rPr>
          <w:rFonts w:asciiTheme="majorBidi" w:hAnsiTheme="majorBidi" w:cstheme="majorBidi"/>
          <w:sz w:val="24"/>
          <w:szCs w:val="24"/>
        </w:rPr>
      </w:pPr>
    </w:p>
    <w:p w:rsidR="00D26351" w:rsidRDefault="00E054DF" w:rsidP="00E054DF">
      <w:pPr>
        <w:rPr>
          <w:rFonts w:asciiTheme="majorBidi" w:hAnsiTheme="majorBidi" w:cstheme="majorBidi"/>
          <w:sz w:val="24"/>
          <w:szCs w:val="24"/>
        </w:rPr>
      </w:pPr>
      <w:r w:rsidRPr="00E054DF">
        <w:rPr>
          <w:rFonts w:asciiTheme="majorBidi" w:hAnsiTheme="majorBidi" w:cstheme="majorBidi"/>
          <w:sz w:val="24"/>
          <w:szCs w:val="24"/>
        </w:rPr>
        <w:t>The combination of pyuria and Gram stain has the highest specificity of 90 percent.</w:t>
      </w:r>
      <w:r w:rsidR="00291966">
        <w:rPr>
          <w:rFonts w:asciiTheme="majorBidi" w:hAnsiTheme="majorBidi" w:cstheme="majorBidi"/>
          <w:sz w:val="24"/>
          <w:szCs w:val="24"/>
        </w:rPr>
        <w:t xml:space="preserve"> </w:t>
      </w:r>
    </w:p>
    <w:p w:rsidR="00FA426B" w:rsidRDefault="00FA426B" w:rsidP="00FA426B">
      <w:pPr>
        <w:rPr>
          <w:rFonts w:asciiTheme="majorBidi" w:hAnsiTheme="majorBidi" w:cstheme="majorBidi"/>
          <w:sz w:val="28"/>
          <w:szCs w:val="28"/>
        </w:rPr>
      </w:pPr>
      <w:r w:rsidRPr="00FA426B">
        <w:rPr>
          <w:rFonts w:asciiTheme="majorBidi" w:hAnsiTheme="majorBidi" w:cstheme="majorBidi"/>
          <w:sz w:val="28"/>
          <w:szCs w:val="28"/>
        </w:rPr>
        <w:t>Results and Statistical analysis :</w:t>
      </w:r>
    </w:p>
    <w:p w:rsidR="000C6538" w:rsidRPr="00FA426B" w:rsidRDefault="00F803C8" w:rsidP="00F803C8">
      <w:pPr>
        <w:rPr>
          <w:rFonts w:asciiTheme="majorBidi" w:hAnsiTheme="majorBidi" w:cstheme="majorBidi"/>
          <w:sz w:val="28"/>
          <w:szCs w:val="28"/>
        </w:rPr>
      </w:pPr>
      <w:r w:rsidRPr="00F803C8">
        <w:rPr>
          <w:rFonts w:asciiTheme="majorBidi" w:hAnsiTheme="majorBidi" w:cstheme="majorBidi"/>
          <w:sz w:val="28"/>
          <w:szCs w:val="28"/>
        </w:rPr>
        <w:t>The goal of this study was to look for germs in urine samples from 24 LIMU understudies in their middle years. There were twelve young females  and twelve young males in attendance.  A group of young males 54.2 percent of LIMU students have a disability.</w:t>
      </w:r>
      <w:r w:rsidRPr="00F803C8">
        <w:t xml:space="preserve"> </w:t>
      </w:r>
      <w:r>
        <w:rPr>
          <w:rFonts w:asciiTheme="majorBidi" w:hAnsiTheme="majorBidi" w:cstheme="majorBidi"/>
          <w:sz w:val="28"/>
          <w:szCs w:val="28"/>
        </w:rPr>
        <w:t>Bacteriouria with a</w:t>
      </w:r>
      <w:r w:rsidRPr="00F803C8">
        <w:rPr>
          <w:rFonts w:asciiTheme="majorBidi" w:hAnsiTheme="majorBidi" w:cstheme="majorBidi"/>
          <w:sz w:val="28"/>
          <w:szCs w:val="28"/>
        </w:rPr>
        <w:t>symptoms was identified.</w:t>
      </w:r>
      <w:r w:rsidRPr="00F803C8">
        <w:t xml:space="preserve"> </w:t>
      </w:r>
      <w:r w:rsidRPr="00F803C8">
        <w:rPr>
          <w:rFonts w:asciiTheme="majorBidi" w:hAnsiTheme="majorBidi" w:cstheme="majorBidi"/>
          <w:sz w:val="28"/>
          <w:szCs w:val="28"/>
        </w:rPr>
        <w:t>There were 7 (29.2%) understudy whose urine tests</w:t>
      </w:r>
      <w:r>
        <w:rPr>
          <w:rFonts w:asciiTheme="majorBidi" w:hAnsiTheme="majorBidi" w:cstheme="majorBidi"/>
          <w:sz w:val="28"/>
          <w:szCs w:val="28"/>
        </w:rPr>
        <w:t xml:space="preserve"> , </w:t>
      </w:r>
      <w:r w:rsidRPr="00F803C8">
        <w:rPr>
          <w:rFonts w:asciiTheme="majorBidi" w:hAnsiTheme="majorBidi" w:cstheme="majorBidi"/>
          <w:sz w:val="28"/>
          <w:szCs w:val="28"/>
        </w:rPr>
        <w:t>developed less than 10,000 CFU/mL, 6 (25%) cases</w:t>
      </w:r>
      <w:r>
        <w:rPr>
          <w:rFonts w:asciiTheme="majorBidi" w:hAnsiTheme="majorBidi" w:cstheme="majorBidi"/>
          <w:sz w:val="28"/>
          <w:szCs w:val="28"/>
        </w:rPr>
        <w:t xml:space="preserve"> with</w:t>
      </w:r>
      <w:r w:rsidRPr="00F803C8">
        <w:rPr>
          <w:rFonts w:asciiTheme="majorBidi" w:hAnsiTheme="majorBidi" w:cstheme="majorBidi"/>
          <w:sz w:val="28"/>
          <w:szCs w:val="28"/>
        </w:rPr>
        <w:t>10,000 CFU/mL and more, and 11 (45.8%) with no development. As a result, asymptomatic bacteriuria was found to be prevalent in 18% of LIMU understudies  (75%) and, as seen in table 1, as follows:</w:t>
      </w: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9"/>
        <w:gridCol w:w="1030"/>
        <w:gridCol w:w="1030"/>
        <w:gridCol w:w="1030"/>
        <w:gridCol w:w="1030"/>
        <w:gridCol w:w="1030"/>
        <w:gridCol w:w="1030"/>
      </w:tblGrid>
      <w:tr w:rsidR="00FA426B" w:rsidRPr="006B72AB" w:rsidTr="00F81260">
        <w:trPr>
          <w:cantSplit/>
        </w:trPr>
        <w:tc>
          <w:tcPr>
            <w:tcW w:w="8033" w:type="dxa"/>
            <w:gridSpan w:val="7"/>
            <w:tcBorders>
              <w:top w:val="nil"/>
              <w:left w:val="nil"/>
              <w:bottom w:val="nil"/>
              <w:right w:val="nil"/>
            </w:tcBorders>
            <w:shd w:val="clear" w:color="auto" w:fill="FFFFFF"/>
            <w:vAlign w:val="center"/>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Case Processing Summary</w:t>
            </w:r>
          </w:p>
        </w:tc>
      </w:tr>
      <w:tr w:rsidR="00FA426B" w:rsidRPr="006B72AB" w:rsidTr="00F81260">
        <w:trPr>
          <w:cantSplit/>
        </w:trPr>
        <w:tc>
          <w:tcPr>
            <w:tcW w:w="1859" w:type="dxa"/>
            <w:vMerge w:val="restart"/>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240" w:lineRule="auto"/>
              <w:rPr>
                <w:rFonts w:ascii="Times New Roman" w:hAnsi="Times New Roman" w:cs="Times New Roman"/>
                <w:sz w:val="24"/>
                <w:szCs w:val="24"/>
              </w:rPr>
            </w:pPr>
          </w:p>
        </w:tc>
        <w:tc>
          <w:tcPr>
            <w:tcW w:w="6174" w:type="dxa"/>
            <w:gridSpan w:val="6"/>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FA426B" w:rsidRPr="006B72AB" w:rsidTr="00F81260">
        <w:trPr>
          <w:cantSplit/>
        </w:trPr>
        <w:tc>
          <w:tcPr>
            <w:tcW w:w="1859" w:type="dxa"/>
            <w:vMerge/>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240" w:lineRule="auto"/>
              <w:rPr>
                <w:rFonts w:ascii="Arial" w:hAnsi="Arial" w:cs="Arial"/>
                <w:color w:val="264A60"/>
                <w:sz w:val="18"/>
                <w:szCs w:val="18"/>
              </w:rPr>
            </w:pPr>
          </w:p>
        </w:tc>
        <w:tc>
          <w:tcPr>
            <w:tcW w:w="2058" w:type="dxa"/>
            <w:gridSpan w:val="2"/>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FA426B" w:rsidRPr="006B72AB" w:rsidTr="00F81260">
        <w:trPr>
          <w:cantSplit/>
        </w:trPr>
        <w:tc>
          <w:tcPr>
            <w:tcW w:w="1859" w:type="dxa"/>
            <w:vMerge/>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FA426B" w:rsidRPr="006B72AB" w:rsidTr="00F81260">
        <w:trPr>
          <w:cantSplit/>
        </w:trPr>
        <w:tc>
          <w:tcPr>
            <w:tcW w:w="1859" w:type="dxa"/>
            <w:tcBorders>
              <w:top w:val="single" w:sz="8" w:space="0" w:color="152935"/>
              <w:left w:val="nil"/>
              <w:bottom w:val="single" w:sz="8" w:space="0" w:color="152935"/>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FA426B" w:rsidRDefault="00FA426B" w:rsidP="00FA426B">
      <w:pPr>
        <w:rPr>
          <w:rFonts w:asciiTheme="majorBidi" w:hAnsiTheme="majorBidi" w:cstheme="majorBidi"/>
          <w:b/>
          <w:bCs/>
          <w:sz w:val="28"/>
          <w:szCs w:val="28"/>
          <w:lang w:bidi="ar-LY"/>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FA426B" w:rsidRPr="006B72AB" w:rsidTr="00F81260">
        <w:trPr>
          <w:cantSplit/>
        </w:trPr>
        <w:tc>
          <w:tcPr>
            <w:tcW w:w="8803" w:type="dxa"/>
            <w:gridSpan w:val="7"/>
            <w:tcBorders>
              <w:top w:val="nil"/>
              <w:left w:val="nil"/>
              <w:bottom w:val="nil"/>
              <w:right w:val="nil"/>
            </w:tcBorders>
            <w:shd w:val="clear" w:color="auto" w:fill="FFFFFF"/>
            <w:vAlign w:val="center"/>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Gender * UTICATS Crosstabulation</w:t>
            </w:r>
          </w:p>
        </w:tc>
      </w:tr>
      <w:tr w:rsidR="00FA426B" w:rsidRPr="006B72AB" w:rsidTr="00F81260">
        <w:trPr>
          <w:cantSplit/>
        </w:trPr>
        <w:tc>
          <w:tcPr>
            <w:tcW w:w="3672" w:type="dxa"/>
            <w:gridSpan w:val="3"/>
            <w:vMerge w:val="restart"/>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240" w:lineRule="auto"/>
              <w:rPr>
                <w:rFonts w:ascii="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29" w:type="dxa"/>
            <w:vMerge w:val="restart"/>
            <w:tcBorders>
              <w:top w:val="nil"/>
              <w:left w:val="single" w:sz="8" w:space="0" w:color="E0E0E0"/>
              <w:bottom w:val="nil"/>
              <w:right w:val="nil"/>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FA426B" w:rsidRPr="006B72AB" w:rsidTr="00F81260">
        <w:trPr>
          <w:cantSplit/>
        </w:trPr>
        <w:tc>
          <w:tcPr>
            <w:tcW w:w="3672" w:type="dxa"/>
            <w:gridSpan w:val="3"/>
            <w:vMerge/>
            <w:tcBorders>
              <w:top w:val="nil"/>
              <w:left w:val="nil"/>
              <w:bottom w:val="nil"/>
              <w:right w:val="nil"/>
            </w:tcBorders>
            <w:shd w:val="clear" w:color="auto" w:fill="FFFFFF"/>
            <w:vAlign w:val="bottom"/>
          </w:tcPr>
          <w:p w:rsidR="00FA426B" w:rsidRPr="006B72AB" w:rsidRDefault="00FA426B" w:rsidP="00F81260">
            <w:pPr>
              <w:autoSpaceDE w:val="0"/>
              <w:autoSpaceDN w:val="0"/>
              <w:adjustRightInd w:val="0"/>
              <w:spacing w:after="0" w:line="240" w:lineRule="auto"/>
              <w:rPr>
                <w:rFonts w:ascii="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FA426B" w:rsidRPr="006B72AB"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rsidR="00FA426B" w:rsidRPr="006B72AB" w:rsidRDefault="00FA426B" w:rsidP="00F81260">
            <w:pPr>
              <w:autoSpaceDE w:val="0"/>
              <w:autoSpaceDN w:val="0"/>
              <w:adjustRightInd w:val="0"/>
              <w:spacing w:after="0" w:line="240" w:lineRule="auto"/>
              <w:rPr>
                <w:rFonts w:ascii="Arial" w:hAnsi="Arial" w:cs="Arial"/>
                <w:color w:val="264A60"/>
                <w:sz w:val="18"/>
                <w:szCs w:val="18"/>
              </w:rPr>
            </w:pPr>
          </w:p>
        </w:tc>
      </w:tr>
      <w:tr w:rsidR="00FA426B" w:rsidRPr="006B72AB" w:rsidTr="00F81260">
        <w:trPr>
          <w:cantSplit/>
        </w:trPr>
        <w:tc>
          <w:tcPr>
            <w:tcW w:w="922" w:type="dxa"/>
            <w:vMerge w:val="restart"/>
            <w:tcBorders>
              <w:top w:val="single" w:sz="8" w:space="0" w:color="152935"/>
              <w:left w:val="nil"/>
              <w:bottom w:val="nil"/>
              <w:right w:val="nil"/>
            </w:tcBorders>
            <w:shd w:val="clear" w:color="auto" w:fill="E0E0E0"/>
          </w:tcPr>
          <w:p w:rsidR="00FA426B" w:rsidRPr="006B72AB" w:rsidRDefault="00FA426B" w:rsidP="00FA426B">
            <w:pPr>
              <w:autoSpaceDE w:val="0"/>
              <w:autoSpaceDN w:val="0"/>
              <w:adjustRightInd w:val="0"/>
              <w:spacing w:after="0" w:line="320" w:lineRule="atLeast"/>
              <w:ind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p>
        </w:tc>
      </w:tr>
      <w:tr w:rsidR="00FA426B" w:rsidRPr="006B72AB" w:rsidTr="00F81260">
        <w:trPr>
          <w:cantSplit/>
        </w:trPr>
        <w:tc>
          <w:tcPr>
            <w:tcW w:w="922" w:type="dxa"/>
            <w:vMerge/>
            <w:tcBorders>
              <w:top w:val="single" w:sz="8" w:space="0" w:color="152935"/>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FA426B" w:rsidRPr="006B72AB" w:rsidTr="00F81260">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FA426B" w:rsidRPr="006B72AB" w:rsidTr="00F81260">
        <w:trPr>
          <w:cantSplit/>
        </w:trPr>
        <w:tc>
          <w:tcPr>
            <w:tcW w:w="1859" w:type="dxa"/>
            <w:gridSpan w:val="2"/>
            <w:vMerge/>
            <w:tcBorders>
              <w:top w:val="single" w:sz="8" w:space="0" w:color="AEAEAE"/>
              <w:left w:val="nil"/>
              <w:bottom w:val="single" w:sz="8" w:space="0" w:color="152935"/>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FA426B" w:rsidRPr="006B72AB" w:rsidTr="00F81260">
        <w:trPr>
          <w:cantSplit/>
        </w:trPr>
        <w:tc>
          <w:tcPr>
            <w:tcW w:w="1859" w:type="dxa"/>
            <w:gridSpan w:val="2"/>
            <w:vMerge/>
            <w:tcBorders>
              <w:top w:val="single" w:sz="8" w:space="0" w:color="AEAEAE"/>
              <w:left w:val="nil"/>
              <w:bottom w:val="single" w:sz="8" w:space="0" w:color="152935"/>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FA426B" w:rsidRPr="006B72AB" w:rsidTr="00F81260">
        <w:trPr>
          <w:cantSplit/>
        </w:trPr>
        <w:tc>
          <w:tcPr>
            <w:tcW w:w="1859" w:type="dxa"/>
            <w:gridSpan w:val="2"/>
            <w:vMerge/>
            <w:tcBorders>
              <w:top w:val="single" w:sz="8" w:space="0" w:color="AEAEAE"/>
              <w:left w:val="nil"/>
              <w:bottom w:val="single" w:sz="8" w:space="0" w:color="152935"/>
              <w:right w:val="nil"/>
            </w:tcBorders>
            <w:shd w:val="clear" w:color="auto" w:fill="E0E0E0"/>
          </w:tcPr>
          <w:p w:rsidR="00FA426B" w:rsidRPr="006B72AB" w:rsidRDefault="00FA426B" w:rsidP="00F81260">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rsidR="00FA426B" w:rsidRPr="006B72AB" w:rsidRDefault="00FA426B" w:rsidP="00F81260">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single" w:sz="8" w:space="0" w:color="152935"/>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FA426B" w:rsidRPr="006B72AB"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FA426B" w:rsidRDefault="00FA426B" w:rsidP="00FA426B">
      <w:pPr>
        <w:rPr>
          <w:rFonts w:asciiTheme="majorBidi" w:hAnsiTheme="majorBidi" w:cstheme="majorBidi"/>
          <w:sz w:val="24"/>
          <w:szCs w:val="24"/>
        </w:rPr>
      </w:pPr>
      <w:r>
        <w:rPr>
          <w:rFonts w:asciiTheme="majorBidi" w:hAnsiTheme="majorBidi" w:cstheme="majorBidi"/>
          <w:sz w:val="24"/>
          <w:szCs w:val="24"/>
        </w:rPr>
        <w:t xml:space="preserve">  Table 1: the difference between bacterial growth in males and females . </w:t>
      </w:r>
    </w:p>
    <w:tbl>
      <w:tblPr>
        <w:tblW w:w="9329" w:type="dxa"/>
        <w:tblInd w:w="-4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74"/>
        <w:gridCol w:w="1024"/>
        <w:gridCol w:w="1024"/>
        <w:gridCol w:w="1469"/>
        <w:gridCol w:w="1469"/>
        <w:gridCol w:w="1469"/>
      </w:tblGrid>
      <w:tr w:rsidR="00FA426B" w:rsidRPr="008F0256" w:rsidTr="00B4066F">
        <w:trPr>
          <w:cantSplit/>
        </w:trPr>
        <w:tc>
          <w:tcPr>
            <w:tcW w:w="9329" w:type="dxa"/>
            <w:gridSpan w:val="6"/>
            <w:tcBorders>
              <w:top w:val="nil"/>
              <w:left w:val="nil"/>
              <w:bottom w:val="nil"/>
              <w:right w:val="nil"/>
            </w:tcBorders>
            <w:shd w:val="clear" w:color="auto" w:fill="FFFFFF"/>
            <w:vAlign w:val="center"/>
          </w:tcPr>
          <w:p w:rsidR="00FA426B" w:rsidRPr="008F0256" w:rsidRDefault="00FA426B" w:rsidP="00F81260">
            <w:pPr>
              <w:autoSpaceDE w:val="0"/>
              <w:autoSpaceDN w:val="0"/>
              <w:adjustRightInd w:val="0"/>
              <w:spacing w:after="0" w:line="320" w:lineRule="atLeast"/>
              <w:ind w:left="60" w:right="60"/>
              <w:jc w:val="center"/>
              <w:rPr>
                <w:rFonts w:ascii="Arial" w:hAnsi="Arial" w:cs="Arial"/>
                <w:color w:val="010205"/>
              </w:rPr>
            </w:pPr>
            <w:r w:rsidRPr="008F0256">
              <w:rPr>
                <w:rFonts w:ascii="Arial" w:hAnsi="Arial" w:cs="Arial"/>
                <w:b/>
                <w:bCs/>
                <w:color w:val="010205"/>
              </w:rPr>
              <w:t>Chi-Square Tests</w:t>
            </w:r>
          </w:p>
        </w:tc>
      </w:tr>
      <w:tr w:rsidR="00FA426B" w:rsidRPr="008F0256" w:rsidTr="00B4066F">
        <w:trPr>
          <w:cantSplit/>
        </w:trPr>
        <w:tc>
          <w:tcPr>
            <w:tcW w:w="2874" w:type="dxa"/>
            <w:tcBorders>
              <w:top w:val="nil"/>
              <w:left w:val="nil"/>
              <w:bottom w:val="single" w:sz="8" w:space="0" w:color="152935"/>
              <w:right w:val="nil"/>
            </w:tcBorders>
            <w:shd w:val="clear" w:color="auto" w:fill="FFFFFF"/>
            <w:vAlign w:val="bottom"/>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FA426B" w:rsidRPr="008F0256"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8F0256">
              <w:rPr>
                <w:rFonts w:ascii="Arial" w:hAnsi="Arial" w:cs="Arial"/>
                <w:color w:val="264A60"/>
                <w:sz w:val="18"/>
                <w:szCs w:val="18"/>
              </w:rPr>
              <w:t>Value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FA426B" w:rsidRPr="008F0256"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8F0256">
              <w:rPr>
                <w:rFonts w:ascii="Arial" w:hAnsi="Arial" w:cs="Arial"/>
                <w:color w:val="264A60"/>
                <w:sz w:val="18"/>
                <w:szCs w:val="18"/>
              </w:rPr>
              <w:t>df</w:t>
            </w:r>
          </w:p>
        </w:tc>
        <w:tc>
          <w:tcPr>
            <w:tcW w:w="1469" w:type="dxa"/>
            <w:tcBorders>
              <w:top w:val="nil"/>
              <w:left w:val="single" w:sz="8" w:space="0" w:color="E0E0E0"/>
              <w:bottom w:val="single" w:sz="8" w:space="0" w:color="152935"/>
              <w:right w:val="single" w:sz="8" w:space="0" w:color="E0E0E0"/>
            </w:tcBorders>
            <w:shd w:val="clear" w:color="auto" w:fill="FFFFFF"/>
            <w:vAlign w:val="bottom"/>
          </w:tcPr>
          <w:p w:rsidR="00FA426B" w:rsidRPr="008F0256"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8F0256">
              <w:rPr>
                <w:rFonts w:ascii="Arial" w:hAnsi="Arial" w:cs="Arial"/>
                <w:color w:val="264A60"/>
                <w:sz w:val="18"/>
                <w:szCs w:val="18"/>
              </w:rPr>
              <w:t>Asymptotic Significance (2-sided)</w:t>
            </w:r>
          </w:p>
        </w:tc>
        <w:tc>
          <w:tcPr>
            <w:tcW w:w="1469" w:type="dxa"/>
            <w:tcBorders>
              <w:top w:val="nil"/>
              <w:left w:val="single" w:sz="8" w:space="0" w:color="E0E0E0"/>
              <w:bottom w:val="single" w:sz="8" w:space="0" w:color="152935"/>
              <w:right w:val="single" w:sz="8" w:space="0" w:color="E0E0E0"/>
            </w:tcBorders>
            <w:shd w:val="clear" w:color="auto" w:fill="FFFFFF"/>
            <w:vAlign w:val="bottom"/>
          </w:tcPr>
          <w:p w:rsidR="00FA426B" w:rsidRPr="008F0256"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8F0256">
              <w:rPr>
                <w:rFonts w:ascii="Arial" w:hAnsi="Arial" w:cs="Arial"/>
                <w:color w:val="264A60"/>
                <w:sz w:val="18"/>
                <w:szCs w:val="18"/>
              </w:rPr>
              <w:t>Exact Sig. (2-sided)</w:t>
            </w:r>
          </w:p>
        </w:tc>
        <w:tc>
          <w:tcPr>
            <w:tcW w:w="1469" w:type="dxa"/>
            <w:tcBorders>
              <w:top w:val="nil"/>
              <w:left w:val="single" w:sz="8" w:space="0" w:color="E0E0E0"/>
              <w:bottom w:val="single" w:sz="8" w:space="0" w:color="152935"/>
              <w:right w:val="nil"/>
            </w:tcBorders>
            <w:shd w:val="clear" w:color="auto" w:fill="FFFFFF"/>
            <w:vAlign w:val="bottom"/>
          </w:tcPr>
          <w:p w:rsidR="00FA426B" w:rsidRPr="008F0256" w:rsidRDefault="00FA426B" w:rsidP="00F81260">
            <w:pPr>
              <w:autoSpaceDE w:val="0"/>
              <w:autoSpaceDN w:val="0"/>
              <w:adjustRightInd w:val="0"/>
              <w:spacing w:after="0" w:line="320" w:lineRule="atLeast"/>
              <w:ind w:left="60" w:right="60"/>
              <w:jc w:val="center"/>
              <w:rPr>
                <w:rFonts w:ascii="Arial" w:hAnsi="Arial" w:cs="Arial"/>
                <w:color w:val="264A60"/>
                <w:sz w:val="18"/>
                <w:szCs w:val="18"/>
              </w:rPr>
            </w:pPr>
            <w:r w:rsidRPr="008F0256">
              <w:rPr>
                <w:rFonts w:ascii="Arial" w:hAnsi="Arial" w:cs="Arial"/>
                <w:color w:val="264A60"/>
                <w:sz w:val="18"/>
                <w:szCs w:val="18"/>
              </w:rPr>
              <w:t>Exact Sig. (1-sided)</w:t>
            </w:r>
          </w:p>
        </w:tc>
      </w:tr>
      <w:tr w:rsidR="00FA426B" w:rsidRPr="008F0256" w:rsidTr="00B4066F">
        <w:trPr>
          <w:cantSplit/>
        </w:trPr>
        <w:tc>
          <w:tcPr>
            <w:tcW w:w="2874" w:type="dxa"/>
            <w:tcBorders>
              <w:top w:val="single" w:sz="8" w:space="0" w:color="152935"/>
              <w:left w:val="nil"/>
              <w:bottom w:val="single" w:sz="8" w:space="0" w:color="AEAEAE"/>
              <w:right w:val="nil"/>
            </w:tcBorders>
            <w:shd w:val="clear" w:color="auto" w:fill="E0E0E0"/>
          </w:tcPr>
          <w:p w:rsidR="00FA426B" w:rsidRPr="008F0256" w:rsidRDefault="00FA426B" w:rsidP="00F81260">
            <w:pPr>
              <w:autoSpaceDE w:val="0"/>
              <w:autoSpaceDN w:val="0"/>
              <w:adjustRightInd w:val="0"/>
              <w:spacing w:after="0" w:line="320" w:lineRule="atLeast"/>
              <w:ind w:left="60" w:right="60"/>
              <w:rPr>
                <w:rFonts w:ascii="Arial" w:hAnsi="Arial" w:cs="Arial"/>
                <w:color w:val="264A60"/>
                <w:sz w:val="18"/>
                <w:szCs w:val="18"/>
              </w:rPr>
            </w:pPr>
            <w:r w:rsidRPr="008F0256">
              <w:rPr>
                <w:rFonts w:ascii="Arial" w:hAnsi="Arial" w:cs="Arial"/>
                <w:color w:val="264A60"/>
                <w:sz w:val="18"/>
                <w:szCs w:val="18"/>
              </w:rPr>
              <w:t>Pearson Chi-Square</w:t>
            </w:r>
          </w:p>
        </w:tc>
        <w:tc>
          <w:tcPr>
            <w:tcW w:w="1024" w:type="dxa"/>
            <w:tcBorders>
              <w:top w:val="single" w:sz="8" w:space="0" w:color="152935"/>
              <w:left w:val="nil"/>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8.224</w:t>
            </w:r>
            <w:r w:rsidRPr="008F0256">
              <w:rPr>
                <w:rFonts w:ascii="Arial" w:hAnsi="Arial" w:cs="Arial"/>
                <w:color w:val="010205"/>
                <w:sz w:val="18"/>
                <w:szCs w:val="18"/>
                <w:vertAlign w:val="superscript"/>
              </w:rPr>
              <w:t>a</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1</w:t>
            </w:r>
          </w:p>
        </w:tc>
        <w:tc>
          <w:tcPr>
            <w:tcW w:w="1469" w:type="dxa"/>
            <w:tcBorders>
              <w:top w:val="single" w:sz="8" w:space="0" w:color="152935"/>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.004</w:t>
            </w:r>
          </w:p>
        </w:tc>
        <w:tc>
          <w:tcPr>
            <w:tcW w:w="146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152935"/>
              <w:left w:val="single" w:sz="8" w:space="0" w:color="E0E0E0"/>
              <w:bottom w:val="single" w:sz="8" w:space="0" w:color="AEAEAE"/>
              <w:right w:val="nil"/>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r>
      <w:tr w:rsidR="00FA426B" w:rsidRPr="008F0256" w:rsidTr="00B4066F">
        <w:trPr>
          <w:cantSplit/>
        </w:trPr>
        <w:tc>
          <w:tcPr>
            <w:tcW w:w="2874" w:type="dxa"/>
            <w:tcBorders>
              <w:top w:val="single" w:sz="8" w:space="0" w:color="AEAEAE"/>
              <w:left w:val="nil"/>
              <w:bottom w:val="single" w:sz="8" w:space="0" w:color="AEAEAE"/>
              <w:right w:val="nil"/>
            </w:tcBorders>
            <w:shd w:val="clear" w:color="auto" w:fill="E0E0E0"/>
          </w:tcPr>
          <w:p w:rsidR="00FA426B" w:rsidRPr="008F0256" w:rsidRDefault="00FA426B" w:rsidP="00F81260">
            <w:pPr>
              <w:autoSpaceDE w:val="0"/>
              <w:autoSpaceDN w:val="0"/>
              <w:adjustRightInd w:val="0"/>
              <w:spacing w:after="0" w:line="320" w:lineRule="atLeast"/>
              <w:ind w:left="60" w:right="60"/>
              <w:rPr>
                <w:rFonts w:ascii="Arial" w:hAnsi="Arial" w:cs="Arial"/>
                <w:color w:val="264A60"/>
                <w:sz w:val="18"/>
                <w:szCs w:val="18"/>
              </w:rPr>
            </w:pPr>
            <w:r w:rsidRPr="008F0256">
              <w:rPr>
                <w:rFonts w:ascii="Arial" w:hAnsi="Arial" w:cs="Arial"/>
                <w:color w:val="264A60"/>
                <w:sz w:val="18"/>
                <w:szCs w:val="18"/>
              </w:rPr>
              <w:t>Continuity Correction</w:t>
            </w:r>
            <w:r w:rsidRPr="008F0256">
              <w:rPr>
                <w:rFonts w:ascii="Arial" w:hAnsi="Arial" w:cs="Arial"/>
                <w:color w:val="264A60"/>
                <w:sz w:val="18"/>
                <w:szCs w:val="18"/>
                <w:vertAlign w:val="superscript"/>
              </w:rPr>
              <w:t>b</w:t>
            </w:r>
          </w:p>
        </w:tc>
        <w:tc>
          <w:tcPr>
            <w:tcW w:w="1024" w:type="dxa"/>
            <w:tcBorders>
              <w:top w:val="single" w:sz="8" w:space="0" w:color="AEAEAE"/>
              <w:left w:val="nil"/>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6.042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1</w:t>
            </w:r>
          </w:p>
        </w:tc>
        <w:tc>
          <w:tcPr>
            <w:tcW w:w="1469"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.014</w:t>
            </w:r>
          </w:p>
        </w:tc>
        <w:tc>
          <w:tcPr>
            <w:tcW w:w="146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AEAEAE"/>
              <w:right w:val="nil"/>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r>
      <w:tr w:rsidR="00FA426B" w:rsidRPr="008F0256" w:rsidTr="00B4066F">
        <w:trPr>
          <w:cantSplit/>
        </w:trPr>
        <w:tc>
          <w:tcPr>
            <w:tcW w:w="2874" w:type="dxa"/>
            <w:tcBorders>
              <w:top w:val="single" w:sz="8" w:space="0" w:color="AEAEAE"/>
              <w:left w:val="nil"/>
              <w:bottom w:val="single" w:sz="8" w:space="0" w:color="AEAEAE"/>
              <w:right w:val="nil"/>
            </w:tcBorders>
            <w:shd w:val="clear" w:color="auto" w:fill="E0E0E0"/>
          </w:tcPr>
          <w:p w:rsidR="00FA426B" w:rsidRPr="008F0256" w:rsidRDefault="00FA426B" w:rsidP="00F81260">
            <w:pPr>
              <w:autoSpaceDE w:val="0"/>
              <w:autoSpaceDN w:val="0"/>
              <w:adjustRightInd w:val="0"/>
              <w:spacing w:after="0" w:line="320" w:lineRule="atLeast"/>
              <w:ind w:left="60" w:right="60"/>
              <w:rPr>
                <w:rFonts w:ascii="Arial" w:hAnsi="Arial" w:cs="Arial"/>
                <w:color w:val="264A60"/>
                <w:sz w:val="18"/>
                <w:szCs w:val="18"/>
              </w:rPr>
            </w:pPr>
            <w:r w:rsidRPr="008F0256">
              <w:rPr>
                <w:rFonts w:ascii="Arial" w:hAnsi="Arial" w:cs="Arial"/>
                <w:color w:val="264A60"/>
                <w:sz w:val="18"/>
                <w:szCs w:val="18"/>
              </w:rPr>
              <w:t>Likelihood Ratio</w:t>
            </w:r>
          </w:p>
        </w:tc>
        <w:tc>
          <w:tcPr>
            <w:tcW w:w="1024" w:type="dxa"/>
            <w:tcBorders>
              <w:top w:val="single" w:sz="8" w:space="0" w:color="AEAEAE"/>
              <w:left w:val="nil"/>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8.795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1</w:t>
            </w:r>
          </w:p>
        </w:tc>
        <w:tc>
          <w:tcPr>
            <w:tcW w:w="1469"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.003</w:t>
            </w:r>
          </w:p>
        </w:tc>
        <w:tc>
          <w:tcPr>
            <w:tcW w:w="146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AEAEAE"/>
              <w:right w:val="nil"/>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r>
      <w:tr w:rsidR="00FA426B" w:rsidRPr="008F0256" w:rsidTr="00B4066F">
        <w:trPr>
          <w:cantSplit/>
        </w:trPr>
        <w:tc>
          <w:tcPr>
            <w:tcW w:w="2874" w:type="dxa"/>
            <w:tcBorders>
              <w:top w:val="single" w:sz="8" w:space="0" w:color="AEAEAE"/>
              <w:left w:val="nil"/>
              <w:bottom w:val="single" w:sz="8" w:space="0" w:color="AEAEAE"/>
              <w:right w:val="nil"/>
            </w:tcBorders>
            <w:shd w:val="clear" w:color="auto" w:fill="E0E0E0"/>
          </w:tcPr>
          <w:p w:rsidR="00FA426B" w:rsidRPr="008F0256" w:rsidRDefault="00FA426B" w:rsidP="00F81260">
            <w:pPr>
              <w:autoSpaceDE w:val="0"/>
              <w:autoSpaceDN w:val="0"/>
              <w:adjustRightInd w:val="0"/>
              <w:spacing w:after="0" w:line="320" w:lineRule="atLeast"/>
              <w:ind w:left="60" w:right="60"/>
              <w:rPr>
                <w:rFonts w:ascii="Arial" w:hAnsi="Arial" w:cs="Arial"/>
                <w:color w:val="264A60"/>
                <w:sz w:val="18"/>
                <w:szCs w:val="18"/>
              </w:rPr>
            </w:pPr>
            <w:r w:rsidRPr="008F0256">
              <w:rPr>
                <w:rFonts w:ascii="Arial" w:hAnsi="Arial" w:cs="Arial"/>
                <w:color w:val="264A60"/>
                <w:sz w:val="18"/>
                <w:szCs w:val="18"/>
              </w:rPr>
              <w:t>Fisher's Exact Test</w:t>
            </w:r>
          </w:p>
        </w:tc>
        <w:tc>
          <w:tcPr>
            <w:tcW w:w="1024" w:type="dxa"/>
            <w:tcBorders>
              <w:top w:val="single" w:sz="8" w:space="0" w:color="AEAEAE"/>
              <w:left w:val="nil"/>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.012</w:t>
            </w:r>
          </w:p>
        </w:tc>
        <w:tc>
          <w:tcPr>
            <w:tcW w:w="1469" w:type="dxa"/>
            <w:tcBorders>
              <w:top w:val="single" w:sz="8" w:space="0" w:color="AEAEAE"/>
              <w:left w:val="single" w:sz="8" w:space="0" w:color="E0E0E0"/>
              <w:bottom w:val="single" w:sz="8" w:space="0" w:color="AEAEAE"/>
              <w:right w:val="nil"/>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.006</w:t>
            </w:r>
          </w:p>
        </w:tc>
      </w:tr>
      <w:tr w:rsidR="00FA426B" w:rsidRPr="008F0256" w:rsidTr="00B4066F">
        <w:trPr>
          <w:cantSplit/>
        </w:trPr>
        <w:tc>
          <w:tcPr>
            <w:tcW w:w="2874" w:type="dxa"/>
            <w:tcBorders>
              <w:top w:val="single" w:sz="8" w:space="0" w:color="AEAEAE"/>
              <w:left w:val="nil"/>
              <w:bottom w:val="single" w:sz="8" w:space="0" w:color="AEAEAE"/>
              <w:right w:val="nil"/>
            </w:tcBorders>
            <w:shd w:val="clear" w:color="auto" w:fill="E0E0E0"/>
          </w:tcPr>
          <w:p w:rsidR="00FA426B" w:rsidRPr="008F0256" w:rsidRDefault="00FA426B" w:rsidP="00F81260">
            <w:pPr>
              <w:autoSpaceDE w:val="0"/>
              <w:autoSpaceDN w:val="0"/>
              <w:adjustRightInd w:val="0"/>
              <w:spacing w:after="0" w:line="320" w:lineRule="atLeast"/>
              <w:ind w:left="60" w:right="60"/>
              <w:rPr>
                <w:rFonts w:ascii="Arial" w:hAnsi="Arial" w:cs="Arial"/>
                <w:color w:val="264A60"/>
                <w:sz w:val="18"/>
                <w:szCs w:val="18"/>
              </w:rPr>
            </w:pPr>
            <w:r w:rsidRPr="008F0256">
              <w:rPr>
                <w:rFonts w:ascii="Arial" w:hAnsi="Arial" w:cs="Arial"/>
                <w:color w:val="264A60"/>
                <w:sz w:val="18"/>
                <w:szCs w:val="18"/>
              </w:rPr>
              <w:t>Linear-by-Linear Association</w:t>
            </w:r>
          </w:p>
        </w:tc>
        <w:tc>
          <w:tcPr>
            <w:tcW w:w="1024" w:type="dxa"/>
            <w:tcBorders>
              <w:top w:val="single" w:sz="8" w:space="0" w:color="AEAEAE"/>
              <w:left w:val="nil"/>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7.881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1</w:t>
            </w:r>
          </w:p>
        </w:tc>
        <w:tc>
          <w:tcPr>
            <w:tcW w:w="1469" w:type="dxa"/>
            <w:tcBorders>
              <w:top w:val="single" w:sz="8" w:space="0" w:color="AEAEAE"/>
              <w:left w:val="single" w:sz="8" w:space="0" w:color="E0E0E0"/>
              <w:bottom w:val="single" w:sz="8" w:space="0" w:color="AEAEAE"/>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.005</w:t>
            </w:r>
          </w:p>
        </w:tc>
        <w:tc>
          <w:tcPr>
            <w:tcW w:w="146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AEAEAE"/>
              <w:right w:val="nil"/>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r>
      <w:tr w:rsidR="00FA426B" w:rsidRPr="008F0256" w:rsidTr="00B4066F">
        <w:trPr>
          <w:cantSplit/>
        </w:trPr>
        <w:tc>
          <w:tcPr>
            <w:tcW w:w="2874" w:type="dxa"/>
            <w:tcBorders>
              <w:top w:val="single" w:sz="8" w:space="0" w:color="AEAEAE"/>
              <w:left w:val="nil"/>
              <w:bottom w:val="single" w:sz="8" w:space="0" w:color="152935"/>
              <w:right w:val="nil"/>
            </w:tcBorders>
            <w:shd w:val="clear" w:color="auto" w:fill="E0E0E0"/>
          </w:tcPr>
          <w:p w:rsidR="00FA426B" w:rsidRPr="008F0256" w:rsidRDefault="00FA426B" w:rsidP="00F81260">
            <w:pPr>
              <w:autoSpaceDE w:val="0"/>
              <w:autoSpaceDN w:val="0"/>
              <w:adjustRightInd w:val="0"/>
              <w:spacing w:after="0" w:line="320" w:lineRule="atLeast"/>
              <w:ind w:left="60" w:right="60"/>
              <w:rPr>
                <w:rFonts w:ascii="Arial" w:hAnsi="Arial" w:cs="Arial"/>
                <w:color w:val="264A60"/>
                <w:sz w:val="18"/>
                <w:szCs w:val="18"/>
              </w:rPr>
            </w:pPr>
            <w:r w:rsidRPr="008F0256">
              <w:rPr>
                <w:rFonts w:ascii="Arial" w:hAnsi="Arial" w:cs="Arial"/>
                <w:color w:val="264A60"/>
                <w:sz w:val="18"/>
                <w:szCs w:val="18"/>
              </w:rPr>
              <w:t>N of Valid Cases</w:t>
            </w:r>
          </w:p>
        </w:tc>
        <w:tc>
          <w:tcPr>
            <w:tcW w:w="1024" w:type="dxa"/>
            <w:tcBorders>
              <w:top w:val="single" w:sz="8" w:space="0" w:color="AEAEAE"/>
              <w:left w:val="nil"/>
              <w:bottom w:val="single" w:sz="8" w:space="0" w:color="152935"/>
              <w:right w:val="single" w:sz="8" w:space="0" w:color="E0E0E0"/>
            </w:tcBorders>
            <w:shd w:val="clear" w:color="auto" w:fill="FFFFFF"/>
          </w:tcPr>
          <w:p w:rsidR="00FA426B" w:rsidRPr="008F0256" w:rsidRDefault="00FA426B" w:rsidP="00F81260">
            <w:pPr>
              <w:autoSpaceDE w:val="0"/>
              <w:autoSpaceDN w:val="0"/>
              <w:adjustRightInd w:val="0"/>
              <w:spacing w:after="0" w:line="320" w:lineRule="atLeast"/>
              <w:ind w:left="60" w:right="60"/>
              <w:jc w:val="right"/>
              <w:rPr>
                <w:rFonts w:ascii="Arial" w:hAnsi="Arial" w:cs="Arial"/>
                <w:color w:val="010205"/>
                <w:sz w:val="18"/>
                <w:szCs w:val="18"/>
              </w:rPr>
            </w:pPr>
            <w:r w:rsidRPr="008F0256">
              <w:rPr>
                <w:rFonts w:ascii="Arial" w:hAnsi="Arial" w:cs="Arial"/>
                <w:color w:val="010205"/>
                <w:sz w:val="18"/>
                <w:szCs w:val="18"/>
              </w:rPr>
              <w:t>24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c>
          <w:tcPr>
            <w:tcW w:w="1469" w:type="dxa"/>
            <w:tcBorders>
              <w:top w:val="single" w:sz="8" w:space="0" w:color="AEAEAE"/>
              <w:left w:val="single" w:sz="8" w:space="0" w:color="E0E0E0"/>
              <w:bottom w:val="single" w:sz="8" w:space="0" w:color="152935"/>
              <w:right w:val="nil"/>
            </w:tcBorders>
            <w:shd w:val="clear" w:color="auto" w:fill="FFFFFF"/>
            <w:vAlign w:val="center"/>
          </w:tcPr>
          <w:p w:rsidR="00FA426B" w:rsidRPr="008F0256" w:rsidRDefault="00FA426B" w:rsidP="00F81260">
            <w:pPr>
              <w:autoSpaceDE w:val="0"/>
              <w:autoSpaceDN w:val="0"/>
              <w:adjustRightInd w:val="0"/>
              <w:spacing w:after="0" w:line="240" w:lineRule="auto"/>
              <w:rPr>
                <w:rFonts w:ascii="Times New Roman" w:hAnsi="Times New Roman" w:cs="Times New Roman"/>
                <w:sz w:val="24"/>
                <w:szCs w:val="24"/>
              </w:rPr>
            </w:pPr>
          </w:p>
        </w:tc>
      </w:tr>
      <w:tr w:rsidR="00FA426B" w:rsidRPr="008F0256" w:rsidTr="00B4066F">
        <w:trPr>
          <w:cantSplit/>
        </w:trPr>
        <w:tc>
          <w:tcPr>
            <w:tcW w:w="9329" w:type="dxa"/>
            <w:gridSpan w:val="6"/>
            <w:tcBorders>
              <w:top w:val="nil"/>
              <w:left w:val="nil"/>
              <w:bottom w:val="nil"/>
              <w:right w:val="nil"/>
            </w:tcBorders>
            <w:shd w:val="clear" w:color="auto" w:fill="FFFFFF"/>
          </w:tcPr>
          <w:p w:rsidR="000C6538" w:rsidRPr="000C6538" w:rsidRDefault="000C6538" w:rsidP="000C6538">
            <w:pPr>
              <w:autoSpaceDE w:val="0"/>
              <w:autoSpaceDN w:val="0"/>
              <w:adjustRightInd w:val="0"/>
              <w:spacing w:after="0" w:line="320" w:lineRule="atLeast"/>
              <w:ind w:right="60"/>
              <w:rPr>
                <w:rFonts w:asciiTheme="majorBidi" w:hAnsiTheme="majorBidi" w:cstheme="majorBidi"/>
                <w:color w:val="010205"/>
                <w:sz w:val="24"/>
                <w:szCs w:val="24"/>
              </w:rPr>
            </w:pPr>
            <w:r w:rsidRPr="000C6538">
              <w:rPr>
                <w:rFonts w:asciiTheme="majorBidi" w:hAnsiTheme="majorBidi" w:cstheme="majorBidi"/>
                <w:color w:val="010205"/>
                <w:sz w:val="24"/>
                <w:szCs w:val="24"/>
              </w:rPr>
              <w:lastRenderedPageBreak/>
              <w:t>a. 2 cells (33.3%) have expected count less than 5. The minimum expected count is 1.00.</w:t>
            </w:r>
          </w:p>
          <w:p w:rsidR="000C6538" w:rsidRPr="000C6538" w:rsidRDefault="000C6538" w:rsidP="000C6538">
            <w:pPr>
              <w:autoSpaceDE w:val="0"/>
              <w:autoSpaceDN w:val="0"/>
              <w:adjustRightInd w:val="0"/>
              <w:spacing w:after="0" w:line="320" w:lineRule="atLeast"/>
              <w:ind w:right="60"/>
              <w:rPr>
                <w:rFonts w:asciiTheme="majorBidi" w:hAnsiTheme="majorBidi" w:cstheme="majorBidi"/>
                <w:color w:val="010205"/>
                <w:sz w:val="24"/>
                <w:szCs w:val="24"/>
              </w:rPr>
            </w:pPr>
            <w:r w:rsidRPr="000C6538">
              <w:rPr>
                <w:rFonts w:asciiTheme="majorBidi" w:hAnsiTheme="majorBidi" w:cstheme="majorBidi"/>
                <w:color w:val="010205"/>
                <w:sz w:val="24"/>
                <w:szCs w:val="24"/>
              </w:rPr>
              <w:t>b. Based on 10000 sampled tables with starting seed 2000000.</w:t>
            </w:r>
          </w:p>
          <w:p w:rsidR="00FA426B" w:rsidRDefault="000C6538" w:rsidP="000C6538">
            <w:pPr>
              <w:autoSpaceDE w:val="0"/>
              <w:autoSpaceDN w:val="0"/>
              <w:adjustRightInd w:val="0"/>
              <w:spacing w:after="0" w:line="320" w:lineRule="atLeast"/>
              <w:ind w:right="60"/>
              <w:rPr>
                <w:rFonts w:asciiTheme="majorBidi" w:hAnsiTheme="majorBidi" w:cstheme="majorBidi"/>
                <w:color w:val="010205"/>
                <w:sz w:val="24"/>
                <w:szCs w:val="24"/>
              </w:rPr>
            </w:pPr>
            <w:r w:rsidRPr="000C6538">
              <w:rPr>
                <w:rFonts w:asciiTheme="majorBidi" w:hAnsiTheme="majorBidi" w:cstheme="majorBidi"/>
                <w:color w:val="010205"/>
                <w:sz w:val="24"/>
                <w:szCs w:val="24"/>
              </w:rPr>
              <w:t>c. The standardized statistic is 2.840.</w:t>
            </w:r>
          </w:p>
          <w:p w:rsidR="00B9591E" w:rsidRDefault="00B9591E" w:rsidP="000C6538">
            <w:pPr>
              <w:autoSpaceDE w:val="0"/>
              <w:autoSpaceDN w:val="0"/>
              <w:adjustRightInd w:val="0"/>
              <w:spacing w:after="0" w:line="320" w:lineRule="atLeast"/>
              <w:ind w:right="60"/>
              <w:rPr>
                <w:rFonts w:asciiTheme="majorBidi" w:hAnsiTheme="majorBidi" w:cstheme="majorBidi"/>
                <w:color w:val="010205"/>
                <w:sz w:val="24"/>
                <w:szCs w:val="24"/>
              </w:rPr>
            </w:pPr>
          </w:p>
          <w:p w:rsidR="00B9591E" w:rsidRDefault="00B9591E" w:rsidP="000C6538">
            <w:pPr>
              <w:autoSpaceDE w:val="0"/>
              <w:autoSpaceDN w:val="0"/>
              <w:adjustRightInd w:val="0"/>
              <w:spacing w:after="0" w:line="320" w:lineRule="atLeast"/>
              <w:ind w:right="60"/>
              <w:rPr>
                <w:rFonts w:asciiTheme="majorBidi" w:hAnsiTheme="majorBidi" w:cstheme="majorBidi"/>
                <w:color w:val="010205"/>
                <w:sz w:val="24"/>
                <w:szCs w:val="24"/>
              </w:rPr>
            </w:pPr>
            <w:r w:rsidRPr="00B9591E">
              <w:rPr>
                <w:rFonts w:asciiTheme="majorBidi" w:hAnsiTheme="majorBidi" w:cstheme="majorBidi"/>
                <w:color w:val="010205"/>
                <w:sz w:val="24"/>
                <w:szCs w:val="24"/>
              </w:rPr>
              <w:t>Summary table of fisher’s exact test</w:t>
            </w:r>
            <w:r>
              <w:rPr>
                <w:rFonts w:asciiTheme="majorBidi" w:hAnsiTheme="majorBidi" w:cstheme="majorBidi"/>
                <w:color w:val="010205"/>
                <w:sz w:val="24"/>
                <w:szCs w:val="24"/>
              </w:rPr>
              <w:t xml:space="preserve">: </w:t>
            </w:r>
          </w:p>
          <w:tbl>
            <w:tblPr>
              <w:tblStyle w:val="a6"/>
              <w:tblW w:w="0" w:type="auto"/>
              <w:tblLayout w:type="fixed"/>
              <w:tblLook w:val="04A0" w:firstRow="1" w:lastRow="0" w:firstColumn="1" w:lastColumn="0" w:noHBand="0" w:noVBand="1"/>
            </w:tblPr>
            <w:tblGrid>
              <w:gridCol w:w="1604"/>
              <w:gridCol w:w="1604"/>
              <w:gridCol w:w="1604"/>
              <w:gridCol w:w="1604"/>
              <w:gridCol w:w="1604"/>
              <w:gridCol w:w="1604"/>
            </w:tblGrid>
            <w:tr w:rsidR="00B9591E" w:rsidTr="001D3B14">
              <w:trPr>
                <w:trHeight w:val="765"/>
              </w:trPr>
              <w:tc>
                <w:tcPr>
                  <w:tcW w:w="1604" w:type="dxa"/>
                </w:tcPr>
                <w:p w:rsidR="00B9591E" w:rsidRDefault="00B9591E" w:rsidP="001D3B14"/>
              </w:tc>
              <w:tc>
                <w:tcPr>
                  <w:tcW w:w="1604" w:type="dxa"/>
                </w:tcPr>
                <w:p w:rsidR="00B9591E" w:rsidRDefault="00B9591E" w:rsidP="001D3B14"/>
              </w:tc>
              <w:tc>
                <w:tcPr>
                  <w:tcW w:w="4812" w:type="dxa"/>
                  <w:gridSpan w:val="3"/>
                </w:tcPr>
                <w:p w:rsidR="00B9591E" w:rsidRDefault="00B9591E" w:rsidP="001D3B14">
                  <w:r>
                    <w:t>UTI colony forming units</w:t>
                  </w:r>
                </w:p>
              </w:tc>
              <w:tc>
                <w:tcPr>
                  <w:tcW w:w="1604" w:type="dxa"/>
                </w:tcPr>
                <w:p w:rsidR="00B9591E" w:rsidRDefault="00B9591E" w:rsidP="001D3B14">
                  <w:r>
                    <w:t>p-value</w:t>
                  </w:r>
                </w:p>
              </w:tc>
            </w:tr>
            <w:tr w:rsidR="00B9591E" w:rsidTr="001D3B14">
              <w:trPr>
                <w:trHeight w:val="642"/>
              </w:trPr>
              <w:tc>
                <w:tcPr>
                  <w:tcW w:w="1604" w:type="dxa"/>
                </w:tcPr>
                <w:p w:rsidR="00B9591E" w:rsidRDefault="00B9591E" w:rsidP="001D3B14"/>
              </w:tc>
              <w:tc>
                <w:tcPr>
                  <w:tcW w:w="1604" w:type="dxa"/>
                </w:tcPr>
                <w:p w:rsidR="00B9591E" w:rsidRDefault="00B9591E" w:rsidP="001D3B14"/>
              </w:tc>
              <w:tc>
                <w:tcPr>
                  <w:tcW w:w="1604" w:type="dxa"/>
                </w:tcPr>
                <w:p w:rsidR="00B9591E" w:rsidRDefault="00B9591E" w:rsidP="001D3B14">
                  <w:r w:rsidRPr="006B72AB">
                    <w:rPr>
                      <w:rFonts w:ascii="Arial" w:hAnsi="Arial" w:cs="Arial"/>
                      <w:color w:val="264A60"/>
                      <w:sz w:val="18"/>
                      <w:szCs w:val="18"/>
                    </w:rPr>
                    <w:t>No growth</w:t>
                  </w:r>
                </w:p>
              </w:tc>
              <w:tc>
                <w:tcPr>
                  <w:tcW w:w="1604" w:type="dxa"/>
                </w:tcPr>
                <w:p w:rsidR="00B9591E" w:rsidRDefault="00B9591E" w:rsidP="001D3B14">
                  <w:r w:rsidRPr="006B72AB">
                    <w:rPr>
                      <w:rFonts w:ascii="Arial" w:hAnsi="Arial" w:cs="Arial"/>
                      <w:color w:val="264A60"/>
                      <w:sz w:val="18"/>
                      <w:szCs w:val="18"/>
                    </w:rPr>
                    <w:t>No significant growth</w:t>
                  </w:r>
                </w:p>
              </w:tc>
              <w:tc>
                <w:tcPr>
                  <w:tcW w:w="1604" w:type="dxa"/>
                </w:tcPr>
                <w:p w:rsidR="00B9591E" w:rsidRDefault="00B9591E" w:rsidP="001D3B14">
                  <w:r w:rsidRPr="006B72AB">
                    <w:rPr>
                      <w:rFonts w:ascii="Arial" w:hAnsi="Arial" w:cs="Arial"/>
                      <w:color w:val="264A60"/>
                      <w:sz w:val="18"/>
                      <w:szCs w:val="18"/>
                    </w:rPr>
                    <w:t>Significant growth</w:t>
                  </w:r>
                </w:p>
              </w:tc>
              <w:tc>
                <w:tcPr>
                  <w:tcW w:w="1604" w:type="dxa"/>
                  <w:vMerge w:val="restart"/>
                </w:tcPr>
                <w:p w:rsidR="00B9591E" w:rsidRDefault="00B9591E" w:rsidP="001D3B14">
                  <w:r>
                    <w:t>0.018</w:t>
                  </w:r>
                </w:p>
              </w:tc>
            </w:tr>
            <w:tr w:rsidR="00B9591E" w:rsidTr="001D3B14">
              <w:trPr>
                <w:trHeight w:val="1181"/>
              </w:trPr>
              <w:tc>
                <w:tcPr>
                  <w:tcW w:w="1604" w:type="dxa"/>
                  <w:vMerge w:val="restart"/>
                </w:tcPr>
                <w:p w:rsidR="00B9591E" w:rsidRDefault="00B9591E" w:rsidP="001D3B14">
                  <w:r>
                    <w:t>Gender</w:t>
                  </w:r>
                </w:p>
              </w:tc>
              <w:tc>
                <w:tcPr>
                  <w:tcW w:w="1604" w:type="dxa"/>
                </w:tcPr>
                <w:p w:rsidR="00B9591E" w:rsidRDefault="00B9591E" w:rsidP="001D3B14">
                  <w:r>
                    <w:t>Male</w:t>
                  </w:r>
                </w:p>
              </w:tc>
              <w:tc>
                <w:tcPr>
                  <w:tcW w:w="1604" w:type="dxa"/>
                </w:tcPr>
                <w:p w:rsidR="00B9591E" w:rsidRDefault="00B9591E" w:rsidP="001D3B14">
                  <w:r>
                    <w:t>9</w:t>
                  </w:r>
                </w:p>
              </w:tc>
              <w:tc>
                <w:tcPr>
                  <w:tcW w:w="1604" w:type="dxa"/>
                </w:tcPr>
                <w:p w:rsidR="00B9591E" w:rsidRDefault="00B9591E" w:rsidP="001D3B14">
                  <w:r>
                    <w:t>3</w:t>
                  </w:r>
                </w:p>
              </w:tc>
              <w:tc>
                <w:tcPr>
                  <w:tcW w:w="1604" w:type="dxa"/>
                </w:tcPr>
                <w:p w:rsidR="00B9591E" w:rsidRDefault="00B9591E" w:rsidP="001D3B14">
                  <w:r>
                    <w:t>0</w:t>
                  </w:r>
                </w:p>
              </w:tc>
              <w:tc>
                <w:tcPr>
                  <w:tcW w:w="1604" w:type="dxa"/>
                  <w:vMerge/>
                </w:tcPr>
                <w:p w:rsidR="00B9591E" w:rsidRDefault="00B9591E" w:rsidP="001D3B14"/>
              </w:tc>
            </w:tr>
            <w:tr w:rsidR="00B9591E" w:rsidTr="001D3B14">
              <w:trPr>
                <w:trHeight w:val="937"/>
              </w:trPr>
              <w:tc>
                <w:tcPr>
                  <w:tcW w:w="1604" w:type="dxa"/>
                  <w:vMerge/>
                </w:tcPr>
                <w:p w:rsidR="00B9591E" w:rsidRDefault="00B9591E" w:rsidP="001D3B14"/>
              </w:tc>
              <w:tc>
                <w:tcPr>
                  <w:tcW w:w="1604" w:type="dxa"/>
                </w:tcPr>
                <w:p w:rsidR="00B9591E" w:rsidRDefault="00B9591E" w:rsidP="001D3B14">
                  <w:r>
                    <w:t>female</w:t>
                  </w:r>
                </w:p>
              </w:tc>
              <w:tc>
                <w:tcPr>
                  <w:tcW w:w="1604" w:type="dxa"/>
                </w:tcPr>
                <w:p w:rsidR="00B9591E" w:rsidRDefault="00B9591E" w:rsidP="001D3B14">
                  <w:r>
                    <w:t>2</w:t>
                  </w:r>
                </w:p>
              </w:tc>
              <w:tc>
                <w:tcPr>
                  <w:tcW w:w="1604" w:type="dxa"/>
                </w:tcPr>
                <w:p w:rsidR="00B9591E" w:rsidRDefault="00B9591E" w:rsidP="001D3B14">
                  <w:r>
                    <w:t>8</w:t>
                  </w:r>
                </w:p>
              </w:tc>
              <w:tc>
                <w:tcPr>
                  <w:tcW w:w="1604" w:type="dxa"/>
                </w:tcPr>
                <w:p w:rsidR="00B9591E" w:rsidRDefault="00B9591E" w:rsidP="001D3B14">
                  <w:r>
                    <w:t>2</w:t>
                  </w:r>
                </w:p>
              </w:tc>
              <w:tc>
                <w:tcPr>
                  <w:tcW w:w="1604" w:type="dxa"/>
                  <w:vMerge/>
                </w:tcPr>
                <w:p w:rsidR="00B9591E" w:rsidRDefault="00B9591E" w:rsidP="001D3B14"/>
              </w:tc>
            </w:tr>
          </w:tbl>
          <w:p w:rsidR="00B9591E" w:rsidRDefault="00B9591E" w:rsidP="000C6538">
            <w:pPr>
              <w:autoSpaceDE w:val="0"/>
              <w:autoSpaceDN w:val="0"/>
              <w:adjustRightInd w:val="0"/>
              <w:spacing w:after="0" w:line="320" w:lineRule="atLeast"/>
              <w:ind w:right="60"/>
              <w:rPr>
                <w:rFonts w:asciiTheme="majorBidi" w:hAnsiTheme="majorBidi" w:cstheme="majorBidi"/>
                <w:color w:val="010205"/>
                <w:sz w:val="24"/>
                <w:szCs w:val="24"/>
              </w:rPr>
            </w:pPr>
          </w:p>
          <w:p w:rsidR="00B4066F" w:rsidRPr="00B4066F" w:rsidRDefault="00B4066F" w:rsidP="00B4066F">
            <w:pPr>
              <w:autoSpaceDE w:val="0"/>
              <w:autoSpaceDN w:val="0"/>
              <w:adjustRightInd w:val="0"/>
              <w:spacing w:after="0" w:line="320" w:lineRule="atLeast"/>
              <w:ind w:right="60"/>
              <w:rPr>
                <w:rFonts w:asciiTheme="majorBidi" w:hAnsiTheme="majorBidi" w:cstheme="majorBidi"/>
                <w:color w:val="010205"/>
                <w:sz w:val="24"/>
                <w:szCs w:val="24"/>
              </w:rPr>
            </w:pPr>
          </w:p>
        </w:tc>
      </w:tr>
      <w:tr w:rsidR="00FA426B" w:rsidRPr="008F0256" w:rsidTr="00B4066F">
        <w:trPr>
          <w:cantSplit/>
        </w:trPr>
        <w:tc>
          <w:tcPr>
            <w:tcW w:w="9329" w:type="dxa"/>
            <w:gridSpan w:val="6"/>
            <w:tcBorders>
              <w:top w:val="nil"/>
              <w:left w:val="nil"/>
              <w:bottom w:val="nil"/>
              <w:right w:val="nil"/>
            </w:tcBorders>
            <w:shd w:val="clear" w:color="auto" w:fill="FFFFFF"/>
          </w:tcPr>
          <w:p w:rsidR="00FA426B" w:rsidRPr="008F0256" w:rsidRDefault="00FA426B" w:rsidP="000C6538">
            <w:pPr>
              <w:autoSpaceDE w:val="0"/>
              <w:autoSpaceDN w:val="0"/>
              <w:adjustRightInd w:val="0"/>
              <w:spacing w:after="0" w:line="320" w:lineRule="atLeast"/>
              <w:ind w:right="60"/>
              <w:rPr>
                <w:rFonts w:ascii="Arial" w:hAnsi="Arial" w:cs="Arial"/>
                <w:color w:val="010205"/>
                <w:sz w:val="18"/>
                <w:szCs w:val="18"/>
              </w:rPr>
            </w:pPr>
          </w:p>
        </w:tc>
      </w:tr>
    </w:tbl>
    <w:p w:rsidR="00291966" w:rsidRPr="00C116CF" w:rsidRDefault="00291966" w:rsidP="00291966">
      <w:pPr>
        <w:rPr>
          <w:rFonts w:asciiTheme="majorBidi" w:hAnsiTheme="majorBidi" w:cstheme="majorBidi"/>
          <w:b/>
          <w:bCs/>
          <w:sz w:val="28"/>
          <w:szCs w:val="28"/>
        </w:rPr>
      </w:pPr>
      <w:bookmarkStart w:id="0" w:name="_GoBack"/>
      <w:bookmarkEnd w:id="0"/>
      <w:r w:rsidRPr="00C116CF">
        <w:rPr>
          <w:rFonts w:asciiTheme="majorBidi" w:hAnsiTheme="majorBidi" w:cstheme="majorBidi"/>
          <w:b/>
          <w:bCs/>
          <w:sz w:val="28"/>
          <w:szCs w:val="28"/>
        </w:rPr>
        <w:t xml:space="preserve">Discussion: </w:t>
      </w:r>
    </w:p>
    <w:p w:rsidR="00291966" w:rsidRPr="00291966" w:rsidRDefault="00291966" w:rsidP="00291966">
      <w:pPr>
        <w:rPr>
          <w:rFonts w:asciiTheme="majorBidi" w:hAnsiTheme="majorBidi" w:cstheme="majorBidi"/>
          <w:sz w:val="28"/>
          <w:szCs w:val="28"/>
        </w:rPr>
      </w:pPr>
      <w:r w:rsidRPr="00291966">
        <w:rPr>
          <w:rFonts w:asciiTheme="majorBidi" w:hAnsiTheme="majorBidi" w:cstheme="majorBidi"/>
          <w:sz w:val="24"/>
          <w:szCs w:val="24"/>
        </w:rPr>
        <w:t xml:space="preserve"> Despite the fact that a number of research have been conducted to explain the usage of urine gram stain in infants and children, the outcomes of these investigations have been mixed.</w:t>
      </w:r>
    </w:p>
    <w:p w:rsidR="00291966" w:rsidRPr="00291966" w:rsidRDefault="00291966" w:rsidP="00291966">
      <w:pPr>
        <w:rPr>
          <w:rFonts w:asciiTheme="majorBidi" w:hAnsiTheme="majorBidi" w:cstheme="majorBidi"/>
          <w:sz w:val="24"/>
          <w:szCs w:val="24"/>
        </w:rPr>
      </w:pPr>
      <w:r w:rsidRPr="00291966">
        <w:rPr>
          <w:rFonts w:asciiTheme="majorBidi" w:hAnsiTheme="majorBidi" w:cstheme="majorBidi"/>
          <w:sz w:val="24"/>
          <w:szCs w:val="24"/>
        </w:rPr>
        <w:t>The Gram stain had a sensitivity of 94 percent and specificity of 92 percent in a trial of 207 symptomatic infants younger than 6 months of age, and the total urine analysis test had a sensitivity of 67 percent and specificity of 79 percent.</w:t>
      </w:r>
    </w:p>
    <w:p w:rsidR="00291966" w:rsidRDefault="00291966" w:rsidP="00291966">
      <w:pPr>
        <w:rPr>
          <w:rFonts w:asciiTheme="majorBidi" w:hAnsiTheme="majorBidi" w:cstheme="majorBidi"/>
          <w:sz w:val="24"/>
          <w:szCs w:val="24"/>
        </w:rPr>
      </w:pPr>
      <w:r w:rsidRPr="00291966">
        <w:rPr>
          <w:rFonts w:asciiTheme="majorBidi" w:hAnsiTheme="majorBidi" w:cstheme="majorBidi"/>
          <w:sz w:val="24"/>
          <w:szCs w:val="24"/>
        </w:rPr>
        <w:t>A study of 1,019 symptomatic pediatric patients found that Gram-stained smears were somewhat more sensitive than dipsticks (97.6% vs. 90.2%), although both had a modest positive predictive value.</w:t>
      </w:r>
      <w:r>
        <w:rPr>
          <w:rFonts w:asciiTheme="majorBidi" w:hAnsiTheme="majorBidi" w:cstheme="majorBidi"/>
          <w:sz w:val="24"/>
          <w:szCs w:val="24"/>
        </w:rPr>
        <w:t xml:space="preserve"> </w:t>
      </w:r>
    </w:p>
    <w:p w:rsidR="00291966" w:rsidRPr="00C116CF" w:rsidRDefault="00291966" w:rsidP="00291966">
      <w:pPr>
        <w:rPr>
          <w:rFonts w:asciiTheme="majorBidi" w:hAnsiTheme="majorBidi" w:cstheme="majorBidi"/>
          <w:b/>
          <w:bCs/>
          <w:sz w:val="28"/>
          <w:szCs w:val="28"/>
        </w:rPr>
      </w:pPr>
      <w:r w:rsidRPr="00C116CF">
        <w:rPr>
          <w:rFonts w:asciiTheme="majorBidi" w:hAnsiTheme="majorBidi" w:cstheme="majorBidi"/>
          <w:b/>
          <w:bCs/>
          <w:sz w:val="28"/>
          <w:szCs w:val="28"/>
        </w:rPr>
        <w:t>Conclusion:</w:t>
      </w:r>
    </w:p>
    <w:p w:rsidR="00291966" w:rsidRDefault="00E9369A" w:rsidP="00E9369A">
      <w:pPr>
        <w:rPr>
          <w:rFonts w:asciiTheme="majorBidi" w:hAnsiTheme="majorBidi" w:cstheme="majorBidi"/>
          <w:sz w:val="24"/>
          <w:szCs w:val="24"/>
        </w:rPr>
      </w:pPr>
      <w:r>
        <w:rPr>
          <w:rFonts w:asciiTheme="majorBidi" w:hAnsiTheme="majorBidi" w:cstheme="majorBidi"/>
          <w:sz w:val="24"/>
          <w:szCs w:val="24"/>
        </w:rPr>
        <w:t xml:space="preserve"> F</w:t>
      </w:r>
      <w:r w:rsidR="00291966" w:rsidRPr="00291966">
        <w:rPr>
          <w:rFonts w:asciiTheme="majorBidi" w:hAnsiTheme="majorBidi" w:cstheme="majorBidi"/>
          <w:sz w:val="24"/>
          <w:szCs w:val="24"/>
        </w:rPr>
        <w:t>indings revealed that a combination of pyuria and Gram stain had the highest specificity of 90 percent but the lowest sensitivity of 42 percent</w:t>
      </w:r>
      <w:r>
        <w:rPr>
          <w:rFonts w:asciiTheme="majorBidi" w:hAnsiTheme="majorBidi" w:cstheme="majorBidi"/>
          <w:sz w:val="24"/>
          <w:szCs w:val="24"/>
        </w:rPr>
        <w:t xml:space="preserve"> </w:t>
      </w:r>
      <w:r w:rsidR="00291966" w:rsidRPr="00291966">
        <w:rPr>
          <w:rFonts w:asciiTheme="majorBidi" w:hAnsiTheme="majorBidi" w:cstheme="majorBidi"/>
          <w:sz w:val="24"/>
          <w:szCs w:val="24"/>
        </w:rPr>
        <w:t>.</w:t>
      </w:r>
      <w:r>
        <w:rPr>
          <w:rFonts w:asciiTheme="majorBidi" w:hAnsiTheme="majorBidi" w:cstheme="majorBidi"/>
          <w:sz w:val="24"/>
          <w:szCs w:val="24"/>
        </w:rPr>
        <w:t>So t</w:t>
      </w:r>
      <w:r w:rsidR="00291966" w:rsidRPr="00291966">
        <w:rPr>
          <w:rFonts w:asciiTheme="majorBidi" w:hAnsiTheme="majorBidi" w:cstheme="majorBidi"/>
          <w:sz w:val="24"/>
          <w:szCs w:val="24"/>
        </w:rPr>
        <w:t>he urinary gram stain had the highest specificity of 90 percent, while the overall urine analysis had the lowest specificity of 3.5 percent.</w:t>
      </w:r>
      <w:r>
        <w:rPr>
          <w:rFonts w:asciiTheme="majorBidi" w:hAnsiTheme="majorBidi" w:cstheme="majorBidi"/>
          <w:sz w:val="24"/>
          <w:szCs w:val="24"/>
        </w:rPr>
        <w:t xml:space="preserve"> </w:t>
      </w:r>
      <w:r w:rsidR="00291966" w:rsidRPr="00291966">
        <w:rPr>
          <w:rFonts w:asciiTheme="majorBidi" w:hAnsiTheme="majorBidi" w:cstheme="majorBidi"/>
          <w:sz w:val="24"/>
          <w:szCs w:val="24"/>
        </w:rPr>
        <w:t>In light of these data, we believe that neither urine screening nor urine culture should be used in symptomatic pediatric patients.</w:t>
      </w:r>
    </w:p>
    <w:p w:rsidR="00080D8A" w:rsidRDefault="00080D8A" w:rsidP="00E054DF">
      <w:pPr>
        <w:rPr>
          <w:rFonts w:asciiTheme="majorBidi" w:hAnsiTheme="majorBidi" w:cstheme="majorBidi"/>
          <w:sz w:val="24"/>
          <w:szCs w:val="24"/>
        </w:rPr>
      </w:pPr>
    </w:p>
    <w:p w:rsidR="00272B07" w:rsidRDefault="00272B07" w:rsidP="00E054DF">
      <w:pPr>
        <w:rPr>
          <w:rFonts w:asciiTheme="majorBidi" w:hAnsiTheme="majorBidi" w:cstheme="majorBidi"/>
          <w:b/>
          <w:bCs/>
          <w:sz w:val="28"/>
          <w:szCs w:val="28"/>
          <w:lang w:bidi="ar-LY"/>
        </w:rPr>
      </w:pPr>
    </w:p>
    <w:p w:rsidR="00FA426B" w:rsidRDefault="00FA426B" w:rsidP="00E054DF">
      <w:pPr>
        <w:rPr>
          <w:rFonts w:asciiTheme="majorBidi" w:hAnsiTheme="majorBidi" w:cstheme="majorBidi"/>
          <w:b/>
          <w:bCs/>
          <w:sz w:val="28"/>
          <w:szCs w:val="28"/>
          <w:lang w:bidi="ar-LY"/>
        </w:rPr>
      </w:pPr>
    </w:p>
    <w:p w:rsidR="00FA426B" w:rsidRDefault="00FA426B" w:rsidP="00E054DF">
      <w:pPr>
        <w:rPr>
          <w:rFonts w:asciiTheme="majorBidi" w:hAnsiTheme="majorBidi" w:cstheme="majorBidi"/>
          <w:b/>
          <w:bCs/>
          <w:sz w:val="28"/>
          <w:szCs w:val="28"/>
          <w:lang w:bidi="ar-LY"/>
        </w:rPr>
      </w:pPr>
    </w:p>
    <w:p w:rsidR="00FA426B" w:rsidRPr="00C116CF" w:rsidRDefault="00FA426B" w:rsidP="00E054DF">
      <w:pPr>
        <w:rPr>
          <w:rFonts w:asciiTheme="majorBidi" w:hAnsiTheme="majorBidi" w:cstheme="majorBidi"/>
          <w:b/>
          <w:bCs/>
          <w:sz w:val="28"/>
          <w:szCs w:val="28"/>
          <w:rtl/>
          <w:lang w:bidi="ar-LY"/>
        </w:rPr>
      </w:pPr>
    </w:p>
    <w:p w:rsidR="0031763B" w:rsidRDefault="0031763B" w:rsidP="00E054DF">
      <w:pPr>
        <w:rPr>
          <w:rFonts w:asciiTheme="majorBidi" w:hAnsiTheme="majorBidi" w:cstheme="majorBidi"/>
          <w:sz w:val="28"/>
          <w:szCs w:val="28"/>
        </w:rPr>
      </w:pPr>
    </w:p>
    <w:p w:rsidR="00E054DF" w:rsidRPr="00C116CF" w:rsidRDefault="00347756" w:rsidP="00E054DF">
      <w:pPr>
        <w:rPr>
          <w:rFonts w:asciiTheme="majorBidi" w:hAnsiTheme="majorBidi" w:cstheme="majorBidi"/>
          <w:b/>
          <w:bCs/>
          <w:sz w:val="28"/>
          <w:szCs w:val="28"/>
        </w:rPr>
      </w:pPr>
      <w:r w:rsidRPr="00C116CF">
        <w:rPr>
          <w:rFonts w:asciiTheme="majorBidi" w:hAnsiTheme="majorBidi" w:cstheme="majorBidi"/>
          <w:b/>
          <w:bCs/>
          <w:sz w:val="28"/>
          <w:szCs w:val="28"/>
        </w:rPr>
        <w:t xml:space="preserve">References : </w:t>
      </w:r>
    </w:p>
    <w:p w:rsidR="0031763B" w:rsidRDefault="00B4409C">
      <w:pPr>
        <w:rPr>
          <w:rFonts w:asciiTheme="majorBidi" w:hAnsiTheme="majorBidi" w:cstheme="majorBidi"/>
          <w:sz w:val="24"/>
          <w:szCs w:val="24"/>
        </w:rPr>
      </w:pPr>
      <w:r w:rsidRPr="0031763B">
        <w:rPr>
          <w:rFonts w:asciiTheme="majorBidi" w:hAnsiTheme="majorBidi" w:cstheme="majorBidi"/>
          <w:sz w:val="24"/>
          <w:szCs w:val="24"/>
        </w:rPr>
        <w:t>Arslan S, Caksen H, Rastgeldi L, Uner A, Oner AF, Odabaş D. Use of urinary gram stain for detection of urinary tract infection in childhood. Yale J Biol Med. 2002;75(2):73-78</w:t>
      </w:r>
    </w:p>
    <w:p w:rsidR="00C116CF" w:rsidRPr="0031763B" w:rsidRDefault="00C116CF">
      <w:pPr>
        <w:rPr>
          <w:rFonts w:asciiTheme="majorBidi" w:hAnsiTheme="majorBidi" w:cstheme="majorBidi"/>
          <w:sz w:val="24"/>
          <w:szCs w:val="24"/>
        </w:rPr>
      </w:pPr>
      <w:r w:rsidRPr="00C116CF">
        <w:rPr>
          <w:rFonts w:asciiTheme="majorBidi" w:hAnsiTheme="majorBidi" w:cstheme="majorBidi"/>
          <w:sz w:val="24"/>
          <w:szCs w:val="24"/>
        </w:rPr>
        <w:t>Levinson, Warren. Review of medical microbiolog</w:t>
      </w:r>
      <w:r>
        <w:rPr>
          <w:rFonts w:asciiTheme="majorBidi" w:hAnsiTheme="majorBidi" w:cstheme="majorBidi"/>
          <w:sz w:val="24"/>
          <w:szCs w:val="24"/>
        </w:rPr>
        <w:t xml:space="preserve">y and immunology. 14rd ed. The </w:t>
      </w:r>
      <w:r w:rsidRPr="00C116CF">
        <w:rPr>
          <w:rFonts w:asciiTheme="majorBidi" w:hAnsiTheme="majorBidi" w:cstheme="majorBidi"/>
          <w:sz w:val="24"/>
          <w:szCs w:val="24"/>
        </w:rPr>
        <w:t>McGraw-Hill Companies, 2016</w:t>
      </w:r>
    </w:p>
    <w:p w:rsidR="0031763B" w:rsidRPr="0031763B" w:rsidRDefault="0031763B">
      <w:pPr>
        <w:rPr>
          <w:rFonts w:asciiTheme="majorBidi" w:hAnsiTheme="majorBidi" w:cstheme="majorBidi"/>
          <w:sz w:val="24"/>
          <w:szCs w:val="24"/>
        </w:rPr>
      </w:pPr>
      <w:r w:rsidRPr="0031763B">
        <w:rPr>
          <w:rFonts w:asciiTheme="majorBidi" w:hAnsiTheme="majorBidi" w:cstheme="majorBidi"/>
          <w:sz w:val="24"/>
          <w:szCs w:val="24"/>
        </w:rPr>
        <w:t>Gorelick MH, Shaw KN. Screening tests for urinary tract infection in children: A meta-analysis. Pediatrics. 1999;104(5):e54. doi:10.1542/peds.104.5.e54</w:t>
      </w:r>
    </w:p>
    <w:p w:rsidR="00920EB4" w:rsidRPr="0031763B" w:rsidRDefault="0031763B">
      <w:pPr>
        <w:rPr>
          <w:rFonts w:asciiTheme="majorBidi" w:hAnsiTheme="majorBidi" w:cstheme="majorBidi"/>
          <w:sz w:val="24"/>
          <w:szCs w:val="24"/>
        </w:rPr>
      </w:pPr>
      <w:r w:rsidRPr="0031763B">
        <w:rPr>
          <w:rFonts w:asciiTheme="majorBidi" w:hAnsiTheme="majorBidi" w:cstheme="majorBidi"/>
          <w:sz w:val="24"/>
          <w:szCs w:val="24"/>
        </w:rPr>
        <w:t>Lockhart GR, Lewander WJ, Cimini DM, Josephson SL, Linakis JG. Use of urinary gram stain for detection of urinary tract infection in infants. Ann Emerg Med. 1995;25(1):31-35. doi:10.1016/s0196-0644(95)70351-9</w:t>
      </w:r>
      <w:r>
        <w:rPr>
          <w:rFonts w:asciiTheme="majorBidi" w:hAnsiTheme="majorBidi" w:cstheme="majorBidi"/>
          <w:sz w:val="24"/>
          <w:szCs w:val="24"/>
        </w:rPr>
        <w:t xml:space="preserve"> </w:t>
      </w:r>
      <w:r w:rsidR="00920EB4" w:rsidRPr="0031763B">
        <w:rPr>
          <w:rFonts w:asciiTheme="majorBidi" w:hAnsiTheme="majorBidi" w:cstheme="majorBidi"/>
          <w:sz w:val="24"/>
          <w:szCs w:val="24"/>
        </w:rPr>
        <w:br w:type="page"/>
      </w:r>
    </w:p>
    <w:p w:rsidR="00920EB4" w:rsidRDefault="00920EB4"/>
    <w:p w:rsidR="00920EB4" w:rsidRDefault="00920EB4">
      <w:r>
        <w:br w:type="page"/>
      </w:r>
    </w:p>
    <w:p w:rsidR="00920EB4" w:rsidRDefault="00920EB4"/>
    <w:p w:rsidR="00920EB4" w:rsidRDefault="00920EB4">
      <w:r>
        <w:br w:type="page"/>
      </w:r>
    </w:p>
    <w:sectPr w:rsidR="00920EB4">
      <w:headerReference w:type="default" r:id="rId12"/>
      <w:footerReference w:type="defaul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1738" w:rsidRDefault="00C11738" w:rsidP="0031763B">
      <w:pPr>
        <w:spacing w:after="0" w:line="240" w:lineRule="auto"/>
      </w:pPr>
      <w:r>
        <w:separator/>
      </w:r>
    </w:p>
  </w:endnote>
  <w:endnote w:type="continuationSeparator" w:id="0">
    <w:p w:rsidR="00C11738" w:rsidRDefault="00C11738" w:rsidP="003176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066F" w:rsidRDefault="00B4066F" w:rsidP="000D329A">
    <w:pPr>
      <w:pStyle w:val="a5"/>
    </w:pPr>
  </w:p>
  <w:p w:rsidR="00B4066F" w:rsidRDefault="00B4066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1738" w:rsidRDefault="00C11738" w:rsidP="0031763B">
      <w:pPr>
        <w:spacing w:after="0" w:line="240" w:lineRule="auto"/>
      </w:pPr>
      <w:r>
        <w:separator/>
      </w:r>
    </w:p>
  </w:footnote>
  <w:footnote w:type="continuationSeparator" w:id="0">
    <w:p w:rsidR="00C11738" w:rsidRDefault="00C11738" w:rsidP="003176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755278"/>
      <w:docPartObj>
        <w:docPartGallery w:val="Page Numbers (Top of Page)"/>
        <w:docPartUnique/>
      </w:docPartObj>
    </w:sdtPr>
    <w:sdtEndPr/>
    <w:sdtContent>
      <w:p w:rsidR="00B4066F" w:rsidRDefault="00B4066F">
        <w:pPr>
          <w:pStyle w:val="a4"/>
        </w:pPr>
        <w:r>
          <w:fldChar w:fldCharType="begin"/>
        </w:r>
        <w:r>
          <w:instrText>PAGE   \* MERGEFORMAT</w:instrText>
        </w:r>
        <w:r>
          <w:fldChar w:fldCharType="separate"/>
        </w:r>
        <w:r w:rsidR="00B9591E" w:rsidRPr="00B9591E">
          <w:rPr>
            <w:rFonts w:cs="Calibri"/>
            <w:noProof/>
            <w:lang w:val="ar-SA"/>
          </w:rPr>
          <w:t>3</w:t>
        </w:r>
        <w:r>
          <w:fldChar w:fldCharType="end"/>
        </w:r>
      </w:p>
    </w:sdtContent>
  </w:sdt>
  <w:p w:rsidR="00B4066F" w:rsidRDefault="00B4066F">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EB4"/>
    <w:rsid w:val="00080D8A"/>
    <w:rsid w:val="000C6538"/>
    <w:rsid w:val="000D329A"/>
    <w:rsid w:val="000F621F"/>
    <w:rsid w:val="00272B07"/>
    <w:rsid w:val="00291966"/>
    <w:rsid w:val="002A02DC"/>
    <w:rsid w:val="0031763B"/>
    <w:rsid w:val="00347756"/>
    <w:rsid w:val="00392600"/>
    <w:rsid w:val="00462660"/>
    <w:rsid w:val="00507540"/>
    <w:rsid w:val="005F2DD4"/>
    <w:rsid w:val="00747F68"/>
    <w:rsid w:val="007A4BAE"/>
    <w:rsid w:val="00920EB4"/>
    <w:rsid w:val="00A73B2D"/>
    <w:rsid w:val="00B4066F"/>
    <w:rsid w:val="00B4409C"/>
    <w:rsid w:val="00B9591E"/>
    <w:rsid w:val="00C116CF"/>
    <w:rsid w:val="00C11738"/>
    <w:rsid w:val="00D26351"/>
    <w:rsid w:val="00E054DF"/>
    <w:rsid w:val="00E066F4"/>
    <w:rsid w:val="00E9369A"/>
    <w:rsid w:val="00EB56F1"/>
    <w:rsid w:val="00F803C8"/>
    <w:rsid w:val="00F979D3"/>
    <w:rsid w:val="00FA42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426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066F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E066F4"/>
    <w:rPr>
      <w:rFonts w:ascii="Tahoma" w:hAnsi="Tahoma" w:cs="Tahoma"/>
      <w:sz w:val="16"/>
      <w:szCs w:val="16"/>
    </w:rPr>
  </w:style>
  <w:style w:type="paragraph" w:styleId="a4">
    <w:name w:val="header"/>
    <w:basedOn w:val="a"/>
    <w:link w:val="Char0"/>
    <w:uiPriority w:val="99"/>
    <w:unhideWhenUsed/>
    <w:rsid w:val="0031763B"/>
    <w:pPr>
      <w:tabs>
        <w:tab w:val="center" w:pos="4320"/>
        <w:tab w:val="right" w:pos="8640"/>
      </w:tabs>
      <w:spacing w:after="0" w:line="240" w:lineRule="auto"/>
    </w:pPr>
  </w:style>
  <w:style w:type="character" w:customStyle="1" w:styleId="Char0">
    <w:name w:val="رأس الصفحة Char"/>
    <w:basedOn w:val="a0"/>
    <w:link w:val="a4"/>
    <w:uiPriority w:val="99"/>
    <w:rsid w:val="0031763B"/>
  </w:style>
  <w:style w:type="paragraph" w:styleId="a5">
    <w:name w:val="footer"/>
    <w:basedOn w:val="a"/>
    <w:link w:val="Char1"/>
    <w:uiPriority w:val="99"/>
    <w:unhideWhenUsed/>
    <w:rsid w:val="0031763B"/>
    <w:pPr>
      <w:tabs>
        <w:tab w:val="center" w:pos="4320"/>
        <w:tab w:val="right" w:pos="8640"/>
      </w:tabs>
      <w:spacing w:after="0" w:line="240" w:lineRule="auto"/>
    </w:pPr>
  </w:style>
  <w:style w:type="character" w:customStyle="1" w:styleId="Char1">
    <w:name w:val="تذييل الصفحة Char"/>
    <w:basedOn w:val="a0"/>
    <w:link w:val="a5"/>
    <w:uiPriority w:val="99"/>
    <w:rsid w:val="0031763B"/>
  </w:style>
  <w:style w:type="table" w:styleId="a6">
    <w:name w:val="Table Grid"/>
    <w:basedOn w:val="a1"/>
    <w:uiPriority w:val="59"/>
    <w:rsid w:val="00B9591E"/>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426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066F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E066F4"/>
    <w:rPr>
      <w:rFonts w:ascii="Tahoma" w:hAnsi="Tahoma" w:cs="Tahoma"/>
      <w:sz w:val="16"/>
      <w:szCs w:val="16"/>
    </w:rPr>
  </w:style>
  <w:style w:type="paragraph" w:styleId="a4">
    <w:name w:val="header"/>
    <w:basedOn w:val="a"/>
    <w:link w:val="Char0"/>
    <w:uiPriority w:val="99"/>
    <w:unhideWhenUsed/>
    <w:rsid w:val="0031763B"/>
    <w:pPr>
      <w:tabs>
        <w:tab w:val="center" w:pos="4320"/>
        <w:tab w:val="right" w:pos="8640"/>
      </w:tabs>
      <w:spacing w:after="0" w:line="240" w:lineRule="auto"/>
    </w:pPr>
  </w:style>
  <w:style w:type="character" w:customStyle="1" w:styleId="Char0">
    <w:name w:val="رأس الصفحة Char"/>
    <w:basedOn w:val="a0"/>
    <w:link w:val="a4"/>
    <w:uiPriority w:val="99"/>
    <w:rsid w:val="0031763B"/>
  </w:style>
  <w:style w:type="paragraph" w:styleId="a5">
    <w:name w:val="footer"/>
    <w:basedOn w:val="a"/>
    <w:link w:val="Char1"/>
    <w:uiPriority w:val="99"/>
    <w:unhideWhenUsed/>
    <w:rsid w:val="0031763B"/>
    <w:pPr>
      <w:tabs>
        <w:tab w:val="center" w:pos="4320"/>
        <w:tab w:val="right" w:pos="8640"/>
      </w:tabs>
      <w:spacing w:after="0" w:line="240" w:lineRule="auto"/>
    </w:pPr>
  </w:style>
  <w:style w:type="character" w:customStyle="1" w:styleId="Char1">
    <w:name w:val="تذييل الصفحة Char"/>
    <w:basedOn w:val="a0"/>
    <w:link w:val="a5"/>
    <w:uiPriority w:val="99"/>
    <w:rsid w:val="0031763B"/>
  </w:style>
  <w:style w:type="table" w:styleId="a6">
    <w:name w:val="Table Grid"/>
    <w:basedOn w:val="a1"/>
    <w:uiPriority w:val="59"/>
    <w:rsid w:val="00B9591E"/>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1365</Words>
  <Characters>7786</Characters>
  <Application>Microsoft Office Word</Application>
  <DocSecurity>0</DocSecurity>
  <Lines>64</Lines>
  <Paragraphs>18</Paragraphs>
  <ScaleCrop>false</ScaleCrop>
  <HeadingPairs>
    <vt:vector size="2" baseType="variant">
      <vt:variant>
        <vt:lpstr>العنوان</vt:lpstr>
      </vt:variant>
      <vt:variant>
        <vt:i4>1</vt:i4>
      </vt:variant>
    </vt:vector>
  </HeadingPairs>
  <TitlesOfParts>
    <vt:vector size="1" baseType="lpstr">
      <vt:lpstr/>
    </vt:vector>
  </TitlesOfParts>
  <Company>Enjoy My Fine Releases.</Company>
  <LinksUpToDate>false</LinksUpToDate>
  <CharactersWithSpaces>9133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2o1O</dc:creator>
  <cp:lastModifiedBy>DR.Ahmed Saker 2o1O</cp:lastModifiedBy>
  <cp:revision>2</cp:revision>
  <dcterms:created xsi:type="dcterms:W3CDTF">2022-06-20T19:22:00Z</dcterms:created>
  <dcterms:modified xsi:type="dcterms:W3CDTF">2022-06-20T19:22:00Z</dcterms:modified>
</cp:coreProperties>
</file>