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10E1" w:rsidRPr="00960AEF" w:rsidRDefault="00CE10E1" w:rsidP="00CE10E1">
      <w:pPr>
        <w:spacing w:line="360" w:lineRule="auto"/>
        <w:jc w:val="center"/>
        <w:rPr>
          <w:rFonts w:asciiTheme="minorBidi" w:hAnsiTheme="minorBidi"/>
          <w:b/>
          <w:bCs/>
          <w:sz w:val="28"/>
          <w:szCs w:val="28"/>
        </w:rPr>
      </w:pPr>
      <w:r w:rsidRPr="00960AEF">
        <w:rPr>
          <w:rFonts w:asciiTheme="minorBidi" w:hAnsiTheme="minorBidi"/>
          <w:b/>
          <w:bCs/>
          <w:sz w:val="28"/>
          <w:szCs w:val="28"/>
        </w:rPr>
        <w:t>Libyan International Medical University</w:t>
      </w:r>
    </w:p>
    <w:p w:rsidR="00294189" w:rsidRDefault="00CE10E1" w:rsidP="00CE10E1">
      <w:pPr>
        <w:spacing w:line="360" w:lineRule="auto"/>
        <w:jc w:val="center"/>
        <w:rPr>
          <w:rFonts w:asciiTheme="minorBidi" w:hAnsiTheme="minorBidi"/>
          <w:b/>
          <w:bCs/>
          <w:sz w:val="28"/>
          <w:szCs w:val="28"/>
        </w:rPr>
      </w:pPr>
      <w:r w:rsidRPr="00960AEF">
        <w:rPr>
          <w:rFonts w:asciiTheme="minorBidi" w:hAnsiTheme="minorBidi"/>
          <w:b/>
          <w:bCs/>
          <w:sz w:val="28"/>
          <w:szCs w:val="28"/>
        </w:rPr>
        <w:t>Faculty of Applied Medical Science</w:t>
      </w:r>
    </w:p>
    <w:p w:rsidR="00CE10E1" w:rsidRDefault="00E90896" w:rsidP="00963CD1">
      <w:pPr>
        <w:jc w:val="center"/>
        <w:rPr>
          <w:rFonts w:asciiTheme="minorBidi" w:hAnsiTheme="minorBidi"/>
          <w:b/>
          <w:bCs/>
          <w:sz w:val="36"/>
          <w:szCs w:val="36"/>
          <w:u w:val="single"/>
        </w:rPr>
      </w:pPr>
      <w:r w:rsidRPr="00022A4B">
        <w:rPr>
          <w:rFonts w:asciiTheme="minorBidi" w:hAnsiTheme="minorBidi"/>
          <w:b/>
          <w:bCs/>
          <w:sz w:val="36"/>
          <w:szCs w:val="36"/>
          <w:u w:val="single"/>
        </w:rPr>
        <w:t>ASYMPTOMATIC BACTERIURIA</w:t>
      </w:r>
      <w:r w:rsidR="00963CD1">
        <w:rPr>
          <w:rFonts w:asciiTheme="minorBidi" w:hAnsiTheme="minorBidi"/>
          <w:b/>
          <w:bCs/>
          <w:sz w:val="36"/>
          <w:szCs w:val="36"/>
          <w:u w:val="single"/>
        </w:rPr>
        <w:t xml:space="preserve"> </w:t>
      </w:r>
    </w:p>
    <w:p w:rsidR="00963CD1" w:rsidRPr="00963CD1" w:rsidRDefault="00963CD1" w:rsidP="00CE10E1">
      <w:pPr>
        <w:rPr>
          <w:rFonts w:asciiTheme="minorBidi" w:hAnsiTheme="minorBidi"/>
          <w:b/>
          <w:bCs/>
          <w:sz w:val="36"/>
          <w:szCs w:val="36"/>
          <w:u w:val="single"/>
        </w:rPr>
      </w:pPr>
      <w:r>
        <w:rPr>
          <w:rFonts w:asciiTheme="minorBidi" w:hAnsiTheme="minorBidi"/>
          <w:b/>
          <w:bCs/>
          <w:sz w:val="36"/>
          <w:szCs w:val="36"/>
          <w:u w:val="single"/>
        </w:rPr>
        <w:t xml:space="preserve"> </w:t>
      </w:r>
    </w:p>
    <w:p w:rsidR="00B022FD" w:rsidRDefault="00B022FD" w:rsidP="00B022FD">
      <w:pPr>
        <w:spacing w:line="360" w:lineRule="auto"/>
        <w:rPr>
          <w:rFonts w:asciiTheme="minorBidi" w:hAnsiTheme="minorBidi"/>
          <w:b/>
          <w:bCs/>
          <w:sz w:val="28"/>
          <w:szCs w:val="28"/>
        </w:rPr>
      </w:pPr>
    </w:p>
    <w:p w:rsidR="00963CD1" w:rsidRDefault="00EB1EEA" w:rsidP="00FD4352">
      <w:pPr>
        <w:spacing w:line="360" w:lineRule="auto"/>
        <w:jc w:val="center"/>
        <w:rPr>
          <w:rFonts w:asciiTheme="minorBidi" w:hAnsiTheme="minorBidi"/>
          <w:b/>
          <w:bCs/>
          <w:sz w:val="28"/>
          <w:szCs w:val="28"/>
        </w:rPr>
      </w:pPr>
      <w:r>
        <w:rPr>
          <w:rFonts w:asciiTheme="minorBidi" w:hAnsiTheme="minorBidi"/>
          <w:b/>
          <w:bCs/>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273pt">
            <v:imagedata r:id="rId8" o:title="whitebloodcellsuti_1149000-860x697"/>
          </v:shape>
        </w:pict>
      </w:r>
    </w:p>
    <w:p w:rsidR="00963CD1" w:rsidRDefault="00963CD1" w:rsidP="00FD4352">
      <w:pPr>
        <w:spacing w:line="360" w:lineRule="auto"/>
        <w:jc w:val="center"/>
        <w:rPr>
          <w:rFonts w:asciiTheme="minorBidi" w:hAnsiTheme="minorBidi"/>
          <w:b/>
          <w:bCs/>
          <w:sz w:val="28"/>
          <w:szCs w:val="28"/>
        </w:rPr>
      </w:pPr>
    </w:p>
    <w:p w:rsidR="00963CD1" w:rsidRDefault="00963CD1" w:rsidP="00FD4352">
      <w:pPr>
        <w:spacing w:line="360" w:lineRule="auto"/>
        <w:jc w:val="center"/>
        <w:rPr>
          <w:rFonts w:asciiTheme="minorBidi" w:hAnsiTheme="minorBidi"/>
          <w:b/>
          <w:bCs/>
          <w:sz w:val="28"/>
          <w:szCs w:val="28"/>
        </w:rPr>
      </w:pPr>
    </w:p>
    <w:p w:rsidR="00963CD1" w:rsidRDefault="00963CD1" w:rsidP="00FD4352">
      <w:pPr>
        <w:spacing w:line="360" w:lineRule="auto"/>
        <w:jc w:val="center"/>
        <w:rPr>
          <w:rFonts w:asciiTheme="minorBidi" w:hAnsiTheme="minorBidi"/>
          <w:b/>
          <w:bCs/>
          <w:sz w:val="28"/>
          <w:szCs w:val="28"/>
        </w:rPr>
      </w:pPr>
    </w:p>
    <w:p w:rsidR="00963CD1" w:rsidRDefault="00963CD1" w:rsidP="00FD4352">
      <w:pPr>
        <w:spacing w:line="360" w:lineRule="auto"/>
        <w:jc w:val="center"/>
        <w:rPr>
          <w:rFonts w:asciiTheme="minorBidi" w:hAnsiTheme="minorBidi"/>
          <w:b/>
          <w:bCs/>
          <w:sz w:val="28"/>
          <w:szCs w:val="28"/>
        </w:rPr>
      </w:pPr>
    </w:p>
    <w:p w:rsidR="00963CD1" w:rsidRPr="0087628D" w:rsidRDefault="00963CD1" w:rsidP="00CE10E1">
      <w:pPr>
        <w:jc w:val="center"/>
        <w:rPr>
          <w:rFonts w:asciiTheme="minorBidi" w:hAnsiTheme="minorBidi"/>
          <w:b/>
          <w:bCs/>
          <w:sz w:val="28"/>
          <w:szCs w:val="28"/>
        </w:rPr>
      </w:pPr>
      <w:r w:rsidRPr="0087628D">
        <w:rPr>
          <w:rFonts w:asciiTheme="minorBidi" w:hAnsiTheme="minorBidi"/>
          <w:b/>
          <w:bCs/>
          <w:color w:val="FF0000"/>
          <w:sz w:val="28"/>
          <w:szCs w:val="28"/>
        </w:rPr>
        <w:t xml:space="preserve">Student </w:t>
      </w:r>
      <w:proofErr w:type="gramStart"/>
      <w:r w:rsidR="00CE10E1" w:rsidRPr="0087628D">
        <w:rPr>
          <w:rFonts w:asciiTheme="minorBidi" w:hAnsiTheme="minorBidi"/>
          <w:b/>
          <w:bCs/>
          <w:color w:val="FF0000"/>
          <w:sz w:val="28"/>
          <w:szCs w:val="28"/>
        </w:rPr>
        <w:t xml:space="preserve">name </w:t>
      </w:r>
      <w:r w:rsidRPr="0087628D">
        <w:rPr>
          <w:rFonts w:asciiTheme="minorBidi" w:hAnsiTheme="minorBidi"/>
          <w:sz w:val="28"/>
          <w:szCs w:val="28"/>
        </w:rPr>
        <w:t>:</w:t>
      </w:r>
      <w:proofErr w:type="gramEnd"/>
      <w:r w:rsidRPr="0087628D">
        <w:rPr>
          <w:rFonts w:asciiTheme="minorBidi" w:hAnsiTheme="minorBidi"/>
          <w:sz w:val="28"/>
          <w:szCs w:val="28"/>
        </w:rPr>
        <w:t xml:space="preserve">  </w:t>
      </w:r>
      <w:proofErr w:type="spellStart"/>
      <w:r w:rsidR="00CE10E1" w:rsidRPr="0087628D">
        <w:rPr>
          <w:rFonts w:asciiTheme="minorBidi" w:hAnsiTheme="minorBidi"/>
          <w:b/>
          <w:bCs/>
          <w:sz w:val="28"/>
          <w:szCs w:val="28"/>
        </w:rPr>
        <w:t>Sierag</w:t>
      </w:r>
      <w:proofErr w:type="spellEnd"/>
      <w:r w:rsidR="00CE10E1" w:rsidRPr="0087628D">
        <w:rPr>
          <w:rFonts w:asciiTheme="minorBidi" w:hAnsiTheme="minorBidi"/>
          <w:b/>
          <w:bCs/>
          <w:sz w:val="28"/>
          <w:szCs w:val="28"/>
        </w:rPr>
        <w:t xml:space="preserve"> </w:t>
      </w:r>
      <w:proofErr w:type="spellStart"/>
      <w:r w:rsidR="00CE10E1" w:rsidRPr="0087628D">
        <w:rPr>
          <w:rFonts w:asciiTheme="minorBidi" w:hAnsiTheme="minorBidi"/>
          <w:b/>
          <w:bCs/>
          <w:sz w:val="28"/>
          <w:szCs w:val="28"/>
        </w:rPr>
        <w:t>Monier</w:t>
      </w:r>
      <w:proofErr w:type="spellEnd"/>
      <w:r w:rsidR="00CE10E1" w:rsidRPr="0087628D">
        <w:rPr>
          <w:rFonts w:asciiTheme="minorBidi" w:hAnsiTheme="minorBidi"/>
          <w:b/>
          <w:bCs/>
          <w:sz w:val="28"/>
          <w:szCs w:val="28"/>
        </w:rPr>
        <w:t xml:space="preserve"> Sharif</w:t>
      </w:r>
    </w:p>
    <w:p w:rsidR="00CE10E1" w:rsidRPr="0087628D" w:rsidRDefault="00CE10E1" w:rsidP="00013A9A">
      <w:pPr>
        <w:jc w:val="center"/>
        <w:rPr>
          <w:rFonts w:asciiTheme="minorBidi" w:hAnsiTheme="minorBidi"/>
          <w:b/>
          <w:bCs/>
          <w:color w:val="FF0000"/>
          <w:sz w:val="28"/>
          <w:szCs w:val="28"/>
        </w:rPr>
      </w:pPr>
      <w:r w:rsidRPr="0087628D">
        <w:rPr>
          <w:rFonts w:asciiTheme="minorBidi" w:hAnsiTheme="minorBidi"/>
          <w:b/>
          <w:bCs/>
          <w:color w:val="FF0000"/>
          <w:sz w:val="28"/>
          <w:szCs w:val="28"/>
        </w:rPr>
        <w:t xml:space="preserve">Student number: </w:t>
      </w:r>
      <w:r w:rsidRPr="0087628D">
        <w:rPr>
          <w:rFonts w:asciiTheme="minorBidi" w:hAnsiTheme="minorBidi"/>
          <w:b/>
          <w:bCs/>
          <w:color w:val="000000" w:themeColor="text1"/>
          <w:sz w:val="28"/>
          <w:szCs w:val="28"/>
        </w:rPr>
        <w:t>2509</w:t>
      </w:r>
    </w:p>
    <w:p w:rsidR="00960AEF" w:rsidRPr="00584CBE" w:rsidRDefault="00FD4352" w:rsidP="00013A9A">
      <w:pPr>
        <w:spacing w:line="360" w:lineRule="auto"/>
        <w:jc w:val="center"/>
        <w:rPr>
          <w:rFonts w:asciiTheme="minorBidi" w:hAnsiTheme="minorBidi"/>
          <w:b/>
          <w:bCs/>
          <w:sz w:val="28"/>
          <w:szCs w:val="28"/>
          <w:rtl/>
        </w:rPr>
      </w:pPr>
      <w:bookmarkStart w:id="0" w:name="_GoBack"/>
      <w:r w:rsidRPr="0087628D">
        <w:rPr>
          <w:rFonts w:asciiTheme="minorBidi" w:hAnsiTheme="minorBidi"/>
          <w:b/>
          <w:bCs/>
          <w:color w:val="FF0000"/>
          <w:sz w:val="28"/>
          <w:szCs w:val="28"/>
        </w:rPr>
        <w:t>Supervisor name and any tutors/ teaching staff</w:t>
      </w:r>
      <w:r w:rsidR="00963CD1" w:rsidRPr="0087628D">
        <w:rPr>
          <w:rFonts w:asciiTheme="minorBidi" w:hAnsiTheme="minorBidi"/>
          <w:b/>
          <w:bCs/>
          <w:color w:val="FF0000"/>
          <w:sz w:val="28"/>
          <w:szCs w:val="28"/>
        </w:rPr>
        <w:t xml:space="preserve">:  </w:t>
      </w:r>
      <w:r w:rsidR="00963CD1" w:rsidRPr="0087628D">
        <w:rPr>
          <w:rFonts w:asciiTheme="minorBidi" w:hAnsiTheme="minorBidi"/>
          <w:b/>
          <w:bCs/>
          <w:sz w:val="28"/>
          <w:szCs w:val="28"/>
        </w:rPr>
        <w:t xml:space="preserve">Dr. </w:t>
      </w:r>
      <w:proofErr w:type="spellStart"/>
      <w:r w:rsidR="00013A9A">
        <w:rPr>
          <w:rFonts w:asciiTheme="minorBidi" w:hAnsiTheme="minorBidi" w:hint="cs"/>
          <w:b/>
          <w:bCs/>
          <w:sz w:val="28"/>
          <w:szCs w:val="28"/>
          <w:rtl/>
        </w:rPr>
        <w:t>Asma</w:t>
      </w:r>
      <w:proofErr w:type="spellEnd"/>
      <w:r w:rsidR="00963CD1" w:rsidRPr="00963CD1">
        <w:rPr>
          <w:rFonts w:asciiTheme="minorBidi" w:hAnsiTheme="minorBidi"/>
          <w:b/>
          <w:bCs/>
          <w:sz w:val="24"/>
          <w:szCs w:val="24"/>
        </w:rPr>
        <w:t xml:space="preserve"> </w:t>
      </w:r>
      <w:bookmarkEnd w:id="0"/>
      <w:r w:rsidR="00294189" w:rsidRPr="00294189">
        <w:rPr>
          <w:rFonts w:asciiTheme="minorBidi" w:hAnsiTheme="minorBidi"/>
          <w:sz w:val="24"/>
          <w:szCs w:val="24"/>
        </w:rPr>
        <w:br w:type="page"/>
      </w:r>
    </w:p>
    <w:p w:rsidR="00294189" w:rsidRDefault="00294189">
      <w:pPr>
        <w:rPr>
          <w:rFonts w:asciiTheme="minorBidi" w:hAnsiTheme="minorBidi"/>
          <w:sz w:val="24"/>
          <w:szCs w:val="24"/>
        </w:rPr>
      </w:pPr>
    </w:p>
    <w:p w:rsidR="00960AEF" w:rsidRPr="00960AEF" w:rsidRDefault="00960AEF" w:rsidP="00960AEF">
      <w:pPr>
        <w:spacing w:line="360" w:lineRule="auto"/>
        <w:rPr>
          <w:rFonts w:asciiTheme="minorBidi" w:hAnsiTheme="minorBidi"/>
          <w:sz w:val="24"/>
          <w:szCs w:val="24"/>
        </w:rPr>
      </w:pPr>
    </w:p>
    <w:p w:rsidR="00960AEF" w:rsidRDefault="00960AEF" w:rsidP="00613168">
      <w:pPr>
        <w:spacing w:line="360" w:lineRule="auto"/>
        <w:rPr>
          <w:rFonts w:asciiTheme="minorBidi" w:hAnsiTheme="minorBidi"/>
          <w:sz w:val="24"/>
          <w:szCs w:val="24"/>
        </w:rPr>
      </w:pPr>
      <w:r w:rsidRPr="00960AEF">
        <w:rPr>
          <w:rFonts w:asciiTheme="minorBidi" w:hAnsiTheme="minorBidi"/>
          <w:b/>
          <w:bCs/>
          <w:sz w:val="28"/>
          <w:szCs w:val="28"/>
        </w:rPr>
        <w:t>● Abstract</w:t>
      </w:r>
      <w:r w:rsidR="00613168">
        <w:rPr>
          <w:rFonts w:asciiTheme="minorBidi" w:hAnsiTheme="minorBidi"/>
          <w:sz w:val="24"/>
          <w:szCs w:val="24"/>
        </w:rPr>
        <w:t>:</w:t>
      </w:r>
    </w:p>
    <w:p w:rsidR="00960AEF" w:rsidRPr="00613168" w:rsidRDefault="00613168" w:rsidP="0074484C">
      <w:pPr>
        <w:spacing w:line="360" w:lineRule="auto"/>
        <w:jc w:val="both"/>
        <w:rPr>
          <w:rFonts w:asciiTheme="minorBidi" w:hAnsiTheme="minorBidi"/>
          <w:sz w:val="28"/>
          <w:szCs w:val="28"/>
        </w:rPr>
      </w:pPr>
      <w:r w:rsidRPr="00613168">
        <w:rPr>
          <w:rFonts w:asciiTheme="minorBidi" w:hAnsiTheme="minorBidi"/>
          <w:sz w:val="28"/>
          <w:szCs w:val="28"/>
        </w:rPr>
        <w:t xml:space="preserve">Urine is normally sterile. </w:t>
      </w:r>
      <w:r w:rsidR="00E90896" w:rsidRPr="00E90896">
        <w:rPr>
          <w:rFonts w:asciiTheme="minorBidi" w:hAnsiTheme="minorBidi"/>
          <w:sz w:val="28"/>
          <w:szCs w:val="28"/>
        </w:rPr>
        <w:t xml:space="preserve">Asymptomatic bacteriuria </w:t>
      </w:r>
      <w:r w:rsidR="00E90896">
        <w:rPr>
          <w:rFonts w:asciiTheme="minorBidi" w:hAnsiTheme="minorBidi"/>
          <w:sz w:val="28"/>
          <w:szCs w:val="28"/>
        </w:rPr>
        <w:t>(ASBU)</w:t>
      </w:r>
      <w:r w:rsidRPr="00613168">
        <w:rPr>
          <w:rFonts w:asciiTheme="minorBidi" w:hAnsiTheme="minorBidi"/>
          <w:sz w:val="28"/>
          <w:szCs w:val="28"/>
        </w:rPr>
        <w:t xml:space="preserve"> is a condition in which a significant number of bacteria appear in the urine, without the presence of typical symptoms of a urinary tract infection.</w:t>
      </w:r>
      <w:r w:rsidR="0074484C">
        <w:rPr>
          <w:rFonts w:asciiTheme="minorBidi" w:hAnsiTheme="minorBidi"/>
          <w:sz w:val="28"/>
          <w:szCs w:val="28"/>
        </w:rPr>
        <w:t xml:space="preserve"> </w:t>
      </w:r>
      <w:r w:rsidRPr="00613168">
        <w:rPr>
          <w:rFonts w:asciiTheme="minorBidi" w:hAnsiTheme="minorBidi"/>
          <w:sz w:val="28"/>
          <w:szCs w:val="28"/>
        </w:rPr>
        <w:t xml:space="preserve">Escherichia coli is the single most common cause of </w:t>
      </w:r>
      <w:r w:rsidR="00E90896">
        <w:rPr>
          <w:rFonts w:asciiTheme="minorBidi" w:hAnsiTheme="minorBidi"/>
          <w:sz w:val="28"/>
          <w:szCs w:val="28"/>
        </w:rPr>
        <w:t>ASBU</w:t>
      </w:r>
      <w:r w:rsidRPr="00613168">
        <w:rPr>
          <w:rFonts w:asciiTheme="minorBidi" w:hAnsiTheme="minorBidi"/>
          <w:sz w:val="28"/>
          <w:szCs w:val="28"/>
        </w:rPr>
        <w:t xml:space="preserve">. </w:t>
      </w:r>
      <w:r w:rsidR="00E90896">
        <w:rPr>
          <w:rFonts w:asciiTheme="minorBidi" w:hAnsiTheme="minorBidi"/>
          <w:sz w:val="28"/>
          <w:szCs w:val="28"/>
        </w:rPr>
        <w:t>ASBU</w:t>
      </w:r>
      <w:r w:rsidRPr="00613168">
        <w:rPr>
          <w:rFonts w:asciiTheme="minorBidi" w:hAnsiTheme="minorBidi"/>
          <w:sz w:val="28"/>
          <w:szCs w:val="28"/>
        </w:rPr>
        <w:t xml:space="preserve"> is more common in elderly and its prevalence increase with age. </w:t>
      </w:r>
      <w:r w:rsidR="00E90896">
        <w:rPr>
          <w:rFonts w:asciiTheme="minorBidi" w:hAnsiTheme="minorBidi"/>
          <w:sz w:val="28"/>
          <w:szCs w:val="28"/>
        </w:rPr>
        <w:t>ASBU</w:t>
      </w:r>
      <w:r w:rsidRPr="00613168">
        <w:rPr>
          <w:rFonts w:asciiTheme="minorBidi" w:hAnsiTheme="minorBidi"/>
          <w:sz w:val="28"/>
          <w:szCs w:val="28"/>
        </w:rPr>
        <w:t xml:space="preserve"> has been slightly more common in black </w:t>
      </w:r>
      <w:r w:rsidR="0074484C">
        <w:rPr>
          <w:rFonts w:asciiTheme="minorBidi" w:hAnsiTheme="minorBidi"/>
          <w:sz w:val="28"/>
          <w:szCs w:val="28"/>
        </w:rPr>
        <w:t>population</w:t>
      </w:r>
      <w:r w:rsidRPr="00613168">
        <w:rPr>
          <w:rFonts w:asciiTheme="minorBidi" w:hAnsiTheme="minorBidi"/>
          <w:sz w:val="28"/>
          <w:szCs w:val="28"/>
        </w:rPr>
        <w:t xml:space="preserve">. Screening for asymptomatic subjects is considered if bacteriuria is associated with preventable adverse outcomes such as symptomatic urinary infection, progression to chronic kidney disease or hypertension, development of urinary tract cancer, and decreased duration of survival. If left untreated </w:t>
      </w:r>
      <w:r w:rsidR="00E90896">
        <w:rPr>
          <w:rFonts w:asciiTheme="minorBidi" w:hAnsiTheme="minorBidi"/>
          <w:sz w:val="28"/>
          <w:szCs w:val="28"/>
        </w:rPr>
        <w:t>ASBU</w:t>
      </w:r>
      <w:r w:rsidRPr="00613168">
        <w:rPr>
          <w:rFonts w:asciiTheme="minorBidi" w:hAnsiTheme="minorBidi"/>
          <w:sz w:val="28"/>
          <w:szCs w:val="28"/>
        </w:rPr>
        <w:t xml:space="preserve"> normally cures on its own and active treatment is not required except in those who are pregnant, require renal transplantation or are supposed to undergo a urinary tract procedure. In patients who acquire </w:t>
      </w:r>
      <w:r w:rsidR="00E90896">
        <w:rPr>
          <w:rFonts w:asciiTheme="minorBidi" w:hAnsiTheme="minorBidi"/>
          <w:sz w:val="28"/>
          <w:szCs w:val="28"/>
        </w:rPr>
        <w:t>ASBU</w:t>
      </w:r>
      <w:r w:rsidRPr="00613168">
        <w:rPr>
          <w:rFonts w:asciiTheme="minorBidi" w:hAnsiTheme="minorBidi"/>
          <w:sz w:val="28"/>
          <w:szCs w:val="28"/>
        </w:rPr>
        <w:t xml:space="preserve"> early in their pregnancy, there is a minute chance of issues related to pregnancy like low birth weight </w:t>
      </w:r>
      <w:proofErr w:type="spellStart"/>
      <w:r w:rsidRPr="00613168">
        <w:rPr>
          <w:rFonts w:asciiTheme="minorBidi" w:hAnsiTheme="minorBidi"/>
          <w:sz w:val="28"/>
          <w:szCs w:val="28"/>
        </w:rPr>
        <w:t>etc</w:t>
      </w:r>
      <w:proofErr w:type="spellEnd"/>
      <w:r w:rsidRPr="00613168">
        <w:rPr>
          <w:rFonts w:asciiTheme="minorBidi" w:hAnsiTheme="minorBidi"/>
          <w:sz w:val="28"/>
          <w:szCs w:val="28"/>
        </w:rPr>
        <w:t xml:space="preserve"> or pyelonephritis. Most cases resolve postpartum. The diagnosis of bacteriuria in an asymptomatic individual is based on the culture results of urine collected in a manner that minimizes the possibility of contamination and limits the period between sampling and testing the specimen to avoid false positivity due to bacterial growth. Conditions that might require the </w:t>
      </w:r>
      <w:r w:rsidR="00E90896">
        <w:rPr>
          <w:rFonts w:asciiTheme="minorBidi" w:hAnsiTheme="minorBidi"/>
          <w:sz w:val="28"/>
          <w:szCs w:val="28"/>
        </w:rPr>
        <w:t>ASBU</w:t>
      </w:r>
      <w:r w:rsidRPr="00613168">
        <w:rPr>
          <w:rFonts w:asciiTheme="minorBidi" w:hAnsiTheme="minorBidi"/>
          <w:sz w:val="28"/>
          <w:szCs w:val="28"/>
        </w:rPr>
        <w:t xml:space="preserve"> to be treated are pregnancy, before transurethral prostatic resection, and renal transplant follow-up.</w:t>
      </w:r>
    </w:p>
    <w:p w:rsidR="00613168" w:rsidRDefault="00613168">
      <w:pPr>
        <w:rPr>
          <w:rFonts w:asciiTheme="minorBidi" w:hAnsiTheme="minorBidi"/>
          <w:sz w:val="24"/>
          <w:szCs w:val="24"/>
        </w:rPr>
      </w:pPr>
      <w:r>
        <w:rPr>
          <w:rFonts w:asciiTheme="minorBidi" w:hAnsiTheme="minorBidi"/>
          <w:sz w:val="24"/>
          <w:szCs w:val="24"/>
        </w:rPr>
        <w:br w:type="page"/>
      </w:r>
    </w:p>
    <w:p w:rsidR="00960AEF" w:rsidRPr="00960AEF" w:rsidRDefault="00960AEF" w:rsidP="00960AEF">
      <w:pPr>
        <w:spacing w:line="360" w:lineRule="auto"/>
        <w:rPr>
          <w:rFonts w:asciiTheme="minorBidi" w:hAnsiTheme="minorBidi"/>
          <w:sz w:val="24"/>
          <w:szCs w:val="24"/>
        </w:rPr>
      </w:pPr>
    </w:p>
    <w:p w:rsidR="00960AEF" w:rsidRDefault="00960AEF" w:rsidP="00294189">
      <w:pPr>
        <w:spacing w:line="360" w:lineRule="auto"/>
        <w:jc w:val="both"/>
        <w:rPr>
          <w:rFonts w:asciiTheme="minorBidi" w:hAnsiTheme="minorBidi"/>
          <w:sz w:val="24"/>
          <w:szCs w:val="24"/>
          <w:rtl/>
        </w:rPr>
      </w:pPr>
      <w:r w:rsidRPr="00960AEF">
        <w:rPr>
          <w:rFonts w:asciiTheme="minorBidi" w:hAnsiTheme="minorBidi"/>
          <w:b/>
          <w:bCs/>
          <w:sz w:val="28"/>
          <w:szCs w:val="28"/>
        </w:rPr>
        <w:t>● Introduction</w:t>
      </w:r>
    </w:p>
    <w:p w:rsidR="00294189" w:rsidRDefault="00B60FC0" w:rsidP="00B60FC0">
      <w:pPr>
        <w:spacing w:line="360" w:lineRule="auto"/>
        <w:jc w:val="both"/>
        <w:rPr>
          <w:rFonts w:asciiTheme="minorBidi" w:hAnsiTheme="minorBidi"/>
          <w:sz w:val="24"/>
          <w:szCs w:val="24"/>
        </w:rPr>
      </w:pPr>
      <w:r w:rsidRPr="00B60FC0">
        <w:rPr>
          <w:rFonts w:asciiTheme="minorBidi" w:hAnsiTheme="minorBidi"/>
          <w:sz w:val="24"/>
          <w:szCs w:val="24"/>
        </w:rPr>
        <w:t xml:space="preserve">Patients with </w:t>
      </w:r>
      <w:r w:rsidR="00E90896">
        <w:rPr>
          <w:rFonts w:asciiTheme="minorBidi" w:hAnsiTheme="minorBidi"/>
          <w:sz w:val="24"/>
          <w:szCs w:val="24"/>
        </w:rPr>
        <w:t>ASBU</w:t>
      </w:r>
      <w:r w:rsidRPr="00B60FC0">
        <w:rPr>
          <w:rFonts w:asciiTheme="minorBidi" w:hAnsiTheme="minorBidi"/>
          <w:sz w:val="24"/>
          <w:szCs w:val="24"/>
        </w:rPr>
        <w:t xml:space="preserve"> are, by definition, asymptomatic. They have no symptoms that can be attributed to bacteria in the urine. This is completely different from the evaluation and management of symptomatic bacteriuria or urinary tract infections.</w:t>
      </w:r>
      <w:r w:rsidRPr="00B60FC0">
        <w:rPr>
          <w:rFonts w:asciiTheme="minorBidi" w:hAnsiTheme="minorBidi"/>
          <w:sz w:val="24"/>
          <w:szCs w:val="24"/>
          <w:vertAlign w:val="superscript"/>
        </w:rPr>
        <w:t>2</w:t>
      </w:r>
      <w:r w:rsidRPr="00B60FC0">
        <w:rPr>
          <w:rFonts w:asciiTheme="minorBidi" w:hAnsiTheme="minorBidi"/>
          <w:sz w:val="24"/>
          <w:szCs w:val="24"/>
        </w:rPr>
        <w:t xml:space="preserve"> To explain more precisely</w:t>
      </w:r>
      <w:r>
        <w:rPr>
          <w:rFonts w:asciiTheme="minorBidi" w:hAnsiTheme="minorBidi"/>
          <w:sz w:val="24"/>
          <w:szCs w:val="24"/>
          <w:lang w:val="en-GB"/>
        </w:rPr>
        <w:t>, t</w:t>
      </w:r>
      <w:r w:rsidR="00294189" w:rsidRPr="00294189">
        <w:rPr>
          <w:rFonts w:asciiTheme="minorBidi" w:hAnsiTheme="minorBidi"/>
          <w:sz w:val="24"/>
          <w:szCs w:val="24"/>
        </w:rPr>
        <w:t xml:space="preserve">he term </w:t>
      </w:r>
      <w:r w:rsidR="00E90896">
        <w:rPr>
          <w:rFonts w:asciiTheme="minorBidi" w:hAnsiTheme="minorBidi"/>
          <w:sz w:val="24"/>
          <w:szCs w:val="24"/>
        </w:rPr>
        <w:t>ASBU</w:t>
      </w:r>
      <w:r w:rsidR="00294189" w:rsidRPr="00294189">
        <w:rPr>
          <w:rFonts w:asciiTheme="minorBidi" w:hAnsiTheme="minorBidi"/>
          <w:sz w:val="24"/>
          <w:szCs w:val="24"/>
        </w:rPr>
        <w:t xml:space="preserve"> refers to isolation of bacteria in an appropriately collected urine specimen from an individual without symptoms of urinary tract infection (UTI).</w:t>
      </w:r>
      <w:r w:rsidR="00BD0FAC" w:rsidRPr="00BD0FAC">
        <w:rPr>
          <w:rFonts w:asciiTheme="minorBidi" w:hAnsiTheme="minorBidi"/>
          <w:sz w:val="24"/>
          <w:szCs w:val="24"/>
          <w:vertAlign w:val="superscript"/>
        </w:rPr>
        <w:t>1</w:t>
      </w:r>
      <w:r w:rsidR="00294189" w:rsidRPr="00294189">
        <w:rPr>
          <w:rFonts w:asciiTheme="minorBidi" w:hAnsiTheme="minorBidi"/>
          <w:sz w:val="24"/>
          <w:szCs w:val="24"/>
        </w:rPr>
        <w:t xml:space="preserve"> </w:t>
      </w:r>
      <w:r w:rsidR="00BD0FAC" w:rsidRPr="00BD0FAC">
        <w:rPr>
          <w:rFonts w:asciiTheme="minorBidi" w:hAnsiTheme="minorBidi"/>
          <w:sz w:val="24"/>
          <w:szCs w:val="24"/>
        </w:rPr>
        <w:t>The incidence is 15 percent or greater in women and men age 65 to 80 years and as high as 40 to 50 percent after age 80.</w:t>
      </w:r>
      <w:r w:rsidR="00BD0FAC" w:rsidRPr="00BD0FAC">
        <w:rPr>
          <w:rFonts w:asciiTheme="minorBidi" w:hAnsiTheme="minorBidi"/>
          <w:sz w:val="24"/>
          <w:szCs w:val="24"/>
          <w:vertAlign w:val="superscript"/>
        </w:rPr>
        <w:t>2</w:t>
      </w:r>
      <w:r w:rsidR="00BD0FAC">
        <w:rPr>
          <w:rFonts w:asciiTheme="minorBidi" w:hAnsiTheme="minorBidi"/>
          <w:sz w:val="24"/>
          <w:szCs w:val="24"/>
        </w:rPr>
        <w:t xml:space="preserve"> </w:t>
      </w:r>
      <w:r w:rsidR="00E90896">
        <w:rPr>
          <w:rFonts w:asciiTheme="minorBidi" w:hAnsiTheme="minorBidi"/>
          <w:sz w:val="24"/>
          <w:szCs w:val="24"/>
        </w:rPr>
        <w:t>ASBU</w:t>
      </w:r>
      <w:r w:rsidR="00294189" w:rsidRPr="00294189">
        <w:rPr>
          <w:rFonts w:asciiTheme="minorBidi" w:hAnsiTheme="minorBidi"/>
          <w:sz w:val="24"/>
          <w:szCs w:val="24"/>
        </w:rPr>
        <w:t xml:space="preserve"> is common, but most patients with </w:t>
      </w:r>
      <w:r w:rsidR="00E90896">
        <w:rPr>
          <w:rFonts w:asciiTheme="minorBidi" w:hAnsiTheme="minorBidi"/>
          <w:sz w:val="24"/>
          <w:szCs w:val="24"/>
        </w:rPr>
        <w:t>ASBU</w:t>
      </w:r>
      <w:r w:rsidR="00294189" w:rsidRPr="00294189">
        <w:rPr>
          <w:rFonts w:asciiTheme="minorBidi" w:hAnsiTheme="minorBidi"/>
          <w:sz w:val="24"/>
          <w:szCs w:val="24"/>
        </w:rPr>
        <w:t xml:space="preserve"> have no adverse consequences and derive no benefit from antibiotic therapy. With few exceptions, </w:t>
      </w:r>
      <w:proofErr w:type="spellStart"/>
      <w:r w:rsidR="00294189" w:rsidRPr="00294189">
        <w:rPr>
          <w:rFonts w:asciiTheme="minorBidi" w:hAnsiTheme="minorBidi"/>
          <w:sz w:val="24"/>
          <w:szCs w:val="24"/>
        </w:rPr>
        <w:t>nonpregnant</w:t>
      </w:r>
      <w:proofErr w:type="spellEnd"/>
      <w:r w:rsidR="00294189" w:rsidRPr="00294189">
        <w:rPr>
          <w:rFonts w:asciiTheme="minorBidi" w:hAnsiTheme="minorBidi"/>
          <w:sz w:val="24"/>
          <w:szCs w:val="24"/>
        </w:rPr>
        <w:t xml:space="preserve"> patients should not be screened or treated for </w:t>
      </w:r>
      <w:r w:rsidR="00E90896">
        <w:rPr>
          <w:rFonts w:asciiTheme="minorBidi" w:hAnsiTheme="minorBidi"/>
          <w:sz w:val="24"/>
          <w:szCs w:val="24"/>
        </w:rPr>
        <w:t>ASBU</w:t>
      </w:r>
      <w:r w:rsidR="00294189" w:rsidRPr="00294189">
        <w:rPr>
          <w:rFonts w:asciiTheme="minorBidi" w:hAnsiTheme="minorBidi"/>
          <w:sz w:val="24"/>
          <w:szCs w:val="24"/>
        </w:rPr>
        <w:t>.</w:t>
      </w:r>
      <w:r w:rsidR="00C9260D" w:rsidRPr="00C9260D">
        <w:rPr>
          <w:rFonts w:asciiTheme="minorBidi" w:hAnsiTheme="minorBidi"/>
          <w:sz w:val="24"/>
          <w:szCs w:val="24"/>
          <w:vertAlign w:val="superscript"/>
        </w:rPr>
        <w:t>1</w:t>
      </w:r>
    </w:p>
    <w:p w:rsidR="00C9260D" w:rsidRDefault="009E40EF" w:rsidP="009E40EF">
      <w:pPr>
        <w:spacing w:line="360" w:lineRule="auto"/>
        <w:jc w:val="both"/>
        <w:rPr>
          <w:rFonts w:asciiTheme="minorBidi" w:hAnsiTheme="minorBidi"/>
          <w:sz w:val="24"/>
          <w:szCs w:val="24"/>
          <w:rtl/>
        </w:rPr>
      </w:pPr>
      <w:r w:rsidRPr="009E40EF">
        <w:rPr>
          <w:rFonts w:asciiTheme="minorBidi" w:hAnsiTheme="minorBidi"/>
          <w:sz w:val="24"/>
          <w:szCs w:val="24"/>
        </w:rPr>
        <w:t xml:space="preserve">In an age when decreasing unnecessary antibiotic use is emphasized, the important clinical question is this:  Which patients with </w:t>
      </w:r>
      <w:r w:rsidR="00E90896">
        <w:rPr>
          <w:rFonts w:asciiTheme="minorBidi" w:hAnsiTheme="minorBidi"/>
          <w:sz w:val="24"/>
          <w:szCs w:val="24"/>
        </w:rPr>
        <w:t>ASBU</w:t>
      </w:r>
      <w:r w:rsidRPr="009E40EF">
        <w:rPr>
          <w:rFonts w:asciiTheme="minorBidi" w:hAnsiTheme="minorBidi"/>
          <w:sz w:val="24"/>
          <w:szCs w:val="24"/>
        </w:rPr>
        <w:t xml:space="preserve"> benefit from treatment? The answer is that most patients with </w:t>
      </w:r>
      <w:r w:rsidR="00E90896">
        <w:rPr>
          <w:rFonts w:asciiTheme="minorBidi" w:hAnsiTheme="minorBidi"/>
          <w:sz w:val="24"/>
          <w:szCs w:val="24"/>
        </w:rPr>
        <w:t>ASBU</w:t>
      </w:r>
      <w:r w:rsidRPr="009E40EF">
        <w:rPr>
          <w:rFonts w:asciiTheme="minorBidi" w:hAnsiTheme="minorBidi"/>
          <w:sz w:val="24"/>
          <w:szCs w:val="24"/>
        </w:rPr>
        <w:t xml:space="preserve"> do not benefit from treatment. There are, however, a few exceptions. There is sufficient evidence that a pregnant woman with </w:t>
      </w:r>
      <w:r w:rsidR="00E90896">
        <w:rPr>
          <w:rFonts w:asciiTheme="minorBidi" w:hAnsiTheme="minorBidi"/>
          <w:sz w:val="24"/>
          <w:szCs w:val="24"/>
        </w:rPr>
        <w:t>ASBU</w:t>
      </w:r>
      <w:r>
        <w:rPr>
          <w:rFonts w:asciiTheme="minorBidi" w:hAnsiTheme="minorBidi"/>
          <w:sz w:val="24"/>
          <w:szCs w:val="24"/>
        </w:rPr>
        <w:t xml:space="preserve"> should be treated.  </w:t>
      </w:r>
      <w:r w:rsidRPr="009E40EF">
        <w:rPr>
          <w:rFonts w:asciiTheme="minorBidi" w:hAnsiTheme="minorBidi"/>
          <w:sz w:val="24"/>
          <w:szCs w:val="24"/>
        </w:rPr>
        <w:t xml:space="preserve">Also, patients undergoing urologic procedures in which mucosal bleeding is expected and patients who are in the first three months following renal transplantation should probably be treated for </w:t>
      </w:r>
      <w:r w:rsidR="00E90896">
        <w:rPr>
          <w:rFonts w:asciiTheme="minorBidi" w:hAnsiTheme="minorBidi"/>
          <w:sz w:val="24"/>
          <w:szCs w:val="24"/>
        </w:rPr>
        <w:t>ASBU</w:t>
      </w:r>
      <w:r w:rsidRPr="009E40EF">
        <w:rPr>
          <w:rFonts w:asciiTheme="minorBidi" w:hAnsiTheme="minorBidi"/>
          <w:sz w:val="24"/>
          <w:szCs w:val="24"/>
        </w:rPr>
        <w:t>.</w:t>
      </w:r>
      <w:r w:rsidRPr="009E40EF">
        <w:rPr>
          <w:rFonts w:asciiTheme="minorBidi" w:hAnsiTheme="minorBidi"/>
          <w:sz w:val="24"/>
          <w:szCs w:val="24"/>
          <w:vertAlign w:val="superscript"/>
        </w:rPr>
        <w:t>2</w:t>
      </w:r>
    </w:p>
    <w:p w:rsidR="00294189" w:rsidRPr="00960AEF" w:rsidRDefault="00294189" w:rsidP="00294189">
      <w:pPr>
        <w:spacing w:line="360" w:lineRule="auto"/>
        <w:jc w:val="both"/>
        <w:rPr>
          <w:rFonts w:asciiTheme="minorBidi" w:hAnsiTheme="minorBidi"/>
          <w:sz w:val="24"/>
          <w:szCs w:val="24"/>
        </w:rPr>
      </w:pPr>
    </w:p>
    <w:p w:rsidR="00960AEF" w:rsidRPr="00C9260D" w:rsidRDefault="00960AEF" w:rsidP="00963A98">
      <w:pPr>
        <w:spacing w:line="360" w:lineRule="auto"/>
        <w:jc w:val="both"/>
        <w:rPr>
          <w:rFonts w:asciiTheme="minorBidi" w:hAnsiTheme="minorBidi"/>
          <w:color w:val="FF0000"/>
          <w:sz w:val="24"/>
          <w:szCs w:val="24"/>
        </w:rPr>
      </w:pPr>
      <w:r w:rsidRPr="00960AEF">
        <w:rPr>
          <w:rFonts w:asciiTheme="minorBidi" w:hAnsiTheme="minorBidi"/>
          <w:b/>
          <w:bCs/>
          <w:sz w:val="28"/>
          <w:szCs w:val="28"/>
        </w:rPr>
        <w:t xml:space="preserve">● </w:t>
      </w:r>
      <w:r w:rsidR="008B60BF">
        <w:rPr>
          <w:rFonts w:asciiTheme="minorBidi" w:hAnsiTheme="minorBidi"/>
          <w:b/>
          <w:bCs/>
          <w:sz w:val="28"/>
          <w:szCs w:val="28"/>
        </w:rPr>
        <w:t xml:space="preserve">Causes of </w:t>
      </w:r>
      <w:r w:rsidR="00E90896">
        <w:rPr>
          <w:rFonts w:asciiTheme="minorBidi" w:hAnsiTheme="minorBidi"/>
          <w:b/>
          <w:bCs/>
          <w:sz w:val="28"/>
          <w:szCs w:val="28"/>
        </w:rPr>
        <w:t>ASBU</w:t>
      </w:r>
      <w:r w:rsidR="00963A98">
        <w:rPr>
          <w:rFonts w:asciiTheme="minorBidi" w:hAnsiTheme="minorBidi"/>
          <w:b/>
          <w:bCs/>
          <w:sz w:val="28"/>
          <w:szCs w:val="28"/>
        </w:rPr>
        <w:t xml:space="preserve"> and sex predilection</w:t>
      </w:r>
    </w:p>
    <w:p w:rsidR="00C9260D" w:rsidRDefault="00D05732" w:rsidP="00D05732">
      <w:pPr>
        <w:spacing w:line="360" w:lineRule="auto"/>
        <w:jc w:val="both"/>
        <w:rPr>
          <w:rFonts w:asciiTheme="minorBidi" w:hAnsiTheme="minorBidi"/>
          <w:sz w:val="24"/>
          <w:szCs w:val="24"/>
        </w:rPr>
      </w:pPr>
      <w:r w:rsidRPr="00D05732">
        <w:rPr>
          <w:rFonts w:asciiTheme="minorBidi" w:hAnsiTheme="minorBidi"/>
          <w:sz w:val="24"/>
          <w:szCs w:val="24"/>
        </w:rPr>
        <w:t xml:space="preserve">The etiology of </w:t>
      </w:r>
      <w:r w:rsidR="00E90896">
        <w:rPr>
          <w:rFonts w:asciiTheme="minorBidi" w:hAnsiTheme="minorBidi"/>
          <w:sz w:val="24"/>
          <w:szCs w:val="24"/>
        </w:rPr>
        <w:t>ASBU</w:t>
      </w:r>
      <w:r w:rsidRPr="00D05732">
        <w:rPr>
          <w:rFonts w:asciiTheme="minorBidi" w:hAnsiTheme="minorBidi"/>
          <w:sz w:val="24"/>
          <w:szCs w:val="24"/>
        </w:rPr>
        <w:t xml:space="preserve"> has not been conclusively determined. </w:t>
      </w:r>
      <w:r w:rsidR="00E90896">
        <w:rPr>
          <w:rFonts w:asciiTheme="minorBidi" w:hAnsiTheme="minorBidi"/>
          <w:sz w:val="24"/>
          <w:szCs w:val="24"/>
        </w:rPr>
        <w:t>ASBU</w:t>
      </w:r>
      <w:r w:rsidRPr="00D05732">
        <w:rPr>
          <w:rFonts w:asciiTheme="minorBidi" w:hAnsiTheme="minorBidi"/>
          <w:sz w:val="24"/>
          <w:szCs w:val="24"/>
        </w:rPr>
        <w:t xml:space="preserve"> is more common among women than among men probably because of the shorter female urethra, which gives bacteria from the urethral meatus and the perineum a shorter distance to the bladder. In fact, most women have transient bacteriuria after sexual intercourse, but few of these women will develop symptomatic infections because the body's normal defense mechanisms prevent symptomatic infection in most </w:t>
      </w:r>
      <w:r w:rsidRPr="00D05732">
        <w:rPr>
          <w:rFonts w:asciiTheme="minorBidi" w:hAnsiTheme="minorBidi"/>
          <w:sz w:val="24"/>
          <w:szCs w:val="24"/>
        </w:rPr>
        <w:lastRenderedPageBreak/>
        <w:t xml:space="preserve">cases.  In the elderly, it is thought that incomplete bladder emptying contributes to the increased incidence of </w:t>
      </w:r>
      <w:r w:rsidR="00E90896">
        <w:rPr>
          <w:rFonts w:asciiTheme="minorBidi" w:hAnsiTheme="minorBidi"/>
          <w:sz w:val="24"/>
          <w:szCs w:val="24"/>
        </w:rPr>
        <w:t>ASBU</w:t>
      </w:r>
      <w:r w:rsidRPr="00D05732">
        <w:rPr>
          <w:rFonts w:asciiTheme="minorBidi" w:hAnsiTheme="minorBidi"/>
          <w:sz w:val="24"/>
          <w:szCs w:val="24"/>
        </w:rPr>
        <w:t>.</w:t>
      </w:r>
      <w:r w:rsidRPr="00D05732">
        <w:rPr>
          <w:rFonts w:asciiTheme="minorBidi" w:hAnsiTheme="minorBidi"/>
          <w:sz w:val="24"/>
          <w:szCs w:val="24"/>
          <w:vertAlign w:val="superscript"/>
        </w:rPr>
        <w:t>3</w:t>
      </w:r>
    </w:p>
    <w:p w:rsidR="00D05732" w:rsidRDefault="00E90896" w:rsidP="00D05732">
      <w:pPr>
        <w:spacing w:line="360" w:lineRule="auto"/>
        <w:jc w:val="both"/>
        <w:rPr>
          <w:rFonts w:asciiTheme="minorBidi" w:hAnsiTheme="minorBidi"/>
          <w:sz w:val="24"/>
          <w:szCs w:val="24"/>
          <w:vertAlign w:val="superscript"/>
        </w:rPr>
      </w:pPr>
      <w:r>
        <w:rPr>
          <w:rFonts w:asciiTheme="minorBidi" w:hAnsiTheme="minorBidi"/>
          <w:sz w:val="24"/>
          <w:szCs w:val="24"/>
        </w:rPr>
        <w:t>ASBU</w:t>
      </w:r>
      <w:r w:rsidR="00D05732" w:rsidRPr="00D05732">
        <w:rPr>
          <w:rFonts w:asciiTheme="minorBidi" w:hAnsiTheme="minorBidi"/>
          <w:sz w:val="24"/>
          <w:szCs w:val="24"/>
        </w:rPr>
        <w:t xml:space="preserve"> is a common clinical finding. While less than 0.5% of infants and toddlers have </w:t>
      </w:r>
      <w:r>
        <w:rPr>
          <w:rFonts w:asciiTheme="minorBidi" w:hAnsiTheme="minorBidi"/>
          <w:sz w:val="24"/>
          <w:szCs w:val="24"/>
        </w:rPr>
        <w:t>ASBU</w:t>
      </w:r>
      <w:r w:rsidR="00D05732" w:rsidRPr="00D05732">
        <w:rPr>
          <w:rFonts w:asciiTheme="minorBidi" w:hAnsiTheme="minorBidi"/>
          <w:sz w:val="24"/>
          <w:szCs w:val="24"/>
        </w:rPr>
        <w:t xml:space="preserve">, the incidence increases with age. The incidence is 5% or less among healthy premenopausal women, up to 15% or greater in women and men age 65-80 years, and it continues to climb after age 80 to as high as 40% to 50% of long-term care residents. At any age, the incidence of </w:t>
      </w:r>
      <w:r>
        <w:rPr>
          <w:rFonts w:asciiTheme="minorBidi" w:hAnsiTheme="minorBidi"/>
          <w:sz w:val="24"/>
          <w:szCs w:val="24"/>
        </w:rPr>
        <w:t>ASBU</w:t>
      </w:r>
      <w:r w:rsidR="00D05732" w:rsidRPr="00D05732">
        <w:rPr>
          <w:rFonts w:asciiTheme="minorBidi" w:hAnsiTheme="minorBidi"/>
          <w:sz w:val="24"/>
          <w:szCs w:val="24"/>
        </w:rPr>
        <w:t xml:space="preserve"> is higher among females than among males. Escherichia coli is the most common bacteria identified in </w:t>
      </w:r>
      <w:r>
        <w:rPr>
          <w:rFonts w:asciiTheme="minorBidi" w:hAnsiTheme="minorBidi"/>
          <w:sz w:val="24"/>
          <w:szCs w:val="24"/>
        </w:rPr>
        <w:t>ASBU</w:t>
      </w:r>
      <w:r w:rsidR="00D05732">
        <w:rPr>
          <w:rFonts w:asciiTheme="minorBidi" w:hAnsiTheme="minorBidi"/>
          <w:sz w:val="24"/>
          <w:szCs w:val="24"/>
        </w:rPr>
        <w:t>.</w:t>
      </w:r>
      <w:r w:rsidR="00D05732" w:rsidRPr="00D05732">
        <w:rPr>
          <w:rFonts w:asciiTheme="minorBidi" w:hAnsiTheme="minorBidi"/>
          <w:sz w:val="24"/>
          <w:szCs w:val="24"/>
          <w:vertAlign w:val="superscript"/>
        </w:rPr>
        <w:t>4</w:t>
      </w:r>
    </w:p>
    <w:p w:rsidR="00963A98" w:rsidRDefault="00B60FC0" w:rsidP="00B60FC0">
      <w:pPr>
        <w:spacing w:line="360" w:lineRule="auto"/>
        <w:jc w:val="both"/>
        <w:rPr>
          <w:rFonts w:asciiTheme="minorBidi" w:hAnsiTheme="minorBidi"/>
          <w:sz w:val="24"/>
          <w:szCs w:val="24"/>
        </w:rPr>
      </w:pPr>
      <w:r w:rsidRPr="00B60FC0">
        <w:rPr>
          <w:rFonts w:asciiTheme="minorBidi" w:hAnsiTheme="minorBidi"/>
          <w:sz w:val="24"/>
          <w:szCs w:val="24"/>
        </w:rPr>
        <w:t xml:space="preserve">Several factors are thought to increase the likelihood of </w:t>
      </w:r>
      <w:r w:rsidR="00E90896">
        <w:rPr>
          <w:rFonts w:asciiTheme="minorBidi" w:hAnsiTheme="minorBidi"/>
          <w:sz w:val="24"/>
          <w:szCs w:val="24"/>
        </w:rPr>
        <w:t>ASBU</w:t>
      </w:r>
      <w:r>
        <w:rPr>
          <w:rFonts w:asciiTheme="minorBidi" w:hAnsiTheme="minorBidi"/>
          <w:sz w:val="24"/>
          <w:szCs w:val="24"/>
        </w:rPr>
        <w:t>.</w:t>
      </w:r>
      <w:r w:rsidRPr="00B60FC0">
        <w:rPr>
          <w:rFonts w:asciiTheme="minorBidi" w:hAnsiTheme="minorBidi"/>
          <w:sz w:val="24"/>
          <w:szCs w:val="24"/>
          <w:vertAlign w:val="superscript"/>
        </w:rPr>
        <w:t>2</w:t>
      </w:r>
      <w:r>
        <w:rPr>
          <w:rFonts w:asciiTheme="minorBidi" w:hAnsiTheme="minorBidi"/>
          <w:sz w:val="24"/>
          <w:szCs w:val="24"/>
        </w:rPr>
        <w:t xml:space="preserve"> </w:t>
      </w:r>
    </w:p>
    <w:p w:rsidR="00B60FC0" w:rsidRPr="00B60FC0" w:rsidRDefault="00B60FC0" w:rsidP="00B60FC0">
      <w:pPr>
        <w:spacing w:line="360" w:lineRule="auto"/>
        <w:jc w:val="both"/>
        <w:rPr>
          <w:rFonts w:asciiTheme="minorBidi" w:hAnsiTheme="minorBidi"/>
          <w:sz w:val="24"/>
          <w:szCs w:val="24"/>
        </w:rPr>
      </w:pPr>
      <w:r w:rsidRPr="00B60FC0">
        <w:rPr>
          <w:rFonts w:asciiTheme="minorBidi" w:hAnsiTheme="minorBidi"/>
          <w:sz w:val="24"/>
          <w:szCs w:val="24"/>
        </w:rPr>
        <w:t>These</w:t>
      </w:r>
      <w:r>
        <w:rPr>
          <w:rFonts w:asciiTheme="minorBidi" w:hAnsiTheme="minorBidi"/>
          <w:sz w:val="24"/>
          <w:szCs w:val="24"/>
        </w:rPr>
        <w:t xml:space="preserve"> factors are</w:t>
      </w:r>
      <w:r w:rsidRPr="00B60FC0">
        <w:rPr>
          <w:rFonts w:asciiTheme="minorBidi" w:hAnsiTheme="minorBidi"/>
          <w:sz w:val="24"/>
          <w:szCs w:val="24"/>
        </w:rPr>
        <w:t xml:space="preserve"> </w:t>
      </w:r>
      <w:proofErr w:type="gramStart"/>
      <w:r w:rsidRPr="00B60FC0">
        <w:rPr>
          <w:rFonts w:asciiTheme="minorBidi" w:hAnsiTheme="minorBidi"/>
          <w:sz w:val="24"/>
          <w:szCs w:val="24"/>
        </w:rPr>
        <w:t>include</w:t>
      </w:r>
      <w:proofErr w:type="gramEnd"/>
      <w:r w:rsidRPr="00B60FC0">
        <w:rPr>
          <w:rFonts w:asciiTheme="minorBidi" w:hAnsiTheme="minorBidi"/>
          <w:sz w:val="24"/>
          <w:szCs w:val="24"/>
        </w:rPr>
        <w:t>:</w:t>
      </w:r>
    </w:p>
    <w:p w:rsidR="00B60FC0" w:rsidRPr="00B60FC0" w:rsidRDefault="00B60FC0" w:rsidP="00B60FC0">
      <w:pPr>
        <w:pStyle w:val="a5"/>
        <w:numPr>
          <w:ilvl w:val="0"/>
          <w:numId w:val="2"/>
        </w:numPr>
        <w:spacing w:line="360" w:lineRule="auto"/>
        <w:jc w:val="both"/>
        <w:rPr>
          <w:rFonts w:asciiTheme="minorBidi" w:hAnsiTheme="minorBidi"/>
          <w:sz w:val="24"/>
          <w:szCs w:val="24"/>
        </w:rPr>
      </w:pPr>
      <w:r w:rsidRPr="00B60FC0">
        <w:rPr>
          <w:rFonts w:asciiTheme="minorBidi" w:hAnsiTheme="minorBidi"/>
          <w:sz w:val="24"/>
          <w:szCs w:val="24"/>
        </w:rPr>
        <w:t xml:space="preserve">Obstructive </w:t>
      </w:r>
      <w:proofErr w:type="spellStart"/>
      <w:r w:rsidRPr="00B60FC0">
        <w:rPr>
          <w:rFonts w:asciiTheme="minorBidi" w:hAnsiTheme="minorBidi"/>
          <w:sz w:val="24"/>
          <w:szCs w:val="24"/>
        </w:rPr>
        <w:t>uropathy</w:t>
      </w:r>
      <w:proofErr w:type="spellEnd"/>
      <w:r w:rsidRPr="00B60FC0">
        <w:rPr>
          <w:rFonts w:asciiTheme="minorBidi" w:hAnsiTheme="minorBidi"/>
          <w:sz w:val="24"/>
          <w:szCs w:val="24"/>
        </w:rPr>
        <w:t xml:space="preserve"> (stones, prostati</w:t>
      </w:r>
      <w:r>
        <w:rPr>
          <w:rFonts w:asciiTheme="minorBidi" w:hAnsiTheme="minorBidi"/>
          <w:sz w:val="24"/>
          <w:szCs w:val="24"/>
        </w:rPr>
        <w:t>c hypertrophy, cystocele, etc.).</w:t>
      </w:r>
    </w:p>
    <w:p w:rsidR="00B60FC0" w:rsidRPr="00B60FC0" w:rsidRDefault="00B60FC0" w:rsidP="00B60FC0">
      <w:pPr>
        <w:pStyle w:val="a5"/>
        <w:numPr>
          <w:ilvl w:val="0"/>
          <w:numId w:val="2"/>
        </w:numPr>
        <w:spacing w:line="360" w:lineRule="auto"/>
        <w:jc w:val="both"/>
        <w:rPr>
          <w:rFonts w:asciiTheme="minorBidi" w:hAnsiTheme="minorBidi"/>
          <w:sz w:val="24"/>
          <w:szCs w:val="24"/>
        </w:rPr>
      </w:pPr>
      <w:r w:rsidRPr="00B60FC0">
        <w:rPr>
          <w:rFonts w:asciiTheme="minorBidi" w:hAnsiTheme="minorBidi"/>
          <w:sz w:val="24"/>
          <w:szCs w:val="24"/>
        </w:rPr>
        <w:t>Fecal soiling of the</w:t>
      </w:r>
      <w:r>
        <w:rPr>
          <w:rFonts w:asciiTheme="minorBidi" w:hAnsiTheme="minorBidi"/>
          <w:sz w:val="24"/>
          <w:szCs w:val="24"/>
        </w:rPr>
        <w:t xml:space="preserve"> perineum (especially in women).</w:t>
      </w:r>
    </w:p>
    <w:p w:rsidR="00B60FC0" w:rsidRPr="00B60FC0" w:rsidRDefault="00B60FC0" w:rsidP="00B60FC0">
      <w:pPr>
        <w:pStyle w:val="a5"/>
        <w:numPr>
          <w:ilvl w:val="0"/>
          <w:numId w:val="2"/>
        </w:numPr>
        <w:spacing w:line="360" w:lineRule="auto"/>
        <w:jc w:val="both"/>
        <w:rPr>
          <w:rFonts w:asciiTheme="minorBidi" w:hAnsiTheme="minorBidi"/>
          <w:sz w:val="24"/>
          <w:szCs w:val="24"/>
        </w:rPr>
      </w:pPr>
      <w:r w:rsidRPr="00B60FC0">
        <w:rPr>
          <w:rFonts w:asciiTheme="minorBidi" w:hAnsiTheme="minorBidi"/>
          <w:sz w:val="24"/>
          <w:szCs w:val="24"/>
        </w:rPr>
        <w:t>I</w:t>
      </w:r>
      <w:r>
        <w:rPr>
          <w:rFonts w:asciiTheme="minorBidi" w:hAnsiTheme="minorBidi"/>
          <w:sz w:val="24"/>
          <w:szCs w:val="24"/>
        </w:rPr>
        <w:t>ndwelling urinary catheters.</w:t>
      </w:r>
    </w:p>
    <w:p w:rsidR="00B60FC0" w:rsidRPr="00B60FC0" w:rsidRDefault="00B60FC0" w:rsidP="00B60FC0">
      <w:pPr>
        <w:pStyle w:val="a5"/>
        <w:numPr>
          <w:ilvl w:val="0"/>
          <w:numId w:val="2"/>
        </w:numPr>
        <w:spacing w:line="360" w:lineRule="auto"/>
        <w:jc w:val="both"/>
        <w:rPr>
          <w:rFonts w:asciiTheme="minorBidi" w:hAnsiTheme="minorBidi"/>
          <w:sz w:val="24"/>
          <w:szCs w:val="24"/>
        </w:rPr>
      </w:pPr>
      <w:r w:rsidRPr="00B60FC0">
        <w:rPr>
          <w:rFonts w:asciiTheme="minorBidi" w:hAnsiTheme="minorBidi"/>
          <w:sz w:val="24"/>
          <w:szCs w:val="24"/>
        </w:rPr>
        <w:t>Frequent instrumentation of the urinary tract.</w:t>
      </w:r>
    </w:p>
    <w:p w:rsidR="0046357A" w:rsidRDefault="0046357A" w:rsidP="00D05732">
      <w:pPr>
        <w:spacing w:line="360" w:lineRule="auto"/>
        <w:jc w:val="both"/>
        <w:rPr>
          <w:rFonts w:asciiTheme="minorBidi" w:hAnsiTheme="minorBidi"/>
          <w:sz w:val="24"/>
          <w:szCs w:val="24"/>
        </w:rPr>
      </w:pPr>
    </w:p>
    <w:p w:rsidR="00B60FC0" w:rsidRPr="0046357A" w:rsidRDefault="0046357A" w:rsidP="00E112BB">
      <w:pPr>
        <w:spacing w:line="360" w:lineRule="auto"/>
        <w:jc w:val="both"/>
        <w:rPr>
          <w:rFonts w:asciiTheme="minorBidi" w:hAnsiTheme="minorBidi"/>
          <w:b/>
          <w:bCs/>
          <w:sz w:val="28"/>
          <w:szCs w:val="28"/>
        </w:rPr>
      </w:pPr>
      <w:r w:rsidRPr="00960AEF">
        <w:rPr>
          <w:rFonts w:asciiTheme="minorBidi" w:hAnsiTheme="minorBidi"/>
          <w:b/>
          <w:bCs/>
          <w:sz w:val="28"/>
          <w:szCs w:val="28"/>
        </w:rPr>
        <w:t xml:space="preserve">● </w:t>
      </w:r>
      <w:r w:rsidR="00963CD1">
        <w:rPr>
          <w:rFonts w:asciiTheme="minorBidi" w:hAnsiTheme="minorBidi"/>
          <w:b/>
          <w:bCs/>
          <w:sz w:val="28"/>
          <w:szCs w:val="28"/>
        </w:rPr>
        <w:t xml:space="preserve">Biostatistics of </w:t>
      </w:r>
      <w:r w:rsidR="00E112BB">
        <w:rPr>
          <w:rFonts w:asciiTheme="minorBidi" w:hAnsiTheme="minorBidi"/>
          <w:b/>
          <w:bCs/>
          <w:sz w:val="28"/>
          <w:szCs w:val="28"/>
        </w:rPr>
        <w:t>ASBU</w:t>
      </w:r>
    </w:p>
    <w:p w:rsidR="00191776" w:rsidRDefault="0046357A" w:rsidP="0046357A">
      <w:pPr>
        <w:spacing w:line="360" w:lineRule="auto"/>
        <w:jc w:val="both"/>
        <w:rPr>
          <w:rFonts w:asciiTheme="minorBidi" w:hAnsiTheme="minorBidi"/>
          <w:sz w:val="24"/>
          <w:szCs w:val="24"/>
        </w:rPr>
      </w:pPr>
      <w:r w:rsidRPr="0046357A">
        <w:rPr>
          <w:rFonts w:asciiTheme="minorBidi" w:hAnsiTheme="minorBidi"/>
          <w:sz w:val="24"/>
          <w:szCs w:val="24"/>
        </w:rPr>
        <w:t>Screening for and treating ASBU patients should only occur if the bacteriuria has an associated adverse</w:t>
      </w:r>
      <w:r>
        <w:rPr>
          <w:rFonts w:asciiTheme="minorBidi" w:hAnsiTheme="minorBidi"/>
          <w:sz w:val="24"/>
          <w:szCs w:val="24"/>
        </w:rPr>
        <w:t xml:space="preserve"> </w:t>
      </w:r>
      <w:r w:rsidRPr="0046357A">
        <w:rPr>
          <w:rFonts w:asciiTheme="minorBidi" w:hAnsiTheme="minorBidi"/>
          <w:sz w:val="24"/>
          <w:szCs w:val="24"/>
        </w:rPr>
        <w:t>outcome (such as development of a symptomatic urinary tract infection, bacteremia, progression to</w:t>
      </w:r>
      <w:r>
        <w:rPr>
          <w:rFonts w:asciiTheme="minorBidi" w:hAnsiTheme="minorBidi"/>
          <w:sz w:val="24"/>
          <w:szCs w:val="24"/>
        </w:rPr>
        <w:t xml:space="preserve"> </w:t>
      </w:r>
      <w:r w:rsidRPr="0046357A">
        <w:rPr>
          <w:rFonts w:asciiTheme="minorBidi" w:hAnsiTheme="minorBidi"/>
          <w:sz w:val="24"/>
          <w:szCs w:val="24"/>
        </w:rPr>
        <w:t>chronic kidney disease, etc.) that can be prevented by antimicrobial therapy. There are only 2 clinical</w:t>
      </w:r>
      <w:r>
        <w:rPr>
          <w:rFonts w:asciiTheme="minorBidi" w:hAnsiTheme="minorBidi"/>
          <w:sz w:val="24"/>
          <w:szCs w:val="24"/>
        </w:rPr>
        <w:t xml:space="preserve"> </w:t>
      </w:r>
      <w:r w:rsidRPr="0046357A">
        <w:rPr>
          <w:rFonts w:asciiTheme="minorBidi" w:hAnsiTheme="minorBidi"/>
          <w:sz w:val="24"/>
          <w:szCs w:val="24"/>
        </w:rPr>
        <w:t>situations where these criteria are clearly met. Pregnant women should be screened and treated for</w:t>
      </w:r>
      <w:r>
        <w:rPr>
          <w:rFonts w:asciiTheme="minorBidi" w:hAnsiTheme="minorBidi"/>
          <w:sz w:val="24"/>
          <w:szCs w:val="24"/>
        </w:rPr>
        <w:t xml:space="preserve"> </w:t>
      </w:r>
      <w:r w:rsidRPr="0046357A">
        <w:rPr>
          <w:rFonts w:asciiTheme="minorBidi" w:hAnsiTheme="minorBidi"/>
          <w:sz w:val="24"/>
          <w:szCs w:val="24"/>
        </w:rPr>
        <w:t>ASBU, as they have a significantly increased risk of developing pyelonephritis as well as experiencing a</w:t>
      </w:r>
      <w:r>
        <w:rPr>
          <w:rFonts w:asciiTheme="minorBidi" w:hAnsiTheme="minorBidi"/>
          <w:sz w:val="24"/>
          <w:szCs w:val="24"/>
        </w:rPr>
        <w:t xml:space="preserve"> </w:t>
      </w:r>
      <w:r w:rsidRPr="0046357A">
        <w:rPr>
          <w:rFonts w:asciiTheme="minorBidi" w:hAnsiTheme="minorBidi"/>
          <w:sz w:val="24"/>
          <w:szCs w:val="24"/>
        </w:rPr>
        <w:t>premature delivery and delivering a low birth weight infant. Prior to transurethral resection of the</w:t>
      </w:r>
      <w:r>
        <w:rPr>
          <w:rFonts w:asciiTheme="minorBidi" w:hAnsiTheme="minorBidi"/>
          <w:sz w:val="24"/>
          <w:szCs w:val="24"/>
        </w:rPr>
        <w:t xml:space="preserve"> </w:t>
      </w:r>
      <w:r w:rsidRPr="0046357A">
        <w:rPr>
          <w:rFonts w:asciiTheme="minorBidi" w:hAnsiTheme="minorBidi"/>
          <w:sz w:val="24"/>
          <w:szCs w:val="24"/>
        </w:rPr>
        <w:t>prostate (TURP) or any other urologic procedure with a risk of mucosal bleeding, patients should be</w:t>
      </w:r>
      <w:r>
        <w:rPr>
          <w:rFonts w:asciiTheme="minorBidi" w:hAnsiTheme="minorBidi"/>
          <w:sz w:val="24"/>
          <w:szCs w:val="24"/>
        </w:rPr>
        <w:t xml:space="preserve"> </w:t>
      </w:r>
      <w:r w:rsidRPr="0046357A">
        <w:rPr>
          <w:rFonts w:asciiTheme="minorBidi" w:hAnsiTheme="minorBidi"/>
          <w:sz w:val="24"/>
          <w:szCs w:val="24"/>
        </w:rPr>
        <w:t>screened for bacteriuria, as it has been associated with a major increase in the risk for post-</w:t>
      </w:r>
      <w:r w:rsidRPr="0046357A">
        <w:rPr>
          <w:rFonts w:asciiTheme="minorBidi" w:hAnsiTheme="minorBidi"/>
          <w:sz w:val="24"/>
          <w:szCs w:val="24"/>
        </w:rPr>
        <w:lastRenderedPageBreak/>
        <w:t>procedure</w:t>
      </w:r>
      <w:r>
        <w:rPr>
          <w:rFonts w:asciiTheme="minorBidi" w:hAnsiTheme="minorBidi"/>
          <w:sz w:val="24"/>
          <w:szCs w:val="24"/>
        </w:rPr>
        <w:t xml:space="preserve"> </w:t>
      </w:r>
      <w:r w:rsidRPr="0046357A">
        <w:rPr>
          <w:rFonts w:asciiTheme="minorBidi" w:hAnsiTheme="minorBidi"/>
          <w:sz w:val="24"/>
          <w:szCs w:val="24"/>
        </w:rPr>
        <w:t>bacteremia and sepsis. Treatment of ASBU in both these situations has been demonstrated to prevent</w:t>
      </w:r>
      <w:r>
        <w:rPr>
          <w:rFonts w:asciiTheme="minorBidi" w:hAnsiTheme="minorBidi"/>
          <w:sz w:val="24"/>
          <w:szCs w:val="24"/>
        </w:rPr>
        <w:t xml:space="preserve"> </w:t>
      </w:r>
      <w:r w:rsidRPr="0046357A">
        <w:rPr>
          <w:rFonts w:asciiTheme="minorBidi" w:hAnsiTheme="minorBidi"/>
          <w:sz w:val="24"/>
          <w:szCs w:val="24"/>
        </w:rPr>
        <w:t>these complications.</w:t>
      </w:r>
    </w:p>
    <w:p w:rsidR="0046357A" w:rsidRDefault="0046357A" w:rsidP="0046357A">
      <w:pPr>
        <w:spacing w:line="360" w:lineRule="auto"/>
        <w:jc w:val="both"/>
        <w:rPr>
          <w:rFonts w:asciiTheme="minorBidi" w:hAnsiTheme="minorBidi"/>
          <w:sz w:val="24"/>
          <w:szCs w:val="24"/>
        </w:rPr>
      </w:pPr>
      <w:proofErr w:type="gramStart"/>
      <w:r w:rsidRPr="0046357A">
        <w:rPr>
          <w:rFonts w:asciiTheme="minorBidi" w:hAnsiTheme="minorBidi"/>
          <w:sz w:val="24"/>
          <w:szCs w:val="24"/>
        </w:rPr>
        <w:t>Unfortunately</w:t>
      </w:r>
      <w:proofErr w:type="gramEnd"/>
      <w:r w:rsidRPr="0046357A">
        <w:rPr>
          <w:rFonts w:asciiTheme="minorBidi" w:hAnsiTheme="minorBidi"/>
          <w:sz w:val="24"/>
          <w:szCs w:val="24"/>
        </w:rPr>
        <w:t xml:space="preserve"> many patients with ASBU receive treatment which they do not benefit from and in fact</w:t>
      </w:r>
      <w:r>
        <w:rPr>
          <w:rFonts w:asciiTheme="minorBidi" w:hAnsiTheme="minorBidi"/>
          <w:sz w:val="24"/>
          <w:szCs w:val="24"/>
        </w:rPr>
        <w:t xml:space="preserve"> </w:t>
      </w:r>
      <w:r w:rsidRPr="0046357A">
        <w:rPr>
          <w:rFonts w:asciiTheme="minorBidi" w:hAnsiTheme="minorBidi"/>
          <w:sz w:val="24"/>
          <w:szCs w:val="24"/>
        </w:rPr>
        <w:t>are likely harmed by. The unnecessary treatment of ASBU can lead to antibiotic resistance, adverse drug</w:t>
      </w:r>
      <w:r>
        <w:rPr>
          <w:rFonts w:asciiTheme="minorBidi" w:hAnsiTheme="minorBidi"/>
          <w:sz w:val="24"/>
          <w:szCs w:val="24"/>
        </w:rPr>
        <w:t xml:space="preserve"> </w:t>
      </w:r>
      <w:r w:rsidRPr="0046357A">
        <w:rPr>
          <w:rFonts w:asciiTheme="minorBidi" w:hAnsiTheme="minorBidi"/>
          <w:sz w:val="24"/>
          <w:szCs w:val="24"/>
        </w:rPr>
        <w:t>effects, C. difficile infection, and contribute unnecessarily to the costs of medical care.</w:t>
      </w:r>
      <w:r w:rsidRPr="0046357A">
        <w:rPr>
          <w:rFonts w:asciiTheme="minorBidi" w:hAnsiTheme="minorBidi"/>
          <w:sz w:val="24"/>
          <w:szCs w:val="24"/>
          <w:vertAlign w:val="superscript"/>
        </w:rPr>
        <w:t>8</w:t>
      </w:r>
    </w:p>
    <w:p w:rsidR="0046357A" w:rsidRDefault="0046357A" w:rsidP="00D05732">
      <w:pPr>
        <w:spacing w:line="360" w:lineRule="auto"/>
        <w:jc w:val="both"/>
        <w:rPr>
          <w:rFonts w:asciiTheme="minorBidi" w:hAnsiTheme="minorBidi"/>
          <w:sz w:val="24"/>
          <w:szCs w:val="24"/>
        </w:rPr>
      </w:pPr>
      <w:r>
        <w:rPr>
          <w:rFonts w:asciiTheme="minorBidi" w:hAnsiTheme="minorBidi"/>
          <w:noProof/>
          <w:sz w:val="24"/>
          <w:szCs w:val="24"/>
        </w:rPr>
        <w:drawing>
          <wp:inline distT="0" distB="0" distL="0" distR="0">
            <wp:extent cx="5482590" cy="3656965"/>
            <wp:effectExtent l="0" t="0" r="381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22-06-18 204627.png"/>
                    <pic:cNvPicPr/>
                  </pic:nvPicPr>
                  <pic:blipFill>
                    <a:blip r:embed="rId9">
                      <a:extLst>
                        <a:ext uri="{28A0092B-C50C-407E-A947-70E740481C1C}">
                          <a14:useLocalDpi xmlns:a14="http://schemas.microsoft.com/office/drawing/2010/main" val="0"/>
                        </a:ext>
                      </a:extLst>
                    </a:blip>
                    <a:stretch>
                      <a:fillRect/>
                    </a:stretch>
                  </pic:blipFill>
                  <pic:spPr>
                    <a:xfrm>
                      <a:off x="0" y="0"/>
                      <a:ext cx="5482590" cy="3656965"/>
                    </a:xfrm>
                    <a:prstGeom prst="rect">
                      <a:avLst/>
                    </a:prstGeom>
                  </pic:spPr>
                </pic:pic>
              </a:graphicData>
            </a:graphic>
          </wp:inline>
        </w:drawing>
      </w:r>
    </w:p>
    <w:p w:rsidR="0046357A" w:rsidRDefault="0046357A" w:rsidP="00D05732">
      <w:pPr>
        <w:spacing w:line="360" w:lineRule="auto"/>
        <w:jc w:val="both"/>
        <w:rPr>
          <w:rFonts w:asciiTheme="minorBidi" w:hAnsiTheme="minorBidi"/>
          <w:sz w:val="24"/>
          <w:szCs w:val="24"/>
        </w:rPr>
      </w:pP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030"/>
        <w:gridCol w:w="1030"/>
      </w:tblGrid>
      <w:tr w:rsidR="00963CD1" w:rsidRPr="00283483" w:rsidTr="00A43350">
        <w:trPr>
          <w:cantSplit/>
        </w:trPr>
        <w:tc>
          <w:tcPr>
            <w:tcW w:w="9371" w:type="dxa"/>
            <w:gridSpan w:val="8"/>
            <w:tcBorders>
              <w:top w:val="nil"/>
              <w:left w:val="nil"/>
              <w:bottom w:val="nil"/>
              <w:right w:val="nil"/>
            </w:tcBorders>
            <w:shd w:val="clear" w:color="auto" w:fill="FFFFFF"/>
            <w:vAlign w:val="center"/>
          </w:tcPr>
          <w:p w:rsidR="00963CD1" w:rsidRPr="00283483" w:rsidRDefault="00963CD1" w:rsidP="00A43350">
            <w:pPr>
              <w:autoSpaceDE w:val="0"/>
              <w:autoSpaceDN w:val="0"/>
              <w:adjustRightInd w:val="0"/>
              <w:spacing w:after="0" w:line="320" w:lineRule="atLeast"/>
              <w:ind w:left="60" w:right="60"/>
              <w:jc w:val="center"/>
              <w:rPr>
                <w:rFonts w:ascii="Arial" w:hAnsi="Arial" w:cs="Arial"/>
                <w:color w:val="010205"/>
              </w:rPr>
            </w:pPr>
            <w:r w:rsidRPr="00283483">
              <w:rPr>
                <w:rFonts w:ascii="Arial" w:hAnsi="Arial" w:cs="Arial"/>
                <w:b/>
                <w:bCs/>
                <w:color w:val="010205"/>
              </w:rPr>
              <w:t xml:space="preserve">gender * </w:t>
            </w:r>
            <w:proofErr w:type="spellStart"/>
            <w:r w:rsidRPr="00283483">
              <w:rPr>
                <w:rFonts w:ascii="Arial" w:hAnsi="Arial" w:cs="Arial"/>
                <w:b/>
                <w:bCs/>
                <w:color w:val="010205"/>
              </w:rPr>
              <w:t>bacterialgrowhsignificance</w:t>
            </w:r>
            <w:proofErr w:type="spellEnd"/>
            <w:r w:rsidRPr="00283483">
              <w:rPr>
                <w:rFonts w:ascii="Arial" w:hAnsi="Arial" w:cs="Arial"/>
                <w:b/>
                <w:bCs/>
                <w:color w:val="010205"/>
              </w:rPr>
              <w:t xml:space="preserve"> </w:t>
            </w:r>
            <w:proofErr w:type="spellStart"/>
            <w:r w:rsidRPr="00283483">
              <w:rPr>
                <w:rFonts w:ascii="Arial" w:hAnsi="Arial" w:cs="Arial"/>
                <w:b/>
                <w:bCs/>
                <w:color w:val="010205"/>
              </w:rPr>
              <w:t>Crosstabulation</w:t>
            </w:r>
            <w:proofErr w:type="spellEnd"/>
          </w:p>
        </w:tc>
      </w:tr>
      <w:tr w:rsidR="00963CD1" w:rsidRPr="00283483" w:rsidTr="00A43350">
        <w:trPr>
          <w:cantSplit/>
        </w:trPr>
        <w:tc>
          <w:tcPr>
            <w:tcW w:w="4226" w:type="dxa"/>
            <w:gridSpan w:val="3"/>
            <w:vMerge w:val="restart"/>
            <w:tcBorders>
              <w:top w:val="nil"/>
              <w:left w:val="nil"/>
              <w:bottom w:val="nil"/>
              <w:right w:val="nil"/>
            </w:tcBorders>
            <w:shd w:val="clear" w:color="auto" w:fill="FFFFFF"/>
            <w:vAlign w:val="bottom"/>
          </w:tcPr>
          <w:p w:rsidR="00963CD1" w:rsidRPr="00283483" w:rsidRDefault="00963CD1" w:rsidP="00A43350">
            <w:pPr>
              <w:autoSpaceDE w:val="0"/>
              <w:autoSpaceDN w:val="0"/>
              <w:adjustRightInd w:val="0"/>
              <w:spacing w:after="0" w:line="240" w:lineRule="auto"/>
              <w:rPr>
                <w:rFonts w:ascii="Times New Roman" w:hAnsi="Times New Roman" w:cs="Times New Roman"/>
                <w:sz w:val="24"/>
                <w:szCs w:val="24"/>
              </w:rPr>
            </w:pPr>
          </w:p>
        </w:tc>
        <w:tc>
          <w:tcPr>
            <w:tcW w:w="4116" w:type="dxa"/>
            <w:gridSpan w:val="4"/>
            <w:tcBorders>
              <w:top w:val="nil"/>
              <w:left w:val="nil"/>
              <w:bottom w:val="nil"/>
              <w:right w:val="single" w:sz="8" w:space="0" w:color="E0E0E0"/>
            </w:tcBorders>
            <w:shd w:val="clear" w:color="auto" w:fill="FFFFFF"/>
            <w:vAlign w:val="bottom"/>
          </w:tcPr>
          <w:p w:rsidR="00963CD1" w:rsidRPr="00283483" w:rsidRDefault="00963CD1" w:rsidP="00A43350">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283483">
              <w:rPr>
                <w:rFonts w:ascii="Arial" w:hAnsi="Arial" w:cs="Arial"/>
                <w:color w:val="264A60"/>
                <w:sz w:val="18"/>
                <w:szCs w:val="18"/>
              </w:rPr>
              <w:t>bacterialgrowhsignificance</w:t>
            </w:r>
            <w:proofErr w:type="spellEnd"/>
          </w:p>
        </w:tc>
        <w:tc>
          <w:tcPr>
            <w:tcW w:w="1029" w:type="dxa"/>
            <w:vMerge w:val="restart"/>
            <w:tcBorders>
              <w:top w:val="nil"/>
              <w:left w:val="single" w:sz="8" w:space="0" w:color="E0E0E0"/>
              <w:bottom w:val="nil"/>
              <w:right w:val="nil"/>
            </w:tcBorders>
            <w:shd w:val="clear" w:color="auto" w:fill="FFFFFF"/>
            <w:vAlign w:val="bottom"/>
          </w:tcPr>
          <w:p w:rsidR="00963CD1" w:rsidRPr="00283483" w:rsidRDefault="00963CD1" w:rsidP="00A43350">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963CD1" w:rsidRPr="00283483" w:rsidTr="00A43350">
        <w:trPr>
          <w:cantSplit/>
        </w:trPr>
        <w:tc>
          <w:tcPr>
            <w:tcW w:w="4226" w:type="dxa"/>
            <w:gridSpan w:val="3"/>
            <w:vMerge/>
            <w:tcBorders>
              <w:top w:val="nil"/>
              <w:left w:val="nil"/>
              <w:bottom w:val="nil"/>
              <w:right w:val="nil"/>
            </w:tcBorders>
            <w:shd w:val="clear" w:color="auto" w:fill="FFFFFF"/>
            <w:vAlign w:val="bottom"/>
          </w:tcPr>
          <w:p w:rsidR="00963CD1" w:rsidRPr="00283483" w:rsidRDefault="00963CD1" w:rsidP="00A43350">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963CD1" w:rsidRPr="00283483" w:rsidRDefault="00963CD1" w:rsidP="00A43350">
            <w:pPr>
              <w:autoSpaceDE w:val="0"/>
              <w:autoSpaceDN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63CD1" w:rsidRPr="00283483" w:rsidRDefault="00963CD1" w:rsidP="00A43350">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 xml:space="preserve">no </w:t>
            </w:r>
            <w:proofErr w:type="spellStart"/>
            <w:r w:rsidRPr="00283483">
              <w:rPr>
                <w:rFonts w:ascii="Arial" w:hAnsi="Arial" w:cs="Arial"/>
                <w:color w:val="264A60"/>
                <w:sz w:val="18"/>
                <w:szCs w:val="18"/>
              </w:rPr>
              <w:t>growt</w:t>
            </w:r>
            <w:proofErr w:type="spellEnd"/>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63CD1" w:rsidRPr="00283483" w:rsidRDefault="00963CD1" w:rsidP="00A43350">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963CD1" w:rsidRPr="00283483" w:rsidRDefault="00963CD1" w:rsidP="00A43350">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283483">
              <w:rPr>
                <w:rFonts w:ascii="Arial" w:hAnsi="Arial" w:cs="Arial"/>
                <w:color w:val="264A60"/>
                <w:sz w:val="18"/>
                <w:szCs w:val="18"/>
              </w:rPr>
              <w:t>signific</w:t>
            </w:r>
            <w:proofErr w:type="spellEnd"/>
          </w:p>
        </w:tc>
        <w:tc>
          <w:tcPr>
            <w:tcW w:w="1029" w:type="dxa"/>
            <w:vMerge/>
            <w:tcBorders>
              <w:top w:val="nil"/>
              <w:left w:val="single" w:sz="8" w:space="0" w:color="E0E0E0"/>
              <w:bottom w:val="nil"/>
              <w:right w:val="nil"/>
            </w:tcBorders>
            <w:shd w:val="clear" w:color="auto" w:fill="FFFFFF"/>
            <w:vAlign w:val="bottom"/>
          </w:tcPr>
          <w:p w:rsidR="00963CD1" w:rsidRPr="00283483" w:rsidRDefault="00963CD1" w:rsidP="00A43350">
            <w:pPr>
              <w:autoSpaceDE w:val="0"/>
              <w:autoSpaceDN w:val="0"/>
              <w:adjustRightInd w:val="0"/>
              <w:spacing w:after="0" w:line="240" w:lineRule="auto"/>
              <w:rPr>
                <w:rFonts w:ascii="Arial" w:hAnsi="Arial" w:cs="Arial"/>
                <w:color w:val="264A60"/>
                <w:sz w:val="18"/>
                <w:szCs w:val="18"/>
              </w:rPr>
            </w:pPr>
          </w:p>
        </w:tc>
      </w:tr>
      <w:tr w:rsidR="00963CD1" w:rsidRPr="00283483" w:rsidTr="00A43350">
        <w:trPr>
          <w:cantSplit/>
        </w:trPr>
        <w:tc>
          <w:tcPr>
            <w:tcW w:w="891" w:type="dxa"/>
            <w:vMerge w:val="restart"/>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963CD1" w:rsidRPr="00283483" w:rsidTr="00A43350">
        <w:trPr>
          <w:cantSplit/>
        </w:trPr>
        <w:tc>
          <w:tcPr>
            <w:tcW w:w="891"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963CD1" w:rsidRPr="00283483" w:rsidTr="00A43350">
        <w:trPr>
          <w:cantSplit/>
        </w:trPr>
        <w:tc>
          <w:tcPr>
            <w:tcW w:w="891"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963CD1" w:rsidRPr="00283483" w:rsidTr="00A43350">
        <w:trPr>
          <w:cantSplit/>
        </w:trPr>
        <w:tc>
          <w:tcPr>
            <w:tcW w:w="891"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963CD1">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9</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963CD1" w:rsidRPr="00283483" w:rsidTr="00A43350">
        <w:trPr>
          <w:cantSplit/>
        </w:trPr>
        <w:tc>
          <w:tcPr>
            <w:tcW w:w="891"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963CD1" w:rsidRPr="00283483" w:rsidTr="00A43350">
        <w:trPr>
          <w:cantSplit/>
        </w:trPr>
        <w:tc>
          <w:tcPr>
            <w:tcW w:w="891" w:type="dxa"/>
            <w:vMerge/>
            <w:tcBorders>
              <w:top w:val="single" w:sz="8" w:space="0" w:color="152935"/>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963CD1" w:rsidRPr="00283483" w:rsidTr="00A43350">
        <w:trPr>
          <w:cantSplit/>
        </w:trPr>
        <w:tc>
          <w:tcPr>
            <w:tcW w:w="1767" w:type="dxa"/>
            <w:gridSpan w:val="2"/>
            <w:vMerge w:val="restart"/>
            <w:tcBorders>
              <w:top w:val="single" w:sz="8" w:space="0" w:color="AEAEAE"/>
              <w:left w:val="nil"/>
              <w:bottom w:val="single" w:sz="8" w:space="0" w:color="152935"/>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lastRenderedPageBreak/>
              <w:t>Total</w:t>
            </w:r>
          </w:p>
        </w:tc>
        <w:tc>
          <w:tcPr>
            <w:tcW w:w="2459" w:type="dxa"/>
            <w:tcBorders>
              <w:top w:val="single" w:sz="8" w:space="0" w:color="AEAEAE"/>
              <w:left w:val="nil"/>
              <w:bottom w:val="single" w:sz="8" w:space="0" w:color="AEAEAE"/>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963CD1" w:rsidRPr="00283483" w:rsidTr="00A43350">
        <w:trPr>
          <w:cantSplit/>
        </w:trPr>
        <w:tc>
          <w:tcPr>
            <w:tcW w:w="1767" w:type="dxa"/>
            <w:gridSpan w:val="2"/>
            <w:vMerge/>
            <w:tcBorders>
              <w:top w:val="single" w:sz="8" w:space="0" w:color="AEAEAE"/>
              <w:left w:val="nil"/>
              <w:bottom w:val="single" w:sz="8" w:space="0" w:color="152935"/>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963CD1" w:rsidRPr="00283483" w:rsidTr="00A43350">
        <w:trPr>
          <w:cantSplit/>
        </w:trPr>
        <w:tc>
          <w:tcPr>
            <w:tcW w:w="1767" w:type="dxa"/>
            <w:gridSpan w:val="2"/>
            <w:vMerge/>
            <w:tcBorders>
              <w:top w:val="single" w:sz="8" w:space="0" w:color="AEAEAE"/>
              <w:left w:val="nil"/>
              <w:bottom w:val="single" w:sz="8" w:space="0" w:color="152935"/>
              <w:right w:val="nil"/>
            </w:tcBorders>
            <w:shd w:val="clear" w:color="auto" w:fill="E0E0E0"/>
          </w:tcPr>
          <w:p w:rsidR="00963CD1" w:rsidRPr="00283483" w:rsidRDefault="00963CD1" w:rsidP="00A43350">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152935"/>
              <w:right w:val="nil"/>
            </w:tcBorders>
            <w:shd w:val="clear" w:color="auto" w:fill="E0E0E0"/>
          </w:tcPr>
          <w:p w:rsidR="00963CD1" w:rsidRPr="00283483" w:rsidRDefault="00963CD1" w:rsidP="00A43350">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single" w:sz="8" w:space="0" w:color="152935"/>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963CD1" w:rsidRPr="00283483" w:rsidRDefault="00963CD1" w:rsidP="00A43350">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rsidR="00963CD1" w:rsidRPr="00283483" w:rsidRDefault="00963CD1" w:rsidP="00963CD1">
      <w:pPr>
        <w:autoSpaceDE w:val="0"/>
        <w:autoSpaceDN w:val="0"/>
        <w:adjustRightInd w:val="0"/>
        <w:spacing w:after="0" w:line="400" w:lineRule="atLeast"/>
        <w:rPr>
          <w:rFonts w:ascii="Times New Roman" w:hAnsi="Times New Roman" w:cs="Times New Roman"/>
          <w:sz w:val="24"/>
          <w:szCs w:val="24"/>
        </w:rPr>
      </w:pPr>
    </w:p>
    <w:p w:rsidR="00963CD1" w:rsidRPr="006E7711" w:rsidRDefault="00963CD1" w:rsidP="00963CD1"/>
    <w:p w:rsidR="00963CD1" w:rsidRDefault="00963CD1" w:rsidP="00963CD1">
      <w:pPr>
        <w:rPr>
          <w:rtl/>
        </w:rPr>
      </w:pPr>
    </w:p>
    <w:p w:rsidR="00963CD1" w:rsidRDefault="00963CD1" w:rsidP="00963CD1"/>
    <w:p w:rsidR="00963CD1" w:rsidRPr="00283483" w:rsidRDefault="00963CD1" w:rsidP="00963CD1"/>
    <w:tbl>
      <w:tblPr>
        <w:tblW w:w="9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0"/>
        <w:gridCol w:w="1040"/>
        <w:gridCol w:w="1039"/>
        <w:gridCol w:w="1489"/>
        <w:gridCol w:w="1334"/>
        <w:gridCol w:w="1427"/>
        <w:gridCol w:w="1427"/>
      </w:tblGrid>
      <w:tr w:rsidR="00963CD1" w:rsidRPr="00283483" w:rsidTr="00A43350">
        <w:trPr>
          <w:cantSplit/>
        </w:trPr>
        <w:tc>
          <w:tcPr>
            <w:tcW w:w="9803" w:type="dxa"/>
            <w:gridSpan w:val="7"/>
            <w:tcBorders>
              <w:top w:val="nil"/>
              <w:left w:val="nil"/>
              <w:bottom w:val="nil"/>
              <w:right w:val="nil"/>
            </w:tcBorders>
            <w:shd w:val="clear" w:color="auto" w:fill="FFFFFF"/>
            <w:vAlign w:val="center"/>
          </w:tcPr>
          <w:p w:rsidR="00963CD1" w:rsidRPr="00283483" w:rsidRDefault="00963CD1" w:rsidP="00A43350">
            <w:r w:rsidRPr="00283483">
              <w:rPr>
                <w:b/>
                <w:bCs/>
              </w:rPr>
              <w:t>Chi-Square Tests</w:t>
            </w:r>
          </w:p>
        </w:tc>
      </w:tr>
      <w:tr w:rsidR="00963CD1" w:rsidRPr="00283483" w:rsidTr="00A43350">
        <w:trPr>
          <w:cantSplit/>
        </w:trPr>
        <w:tc>
          <w:tcPr>
            <w:tcW w:w="2048" w:type="dxa"/>
            <w:vMerge w:val="restart"/>
            <w:tcBorders>
              <w:top w:val="nil"/>
              <w:left w:val="nil"/>
              <w:bottom w:val="nil"/>
              <w:right w:val="nil"/>
            </w:tcBorders>
            <w:shd w:val="clear" w:color="auto" w:fill="FFFFFF"/>
            <w:vAlign w:val="bottom"/>
          </w:tcPr>
          <w:p w:rsidR="00963CD1" w:rsidRPr="00283483" w:rsidRDefault="00963CD1" w:rsidP="00A43350"/>
        </w:tc>
        <w:tc>
          <w:tcPr>
            <w:tcW w:w="1039" w:type="dxa"/>
            <w:vMerge w:val="restart"/>
            <w:tcBorders>
              <w:top w:val="nil"/>
              <w:left w:val="nil"/>
              <w:bottom w:val="nil"/>
              <w:right w:val="single" w:sz="8" w:space="0" w:color="E0E0E0"/>
            </w:tcBorders>
            <w:shd w:val="clear" w:color="auto" w:fill="FFFFFF"/>
            <w:vAlign w:val="bottom"/>
          </w:tcPr>
          <w:p w:rsidR="00963CD1" w:rsidRPr="00283483" w:rsidRDefault="00963CD1" w:rsidP="00A43350">
            <w:r w:rsidRPr="00283483">
              <w:t>Value</w:t>
            </w:r>
          </w:p>
        </w:tc>
        <w:tc>
          <w:tcPr>
            <w:tcW w:w="1039" w:type="dxa"/>
            <w:vMerge w:val="restart"/>
            <w:tcBorders>
              <w:top w:val="nil"/>
              <w:left w:val="single" w:sz="8" w:space="0" w:color="E0E0E0"/>
              <w:bottom w:val="nil"/>
              <w:right w:val="single" w:sz="8" w:space="0" w:color="E0E0E0"/>
            </w:tcBorders>
            <w:shd w:val="clear" w:color="auto" w:fill="FFFFFF"/>
            <w:vAlign w:val="bottom"/>
          </w:tcPr>
          <w:p w:rsidR="00963CD1" w:rsidRPr="00283483" w:rsidRDefault="00963CD1" w:rsidP="00A43350">
            <w:proofErr w:type="spellStart"/>
            <w:r w:rsidRPr="00283483">
              <w:t>df</w:t>
            </w:r>
            <w:proofErr w:type="spellEnd"/>
          </w:p>
        </w:tc>
        <w:tc>
          <w:tcPr>
            <w:tcW w:w="1489" w:type="dxa"/>
            <w:vMerge w:val="restart"/>
            <w:tcBorders>
              <w:top w:val="nil"/>
              <w:left w:val="single" w:sz="8" w:space="0" w:color="E0E0E0"/>
              <w:bottom w:val="nil"/>
              <w:right w:val="single" w:sz="8" w:space="0" w:color="E0E0E0"/>
            </w:tcBorders>
            <w:shd w:val="clear" w:color="auto" w:fill="FFFFFF"/>
            <w:vAlign w:val="bottom"/>
          </w:tcPr>
          <w:p w:rsidR="00963CD1" w:rsidRPr="00283483" w:rsidRDefault="00963CD1" w:rsidP="00A43350">
            <w:r w:rsidRPr="00283483">
              <w:t>Asymptotic Significance (2-sided)</w:t>
            </w:r>
          </w:p>
        </w:tc>
        <w:tc>
          <w:tcPr>
            <w:tcW w:w="4188" w:type="dxa"/>
            <w:gridSpan w:val="3"/>
            <w:tcBorders>
              <w:top w:val="nil"/>
              <w:left w:val="single" w:sz="8" w:space="0" w:color="E0E0E0"/>
              <w:bottom w:val="nil"/>
              <w:right w:val="nil"/>
            </w:tcBorders>
            <w:shd w:val="clear" w:color="auto" w:fill="FFFFFF"/>
            <w:vAlign w:val="bottom"/>
          </w:tcPr>
          <w:p w:rsidR="00963CD1" w:rsidRPr="00283483" w:rsidRDefault="00963CD1" w:rsidP="00A43350">
            <w:r w:rsidRPr="00283483">
              <w:t>Monte Carlo Sig. (2-sided)</w:t>
            </w:r>
          </w:p>
        </w:tc>
      </w:tr>
      <w:tr w:rsidR="00963CD1" w:rsidRPr="00283483" w:rsidTr="00A43350">
        <w:trPr>
          <w:cantSplit/>
        </w:trPr>
        <w:tc>
          <w:tcPr>
            <w:tcW w:w="2048" w:type="dxa"/>
            <w:vMerge/>
            <w:tcBorders>
              <w:top w:val="nil"/>
              <w:left w:val="nil"/>
              <w:bottom w:val="nil"/>
              <w:right w:val="nil"/>
            </w:tcBorders>
            <w:shd w:val="clear" w:color="auto" w:fill="FFFFFF"/>
            <w:vAlign w:val="bottom"/>
          </w:tcPr>
          <w:p w:rsidR="00963CD1" w:rsidRPr="00283483" w:rsidRDefault="00963CD1" w:rsidP="00A43350"/>
        </w:tc>
        <w:tc>
          <w:tcPr>
            <w:tcW w:w="1039" w:type="dxa"/>
            <w:vMerge/>
            <w:tcBorders>
              <w:top w:val="nil"/>
              <w:left w:val="nil"/>
              <w:bottom w:val="nil"/>
              <w:right w:val="single" w:sz="8" w:space="0" w:color="E0E0E0"/>
            </w:tcBorders>
            <w:shd w:val="clear" w:color="auto" w:fill="FFFFFF"/>
            <w:vAlign w:val="bottom"/>
          </w:tcPr>
          <w:p w:rsidR="00963CD1" w:rsidRPr="00283483" w:rsidRDefault="00963CD1" w:rsidP="00A43350"/>
        </w:tc>
        <w:tc>
          <w:tcPr>
            <w:tcW w:w="1039" w:type="dxa"/>
            <w:vMerge/>
            <w:tcBorders>
              <w:top w:val="nil"/>
              <w:left w:val="single" w:sz="8" w:space="0" w:color="E0E0E0"/>
              <w:bottom w:val="nil"/>
              <w:right w:val="single" w:sz="8" w:space="0" w:color="E0E0E0"/>
            </w:tcBorders>
            <w:shd w:val="clear" w:color="auto" w:fill="FFFFFF"/>
            <w:vAlign w:val="bottom"/>
          </w:tcPr>
          <w:p w:rsidR="00963CD1" w:rsidRPr="00283483" w:rsidRDefault="00963CD1" w:rsidP="00A43350"/>
        </w:tc>
        <w:tc>
          <w:tcPr>
            <w:tcW w:w="1489" w:type="dxa"/>
            <w:vMerge/>
            <w:tcBorders>
              <w:top w:val="nil"/>
              <w:left w:val="single" w:sz="8" w:space="0" w:color="E0E0E0"/>
              <w:bottom w:val="nil"/>
              <w:right w:val="single" w:sz="8" w:space="0" w:color="E0E0E0"/>
            </w:tcBorders>
            <w:shd w:val="clear" w:color="auto" w:fill="FFFFFF"/>
            <w:vAlign w:val="bottom"/>
          </w:tcPr>
          <w:p w:rsidR="00963CD1" w:rsidRPr="00283483" w:rsidRDefault="00963CD1" w:rsidP="00A43350"/>
        </w:tc>
        <w:tc>
          <w:tcPr>
            <w:tcW w:w="1334" w:type="dxa"/>
            <w:vMerge w:val="restart"/>
            <w:tcBorders>
              <w:top w:val="nil"/>
              <w:left w:val="single" w:sz="8" w:space="0" w:color="E0E0E0"/>
              <w:bottom w:val="nil"/>
              <w:right w:val="single" w:sz="8" w:space="0" w:color="E0E0E0"/>
            </w:tcBorders>
            <w:shd w:val="clear" w:color="auto" w:fill="FFFFFF"/>
            <w:vAlign w:val="bottom"/>
          </w:tcPr>
          <w:p w:rsidR="00963CD1" w:rsidRPr="00283483" w:rsidRDefault="00963CD1" w:rsidP="00A43350">
            <w:r w:rsidRPr="00283483">
              <w:t>Significance</w:t>
            </w:r>
          </w:p>
        </w:tc>
        <w:tc>
          <w:tcPr>
            <w:tcW w:w="2854" w:type="dxa"/>
            <w:gridSpan w:val="2"/>
            <w:tcBorders>
              <w:top w:val="nil"/>
              <w:left w:val="single" w:sz="8" w:space="0" w:color="E0E0E0"/>
              <w:bottom w:val="nil"/>
              <w:right w:val="nil"/>
            </w:tcBorders>
            <w:shd w:val="clear" w:color="auto" w:fill="FFFFFF"/>
            <w:vAlign w:val="bottom"/>
          </w:tcPr>
          <w:p w:rsidR="00963CD1" w:rsidRPr="00283483" w:rsidRDefault="00963CD1" w:rsidP="00A43350">
            <w:r w:rsidRPr="00283483">
              <w:t>99% Confidence Interval</w:t>
            </w:r>
          </w:p>
        </w:tc>
      </w:tr>
      <w:tr w:rsidR="00963CD1" w:rsidRPr="00283483" w:rsidTr="00A43350">
        <w:trPr>
          <w:cantSplit/>
        </w:trPr>
        <w:tc>
          <w:tcPr>
            <w:tcW w:w="2048" w:type="dxa"/>
            <w:vMerge/>
            <w:tcBorders>
              <w:top w:val="nil"/>
              <w:left w:val="nil"/>
              <w:bottom w:val="nil"/>
              <w:right w:val="nil"/>
            </w:tcBorders>
            <w:shd w:val="clear" w:color="auto" w:fill="FFFFFF"/>
            <w:vAlign w:val="bottom"/>
          </w:tcPr>
          <w:p w:rsidR="00963CD1" w:rsidRPr="00283483" w:rsidRDefault="00963CD1" w:rsidP="00A43350"/>
        </w:tc>
        <w:tc>
          <w:tcPr>
            <w:tcW w:w="1039" w:type="dxa"/>
            <w:vMerge/>
            <w:tcBorders>
              <w:top w:val="nil"/>
              <w:left w:val="nil"/>
              <w:bottom w:val="nil"/>
              <w:right w:val="single" w:sz="8" w:space="0" w:color="E0E0E0"/>
            </w:tcBorders>
            <w:shd w:val="clear" w:color="auto" w:fill="FFFFFF"/>
            <w:vAlign w:val="bottom"/>
          </w:tcPr>
          <w:p w:rsidR="00963CD1" w:rsidRPr="00283483" w:rsidRDefault="00963CD1" w:rsidP="00A43350"/>
        </w:tc>
        <w:tc>
          <w:tcPr>
            <w:tcW w:w="1039" w:type="dxa"/>
            <w:vMerge/>
            <w:tcBorders>
              <w:top w:val="nil"/>
              <w:left w:val="single" w:sz="8" w:space="0" w:color="E0E0E0"/>
              <w:bottom w:val="nil"/>
              <w:right w:val="single" w:sz="8" w:space="0" w:color="E0E0E0"/>
            </w:tcBorders>
            <w:shd w:val="clear" w:color="auto" w:fill="FFFFFF"/>
            <w:vAlign w:val="bottom"/>
          </w:tcPr>
          <w:p w:rsidR="00963CD1" w:rsidRPr="00283483" w:rsidRDefault="00963CD1" w:rsidP="00A43350"/>
        </w:tc>
        <w:tc>
          <w:tcPr>
            <w:tcW w:w="1489" w:type="dxa"/>
            <w:vMerge/>
            <w:tcBorders>
              <w:top w:val="nil"/>
              <w:left w:val="single" w:sz="8" w:space="0" w:color="E0E0E0"/>
              <w:bottom w:val="nil"/>
              <w:right w:val="single" w:sz="8" w:space="0" w:color="E0E0E0"/>
            </w:tcBorders>
            <w:shd w:val="clear" w:color="auto" w:fill="FFFFFF"/>
            <w:vAlign w:val="bottom"/>
          </w:tcPr>
          <w:p w:rsidR="00963CD1" w:rsidRPr="00283483" w:rsidRDefault="00963CD1" w:rsidP="00A43350"/>
        </w:tc>
        <w:tc>
          <w:tcPr>
            <w:tcW w:w="1334" w:type="dxa"/>
            <w:vMerge/>
            <w:tcBorders>
              <w:top w:val="nil"/>
              <w:left w:val="single" w:sz="8" w:space="0" w:color="E0E0E0"/>
              <w:bottom w:val="nil"/>
              <w:right w:val="single" w:sz="8" w:space="0" w:color="E0E0E0"/>
            </w:tcBorders>
            <w:shd w:val="clear" w:color="auto" w:fill="FFFFFF"/>
            <w:vAlign w:val="bottom"/>
          </w:tcPr>
          <w:p w:rsidR="00963CD1" w:rsidRPr="00283483" w:rsidRDefault="00963CD1" w:rsidP="00A43350"/>
        </w:tc>
        <w:tc>
          <w:tcPr>
            <w:tcW w:w="1427" w:type="dxa"/>
            <w:tcBorders>
              <w:top w:val="nil"/>
              <w:left w:val="single" w:sz="8" w:space="0" w:color="E0E0E0"/>
              <w:bottom w:val="single" w:sz="8" w:space="0" w:color="152935"/>
              <w:right w:val="single" w:sz="8" w:space="0" w:color="E0E0E0"/>
            </w:tcBorders>
            <w:shd w:val="clear" w:color="auto" w:fill="FFFFFF"/>
            <w:vAlign w:val="bottom"/>
          </w:tcPr>
          <w:p w:rsidR="00963CD1" w:rsidRPr="00283483" w:rsidRDefault="00963CD1" w:rsidP="00A43350">
            <w:r w:rsidRPr="00283483">
              <w:t>Lower Bound</w:t>
            </w:r>
          </w:p>
        </w:tc>
        <w:tc>
          <w:tcPr>
            <w:tcW w:w="1427" w:type="dxa"/>
            <w:tcBorders>
              <w:top w:val="nil"/>
              <w:left w:val="single" w:sz="8" w:space="0" w:color="E0E0E0"/>
              <w:bottom w:val="single" w:sz="8" w:space="0" w:color="152935"/>
              <w:right w:val="nil"/>
            </w:tcBorders>
            <w:shd w:val="clear" w:color="auto" w:fill="FFFFFF"/>
            <w:vAlign w:val="bottom"/>
          </w:tcPr>
          <w:p w:rsidR="00963CD1" w:rsidRPr="00283483" w:rsidRDefault="00963CD1" w:rsidP="00A43350">
            <w:r w:rsidRPr="00283483">
              <w:t>Upper Bound</w:t>
            </w:r>
          </w:p>
        </w:tc>
      </w:tr>
      <w:tr w:rsidR="00963CD1" w:rsidRPr="00283483" w:rsidTr="00A43350">
        <w:trPr>
          <w:cantSplit/>
        </w:trPr>
        <w:tc>
          <w:tcPr>
            <w:tcW w:w="2048" w:type="dxa"/>
            <w:tcBorders>
              <w:top w:val="single" w:sz="8" w:space="0" w:color="152935"/>
              <w:left w:val="nil"/>
              <w:bottom w:val="single" w:sz="8" w:space="0" w:color="AEAEAE"/>
              <w:right w:val="nil"/>
            </w:tcBorders>
            <w:shd w:val="clear" w:color="auto" w:fill="E0E0E0"/>
          </w:tcPr>
          <w:p w:rsidR="00963CD1" w:rsidRPr="00283483" w:rsidRDefault="00963CD1" w:rsidP="00A43350">
            <w:r w:rsidRPr="00283483">
              <w:t>Pearson Chi-Square</w:t>
            </w:r>
          </w:p>
        </w:tc>
        <w:tc>
          <w:tcPr>
            <w:tcW w:w="1039" w:type="dxa"/>
            <w:tcBorders>
              <w:top w:val="single" w:sz="8" w:space="0" w:color="152935"/>
              <w:left w:val="nil"/>
              <w:bottom w:val="single" w:sz="8" w:space="0" w:color="AEAEAE"/>
              <w:right w:val="single" w:sz="8" w:space="0" w:color="E0E0E0"/>
            </w:tcBorders>
            <w:shd w:val="clear" w:color="auto" w:fill="FFFFFF"/>
          </w:tcPr>
          <w:p w:rsidR="00963CD1" w:rsidRPr="00283483" w:rsidRDefault="00963CD1" w:rsidP="00A43350">
            <w:r w:rsidRPr="00283483">
              <w:t>8.873</w:t>
            </w:r>
            <w:r w:rsidRPr="00283483">
              <w:rPr>
                <w:vertAlign w:val="superscript"/>
              </w:rPr>
              <w:t>a</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3</w:t>
            </w:r>
          </w:p>
        </w:tc>
        <w:tc>
          <w:tcPr>
            <w:tcW w:w="1489"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.031</w:t>
            </w:r>
          </w:p>
        </w:tc>
        <w:tc>
          <w:tcPr>
            <w:tcW w:w="1334"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.019</w:t>
            </w:r>
            <w:r w:rsidRPr="00283483">
              <w:rPr>
                <w:vertAlign w:val="superscript"/>
              </w:rPr>
              <w:t>b</w:t>
            </w:r>
          </w:p>
        </w:tc>
        <w:tc>
          <w:tcPr>
            <w:tcW w:w="1427" w:type="dxa"/>
            <w:tcBorders>
              <w:top w:val="single" w:sz="8" w:space="0" w:color="152935"/>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.015</w:t>
            </w:r>
          </w:p>
        </w:tc>
        <w:tc>
          <w:tcPr>
            <w:tcW w:w="1427" w:type="dxa"/>
            <w:tcBorders>
              <w:top w:val="single" w:sz="8" w:space="0" w:color="152935"/>
              <w:left w:val="single" w:sz="8" w:space="0" w:color="E0E0E0"/>
              <w:bottom w:val="single" w:sz="8" w:space="0" w:color="AEAEAE"/>
              <w:right w:val="nil"/>
            </w:tcBorders>
            <w:shd w:val="clear" w:color="auto" w:fill="FFFFFF"/>
          </w:tcPr>
          <w:p w:rsidR="00963CD1" w:rsidRPr="00283483" w:rsidRDefault="00963CD1" w:rsidP="00A43350">
            <w:r w:rsidRPr="00283483">
              <w:t>.022</w:t>
            </w:r>
          </w:p>
        </w:tc>
      </w:tr>
      <w:tr w:rsidR="00963CD1" w:rsidRPr="00283483" w:rsidTr="00A43350">
        <w:trPr>
          <w:cantSplit/>
        </w:trPr>
        <w:tc>
          <w:tcPr>
            <w:tcW w:w="2048" w:type="dxa"/>
            <w:tcBorders>
              <w:top w:val="single" w:sz="8" w:space="0" w:color="AEAEAE"/>
              <w:left w:val="nil"/>
              <w:bottom w:val="single" w:sz="8" w:space="0" w:color="AEAEAE"/>
              <w:right w:val="nil"/>
            </w:tcBorders>
            <w:shd w:val="clear" w:color="auto" w:fill="E0E0E0"/>
          </w:tcPr>
          <w:p w:rsidR="00963CD1" w:rsidRPr="00283483" w:rsidRDefault="00963CD1" w:rsidP="00A43350">
            <w:r w:rsidRPr="00283483">
              <w:t>Likelihood Ratio</w:t>
            </w:r>
          </w:p>
        </w:tc>
        <w:tc>
          <w:tcPr>
            <w:tcW w:w="103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r w:rsidRPr="00283483">
              <w:t>10.372</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3</w:t>
            </w:r>
          </w:p>
        </w:tc>
        <w:tc>
          <w:tcPr>
            <w:tcW w:w="1489"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.016</w:t>
            </w:r>
          </w:p>
        </w:tc>
        <w:tc>
          <w:tcPr>
            <w:tcW w:w="1334"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.015</w:t>
            </w:r>
            <w:r w:rsidRPr="00283483">
              <w:rPr>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.012</w:t>
            </w:r>
          </w:p>
        </w:tc>
        <w:tc>
          <w:tcPr>
            <w:tcW w:w="1427"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r w:rsidRPr="00283483">
              <w:t>.018</w:t>
            </w:r>
          </w:p>
        </w:tc>
      </w:tr>
      <w:tr w:rsidR="00963CD1" w:rsidRPr="00283483" w:rsidTr="00A43350">
        <w:trPr>
          <w:cantSplit/>
        </w:trPr>
        <w:tc>
          <w:tcPr>
            <w:tcW w:w="2048" w:type="dxa"/>
            <w:tcBorders>
              <w:top w:val="single" w:sz="8" w:space="0" w:color="AEAEAE"/>
              <w:left w:val="nil"/>
              <w:bottom w:val="single" w:sz="8" w:space="0" w:color="AEAEAE"/>
              <w:right w:val="nil"/>
            </w:tcBorders>
            <w:shd w:val="clear" w:color="auto" w:fill="E0E0E0"/>
          </w:tcPr>
          <w:p w:rsidR="00963CD1" w:rsidRPr="00283483" w:rsidRDefault="00963CD1" w:rsidP="00A43350">
            <w:r w:rsidRPr="00283483">
              <w:t>Fisher's Exact Test</w:t>
            </w:r>
          </w:p>
        </w:tc>
        <w:tc>
          <w:tcPr>
            <w:tcW w:w="1039" w:type="dxa"/>
            <w:tcBorders>
              <w:top w:val="single" w:sz="8" w:space="0" w:color="AEAEAE"/>
              <w:left w:val="nil"/>
              <w:bottom w:val="single" w:sz="8" w:space="0" w:color="AEAEAE"/>
              <w:right w:val="single" w:sz="8" w:space="0" w:color="E0E0E0"/>
            </w:tcBorders>
            <w:shd w:val="clear" w:color="auto" w:fill="FFFFFF"/>
          </w:tcPr>
          <w:p w:rsidR="00963CD1" w:rsidRPr="00283483" w:rsidRDefault="00963CD1" w:rsidP="00A43350">
            <w:r w:rsidRPr="00283483">
              <w:t>8.225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963CD1" w:rsidRPr="00283483" w:rsidRDefault="00963CD1" w:rsidP="00A43350"/>
        </w:tc>
        <w:tc>
          <w:tcPr>
            <w:tcW w:w="14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963CD1" w:rsidRPr="00283483" w:rsidRDefault="00963CD1" w:rsidP="00A43350"/>
        </w:tc>
        <w:tc>
          <w:tcPr>
            <w:tcW w:w="1334"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.019</w:t>
            </w:r>
            <w:r w:rsidRPr="00283483">
              <w:rPr>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tcPr>
          <w:p w:rsidR="00963CD1" w:rsidRPr="00283483" w:rsidRDefault="00963CD1" w:rsidP="00A43350">
            <w:r w:rsidRPr="00283483">
              <w:t>.015</w:t>
            </w:r>
          </w:p>
        </w:tc>
        <w:tc>
          <w:tcPr>
            <w:tcW w:w="1427" w:type="dxa"/>
            <w:tcBorders>
              <w:top w:val="single" w:sz="8" w:space="0" w:color="AEAEAE"/>
              <w:left w:val="single" w:sz="8" w:space="0" w:color="E0E0E0"/>
              <w:bottom w:val="single" w:sz="8" w:space="0" w:color="AEAEAE"/>
              <w:right w:val="nil"/>
            </w:tcBorders>
            <w:shd w:val="clear" w:color="auto" w:fill="FFFFFF"/>
          </w:tcPr>
          <w:p w:rsidR="00963CD1" w:rsidRPr="00283483" w:rsidRDefault="00963CD1" w:rsidP="00A43350">
            <w:r w:rsidRPr="00283483">
              <w:t>.022</w:t>
            </w:r>
          </w:p>
        </w:tc>
      </w:tr>
      <w:tr w:rsidR="00963CD1" w:rsidRPr="00283483" w:rsidTr="00A43350">
        <w:trPr>
          <w:cantSplit/>
        </w:trPr>
        <w:tc>
          <w:tcPr>
            <w:tcW w:w="2048" w:type="dxa"/>
            <w:tcBorders>
              <w:top w:val="single" w:sz="8" w:space="0" w:color="AEAEAE"/>
              <w:left w:val="nil"/>
              <w:bottom w:val="single" w:sz="8" w:space="0" w:color="152935"/>
              <w:right w:val="nil"/>
            </w:tcBorders>
            <w:shd w:val="clear" w:color="auto" w:fill="E0E0E0"/>
          </w:tcPr>
          <w:p w:rsidR="00963CD1" w:rsidRPr="00283483" w:rsidRDefault="00963CD1" w:rsidP="00A43350">
            <w:r w:rsidRPr="00283483">
              <w:t>N of Valid Cases</w:t>
            </w:r>
          </w:p>
        </w:tc>
        <w:tc>
          <w:tcPr>
            <w:tcW w:w="1039" w:type="dxa"/>
            <w:tcBorders>
              <w:top w:val="single" w:sz="8" w:space="0" w:color="AEAEAE"/>
              <w:left w:val="nil"/>
              <w:bottom w:val="single" w:sz="8" w:space="0" w:color="152935"/>
              <w:right w:val="single" w:sz="8" w:space="0" w:color="E0E0E0"/>
            </w:tcBorders>
            <w:shd w:val="clear" w:color="auto" w:fill="FFFFFF"/>
          </w:tcPr>
          <w:p w:rsidR="00963CD1" w:rsidRPr="00283483" w:rsidRDefault="00963CD1" w:rsidP="00A43350">
            <w:r w:rsidRPr="00283483">
              <w:t>24</w:t>
            </w:r>
          </w:p>
        </w:tc>
        <w:tc>
          <w:tcPr>
            <w:tcW w:w="103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963CD1" w:rsidRPr="00283483" w:rsidRDefault="00963CD1" w:rsidP="00A43350"/>
        </w:tc>
        <w:tc>
          <w:tcPr>
            <w:tcW w:w="148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963CD1" w:rsidRPr="00283483" w:rsidRDefault="00963CD1" w:rsidP="00A43350"/>
        </w:tc>
        <w:tc>
          <w:tcPr>
            <w:tcW w:w="133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963CD1" w:rsidRPr="00283483" w:rsidRDefault="00963CD1" w:rsidP="00A43350"/>
        </w:tc>
        <w:tc>
          <w:tcPr>
            <w:tcW w:w="142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963CD1" w:rsidRPr="00283483" w:rsidRDefault="00963CD1" w:rsidP="00A43350"/>
        </w:tc>
        <w:tc>
          <w:tcPr>
            <w:tcW w:w="1427" w:type="dxa"/>
            <w:tcBorders>
              <w:top w:val="single" w:sz="8" w:space="0" w:color="AEAEAE"/>
              <w:left w:val="single" w:sz="8" w:space="0" w:color="E0E0E0"/>
              <w:bottom w:val="single" w:sz="8" w:space="0" w:color="152935"/>
              <w:right w:val="nil"/>
            </w:tcBorders>
            <w:shd w:val="clear" w:color="auto" w:fill="FFFFFF"/>
            <w:vAlign w:val="center"/>
          </w:tcPr>
          <w:p w:rsidR="00963CD1" w:rsidRPr="00283483" w:rsidRDefault="00963CD1" w:rsidP="00A43350"/>
        </w:tc>
      </w:tr>
      <w:tr w:rsidR="00963CD1" w:rsidRPr="00283483" w:rsidTr="00A43350">
        <w:trPr>
          <w:cantSplit/>
        </w:trPr>
        <w:tc>
          <w:tcPr>
            <w:tcW w:w="9803" w:type="dxa"/>
            <w:gridSpan w:val="7"/>
            <w:tcBorders>
              <w:top w:val="nil"/>
              <w:left w:val="nil"/>
              <w:bottom w:val="nil"/>
              <w:right w:val="nil"/>
            </w:tcBorders>
            <w:shd w:val="clear" w:color="auto" w:fill="FFFFFF"/>
          </w:tcPr>
          <w:p w:rsidR="00963CD1" w:rsidRPr="00963CD1" w:rsidRDefault="00963CD1" w:rsidP="00A43350">
            <w:pPr>
              <w:rPr>
                <w:sz w:val="24"/>
                <w:szCs w:val="24"/>
              </w:rPr>
            </w:pPr>
            <w:r w:rsidRPr="00963CD1">
              <w:rPr>
                <w:sz w:val="24"/>
                <w:szCs w:val="24"/>
              </w:rPr>
              <w:t>a. 4 cells (50.0%) have expected count less than 5. The minimum expected count is .50.</w:t>
            </w:r>
          </w:p>
        </w:tc>
      </w:tr>
      <w:tr w:rsidR="00963CD1" w:rsidRPr="00283483" w:rsidTr="00A43350">
        <w:trPr>
          <w:cantSplit/>
        </w:trPr>
        <w:tc>
          <w:tcPr>
            <w:tcW w:w="9803" w:type="dxa"/>
            <w:gridSpan w:val="7"/>
            <w:tcBorders>
              <w:top w:val="nil"/>
              <w:left w:val="nil"/>
              <w:bottom w:val="nil"/>
              <w:right w:val="nil"/>
            </w:tcBorders>
            <w:shd w:val="clear" w:color="auto" w:fill="FFFFFF"/>
          </w:tcPr>
          <w:p w:rsidR="00963CD1" w:rsidRPr="00963CD1" w:rsidRDefault="00963CD1" w:rsidP="00A43350">
            <w:pPr>
              <w:rPr>
                <w:sz w:val="24"/>
                <w:szCs w:val="24"/>
              </w:rPr>
            </w:pPr>
            <w:r w:rsidRPr="00963CD1">
              <w:rPr>
                <w:sz w:val="24"/>
                <w:szCs w:val="24"/>
              </w:rPr>
              <w:t>b. Based on 10000 sampled tables with starting seed 2000000.</w:t>
            </w:r>
          </w:p>
        </w:tc>
      </w:tr>
    </w:tbl>
    <w:p w:rsidR="00963CD1" w:rsidRPr="00283483" w:rsidRDefault="00963CD1" w:rsidP="00963CD1"/>
    <w:p w:rsidR="00963CD1" w:rsidRDefault="00963CD1" w:rsidP="00963CD1">
      <w:pPr>
        <w:rPr>
          <w:rtl/>
        </w:rPr>
      </w:pPr>
    </w:p>
    <w:p w:rsidR="00963CD1" w:rsidRPr="00283483" w:rsidRDefault="00963CD1" w:rsidP="00963CD1">
      <w:pPr>
        <w:rPr>
          <w:sz w:val="44"/>
          <w:szCs w:val="44"/>
        </w:rPr>
      </w:pPr>
      <w:r w:rsidRPr="00283483">
        <w:rPr>
          <w:sz w:val="44"/>
          <w:szCs w:val="44"/>
        </w:rPr>
        <w:t xml:space="preserve">Result </w:t>
      </w:r>
    </w:p>
    <w:p w:rsidR="00963CD1" w:rsidRPr="006E7711" w:rsidRDefault="00963CD1" w:rsidP="00963CD1">
      <w:pPr>
        <w:autoSpaceDE w:val="0"/>
        <w:autoSpaceDN w:val="0"/>
        <w:adjustRightInd w:val="0"/>
        <w:spacing w:after="0" w:line="400" w:lineRule="atLeast"/>
        <w:rPr>
          <w:rFonts w:ascii="Times New Roman" w:hAnsi="Times New Roman" w:cs="Times New Roman"/>
          <w:sz w:val="24"/>
          <w:szCs w:val="24"/>
        </w:rPr>
      </w:pPr>
    </w:p>
    <w:p w:rsidR="00963CD1" w:rsidRPr="006E7711" w:rsidRDefault="00963CD1" w:rsidP="00963CD1"/>
    <w:p w:rsidR="00963CD1" w:rsidRPr="00283483" w:rsidRDefault="00963CD1" w:rsidP="00963CD1">
      <w:pPr>
        <w:bidi/>
        <w:rPr>
          <w:sz w:val="40"/>
          <w:szCs w:val="40"/>
          <w:rtl/>
        </w:rPr>
      </w:pPr>
      <w:r w:rsidRPr="00283483">
        <w:rPr>
          <w:sz w:val="40"/>
          <w:szCs w:val="40"/>
        </w:rPr>
        <w:t>Hypothesis: H</w:t>
      </w:r>
      <w:proofErr w:type="gramStart"/>
      <w:r w:rsidRPr="00283483">
        <w:rPr>
          <w:sz w:val="40"/>
          <w:szCs w:val="40"/>
        </w:rPr>
        <w:t>0 :</w:t>
      </w:r>
      <w:proofErr w:type="gramEnd"/>
      <w:r w:rsidRPr="00283483">
        <w:rPr>
          <w:sz w:val="40"/>
          <w:szCs w:val="40"/>
        </w:rPr>
        <w:t xml:space="preserve"> No association between </w:t>
      </w:r>
      <w:r>
        <w:rPr>
          <w:sz w:val="40"/>
          <w:szCs w:val="40"/>
        </w:rPr>
        <w:t xml:space="preserve">gender </w:t>
      </w:r>
      <w:r w:rsidRPr="00283483">
        <w:rPr>
          <w:sz w:val="40"/>
          <w:szCs w:val="40"/>
        </w:rPr>
        <w:t xml:space="preserve"> status and </w:t>
      </w:r>
      <w:r>
        <w:rPr>
          <w:sz w:val="40"/>
          <w:szCs w:val="40"/>
        </w:rPr>
        <w:t xml:space="preserve">bacterial growth </w:t>
      </w:r>
      <w:r w:rsidRPr="00283483">
        <w:rPr>
          <w:sz w:val="40"/>
          <w:szCs w:val="40"/>
        </w:rPr>
        <w:t xml:space="preserve"> </w:t>
      </w:r>
    </w:p>
    <w:p w:rsidR="00963CD1" w:rsidRDefault="00963CD1" w:rsidP="00963CD1">
      <w:pPr>
        <w:bidi/>
        <w:rPr>
          <w:sz w:val="40"/>
          <w:szCs w:val="40"/>
        </w:rPr>
      </w:pPr>
      <w:r w:rsidRPr="00283483">
        <w:rPr>
          <w:sz w:val="40"/>
          <w:szCs w:val="40"/>
        </w:rPr>
        <w:lastRenderedPageBreak/>
        <w:t xml:space="preserve">Ha: There is an association between </w:t>
      </w:r>
      <w:proofErr w:type="gramStart"/>
      <w:r>
        <w:rPr>
          <w:sz w:val="40"/>
          <w:szCs w:val="40"/>
        </w:rPr>
        <w:t xml:space="preserve">gender </w:t>
      </w:r>
      <w:r w:rsidRPr="00283483">
        <w:rPr>
          <w:sz w:val="40"/>
          <w:szCs w:val="40"/>
        </w:rPr>
        <w:t xml:space="preserve"> status</w:t>
      </w:r>
      <w:proofErr w:type="gramEnd"/>
      <w:r w:rsidRPr="00283483">
        <w:rPr>
          <w:sz w:val="40"/>
          <w:szCs w:val="40"/>
        </w:rPr>
        <w:t xml:space="preserve"> and </w:t>
      </w:r>
      <w:r>
        <w:rPr>
          <w:sz w:val="40"/>
          <w:szCs w:val="40"/>
        </w:rPr>
        <w:t xml:space="preserve">bacterial growth </w:t>
      </w:r>
    </w:p>
    <w:p w:rsidR="00963CD1" w:rsidRDefault="00963CD1" w:rsidP="00963CD1">
      <w:pPr>
        <w:bidi/>
        <w:rPr>
          <w:sz w:val="40"/>
          <w:szCs w:val="40"/>
        </w:rPr>
      </w:pPr>
    </w:p>
    <w:tbl>
      <w:tblPr>
        <w:tblpPr w:leftFromText="180" w:rightFromText="180" w:vertAnchor="text" w:horzAnchor="margin" w:tblpY="579"/>
        <w:tblW w:w="10055" w:type="dxa"/>
        <w:tblCellMar>
          <w:left w:w="0" w:type="dxa"/>
          <w:right w:w="0" w:type="dxa"/>
        </w:tblCellMar>
        <w:tblLook w:val="04A0" w:firstRow="1" w:lastRow="0" w:firstColumn="1" w:lastColumn="0" w:noHBand="0" w:noVBand="1"/>
      </w:tblPr>
      <w:tblGrid>
        <w:gridCol w:w="1418"/>
        <w:gridCol w:w="1262"/>
        <w:gridCol w:w="1702"/>
        <w:gridCol w:w="5673"/>
      </w:tblGrid>
      <w:tr w:rsidR="00963CD1" w:rsidRPr="00EC1AF8" w:rsidTr="00A43350">
        <w:trPr>
          <w:trHeight w:val="890"/>
        </w:trPr>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56" w:lineRule="auto"/>
              <w:rPr>
                <w:rFonts w:ascii="Arial" w:eastAsia="Times New Roman" w:hAnsi="Arial" w:cs="Arial"/>
                <w:sz w:val="36"/>
                <w:szCs w:val="36"/>
              </w:rPr>
            </w:pPr>
            <w:r w:rsidRPr="00EC1AF8">
              <w:rPr>
                <w:rFonts w:ascii="Calibri" w:eastAsia="Calibri" w:hAnsi="Calibri" w:cs="Arial"/>
                <w:color w:val="000000" w:themeColor="text1"/>
                <w:kern w:val="24"/>
                <w:sz w:val="36"/>
                <w:szCs w:val="36"/>
              </w:rPr>
              <w:t> </w:t>
            </w:r>
          </w:p>
        </w:tc>
        <w:tc>
          <w:tcPr>
            <w:tcW w:w="12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56" w:lineRule="auto"/>
              <w:rPr>
                <w:rFonts w:ascii="Arial" w:eastAsia="Times New Roman" w:hAnsi="Arial" w:cs="Arial"/>
                <w:sz w:val="36"/>
                <w:szCs w:val="36"/>
              </w:rPr>
            </w:pPr>
            <w:r w:rsidRPr="00EC1AF8">
              <w:rPr>
                <w:rFonts w:ascii="Calibri" w:eastAsia="Calibri" w:hAnsi="Calibri" w:cs="Arial"/>
                <w:color w:val="000000" w:themeColor="text1"/>
                <w:kern w:val="24"/>
                <w:sz w:val="36"/>
                <w:szCs w:val="36"/>
              </w:rPr>
              <w:t>No growth</w:t>
            </w:r>
          </w:p>
        </w:tc>
        <w:tc>
          <w:tcPr>
            <w:tcW w:w="17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56" w:lineRule="auto"/>
              <w:rPr>
                <w:rFonts w:ascii="Arial" w:eastAsia="Times New Roman" w:hAnsi="Arial" w:cs="Arial"/>
                <w:sz w:val="36"/>
                <w:szCs w:val="36"/>
              </w:rPr>
            </w:pPr>
            <w:r>
              <w:rPr>
                <w:rFonts w:ascii="Calibri" w:eastAsia="Calibri" w:hAnsi="Calibri" w:cs="Arial"/>
                <w:color w:val="000000" w:themeColor="text1"/>
                <w:kern w:val="24"/>
                <w:sz w:val="36"/>
                <w:szCs w:val="36"/>
              </w:rPr>
              <w:t xml:space="preserve">Overall </w:t>
            </w:r>
          </w:p>
        </w:tc>
        <w:tc>
          <w:tcPr>
            <w:tcW w:w="56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56" w:lineRule="auto"/>
              <w:rPr>
                <w:rFonts w:ascii="Arial" w:eastAsia="Times New Roman" w:hAnsi="Arial" w:cs="Arial"/>
                <w:sz w:val="36"/>
                <w:szCs w:val="36"/>
              </w:rPr>
            </w:pPr>
            <w:r w:rsidRPr="00EC1AF8">
              <w:rPr>
                <w:rFonts w:ascii="Calibri" w:eastAsia="Calibri" w:hAnsi="Calibri" w:cs="Arial"/>
                <w:color w:val="000000" w:themeColor="text1"/>
                <w:kern w:val="24"/>
                <w:sz w:val="36"/>
                <w:szCs w:val="36"/>
              </w:rPr>
              <w:t>Significant growth</w:t>
            </w:r>
          </w:p>
        </w:tc>
      </w:tr>
      <w:tr w:rsidR="00963CD1" w:rsidRPr="00EC1AF8" w:rsidTr="00A43350">
        <w:trPr>
          <w:trHeight w:val="445"/>
        </w:trPr>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56" w:lineRule="auto"/>
              <w:rPr>
                <w:rFonts w:ascii="Arial" w:eastAsia="Times New Roman" w:hAnsi="Arial" w:cs="Arial"/>
                <w:sz w:val="36"/>
                <w:szCs w:val="36"/>
              </w:rPr>
            </w:pPr>
            <w:r w:rsidRPr="00EC1AF8">
              <w:rPr>
                <w:rFonts w:ascii="Calibri" w:eastAsia="Calibri" w:hAnsi="Calibri" w:cs="Arial"/>
                <w:color w:val="000000" w:themeColor="text1"/>
                <w:kern w:val="24"/>
                <w:sz w:val="36"/>
                <w:szCs w:val="36"/>
              </w:rPr>
              <w:t>Males</w:t>
            </w:r>
          </w:p>
        </w:tc>
        <w:tc>
          <w:tcPr>
            <w:tcW w:w="12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E112BB" w:rsidP="00A43350">
            <w:pPr>
              <w:spacing w:after="0" w:line="240" w:lineRule="auto"/>
              <w:rPr>
                <w:rFonts w:ascii="Arial" w:eastAsia="Times New Roman" w:hAnsi="Arial" w:cs="Arial"/>
                <w:sz w:val="36"/>
                <w:szCs w:val="36"/>
              </w:rPr>
            </w:pPr>
            <w:r>
              <w:rPr>
                <w:rFonts w:ascii="Arial" w:eastAsia="Times New Roman" w:hAnsi="Arial" w:cs="Arial"/>
                <w:sz w:val="36"/>
                <w:szCs w:val="36"/>
              </w:rPr>
              <w:t>9</w:t>
            </w:r>
          </w:p>
        </w:tc>
        <w:tc>
          <w:tcPr>
            <w:tcW w:w="17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40" w:lineRule="auto"/>
              <w:rPr>
                <w:rFonts w:ascii="Times New Roman" w:eastAsia="Times New Roman" w:hAnsi="Times New Roman" w:cs="Times New Roman"/>
                <w:sz w:val="36"/>
                <w:szCs w:val="36"/>
              </w:rPr>
            </w:pPr>
            <w:r w:rsidRPr="00EC1AF8">
              <w:rPr>
                <w:rFonts w:ascii="Times New Roman" w:eastAsia="Times New Roman" w:hAnsi="Times New Roman" w:cs="Times New Roman"/>
                <w:sz w:val="36"/>
                <w:szCs w:val="36"/>
              </w:rPr>
              <w:t>3</w:t>
            </w:r>
          </w:p>
        </w:tc>
        <w:tc>
          <w:tcPr>
            <w:tcW w:w="56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40" w:lineRule="auto"/>
              <w:rPr>
                <w:rFonts w:ascii="Times New Roman" w:eastAsia="Times New Roman" w:hAnsi="Times New Roman" w:cs="Times New Roman"/>
                <w:sz w:val="36"/>
                <w:szCs w:val="36"/>
              </w:rPr>
            </w:pPr>
            <w:r w:rsidRPr="00EC1AF8">
              <w:rPr>
                <w:rFonts w:ascii="Times New Roman" w:eastAsia="Times New Roman" w:hAnsi="Times New Roman" w:cs="Times New Roman"/>
                <w:sz w:val="36"/>
                <w:szCs w:val="36"/>
              </w:rPr>
              <w:t>0</w:t>
            </w:r>
          </w:p>
        </w:tc>
      </w:tr>
      <w:tr w:rsidR="00963CD1" w:rsidRPr="00EC1AF8" w:rsidTr="00A43350">
        <w:trPr>
          <w:trHeight w:val="445"/>
        </w:trPr>
        <w:tc>
          <w:tcPr>
            <w:tcW w:w="141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56" w:lineRule="auto"/>
              <w:rPr>
                <w:rFonts w:ascii="Arial" w:eastAsia="Times New Roman" w:hAnsi="Arial" w:cs="Arial"/>
                <w:sz w:val="36"/>
                <w:szCs w:val="36"/>
              </w:rPr>
            </w:pPr>
            <w:r w:rsidRPr="00EC1AF8">
              <w:rPr>
                <w:rFonts w:ascii="Calibri" w:eastAsia="Calibri" w:hAnsi="Calibri" w:cs="Arial"/>
                <w:color w:val="000000" w:themeColor="text1"/>
                <w:kern w:val="24"/>
                <w:sz w:val="36"/>
                <w:szCs w:val="36"/>
              </w:rPr>
              <w:t>Females</w:t>
            </w:r>
          </w:p>
        </w:tc>
        <w:tc>
          <w:tcPr>
            <w:tcW w:w="12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40" w:lineRule="auto"/>
              <w:rPr>
                <w:rFonts w:ascii="Arial" w:eastAsia="Times New Roman" w:hAnsi="Arial" w:cs="Arial"/>
                <w:sz w:val="36"/>
                <w:szCs w:val="36"/>
              </w:rPr>
            </w:pPr>
            <w:r>
              <w:rPr>
                <w:rFonts w:ascii="Arial" w:eastAsia="Times New Roman" w:hAnsi="Arial" w:cs="Arial"/>
                <w:sz w:val="36"/>
                <w:szCs w:val="36"/>
              </w:rPr>
              <w:t>2</w:t>
            </w:r>
          </w:p>
        </w:tc>
        <w:tc>
          <w:tcPr>
            <w:tcW w:w="17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40" w:lineRule="auto"/>
              <w:rPr>
                <w:rFonts w:ascii="Times New Roman" w:eastAsia="Times New Roman" w:hAnsi="Times New Roman" w:cs="Times New Roman"/>
                <w:sz w:val="36"/>
                <w:szCs w:val="36"/>
              </w:rPr>
            </w:pPr>
            <w:r w:rsidRPr="00EC1AF8">
              <w:rPr>
                <w:rFonts w:ascii="Times New Roman" w:eastAsia="Times New Roman" w:hAnsi="Times New Roman" w:cs="Times New Roman"/>
                <w:sz w:val="36"/>
                <w:szCs w:val="36"/>
              </w:rPr>
              <w:t>8</w:t>
            </w:r>
          </w:p>
        </w:tc>
        <w:tc>
          <w:tcPr>
            <w:tcW w:w="56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63CD1" w:rsidRPr="00EC1AF8" w:rsidRDefault="00963CD1" w:rsidP="00A43350">
            <w:pPr>
              <w:spacing w:after="0" w:line="240" w:lineRule="auto"/>
              <w:rPr>
                <w:rFonts w:ascii="Times New Roman" w:eastAsia="Times New Roman" w:hAnsi="Times New Roman" w:cs="Times New Roman"/>
                <w:sz w:val="36"/>
                <w:szCs w:val="36"/>
              </w:rPr>
            </w:pPr>
            <w:r w:rsidRPr="00EC1AF8">
              <w:rPr>
                <w:rFonts w:ascii="Times New Roman" w:eastAsia="Times New Roman" w:hAnsi="Times New Roman" w:cs="Times New Roman"/>
                <w:sz w:val="36"/>
                <w:szCs w:val="36"/>
              </w:rPr>
              <w:t>2</w:t>
            </w:r>
          </w:p>
        </w:tc>
      </w:tr>
    </w:tbl>
    <w:p w:rsidR="00963CD1" w:rsidRDefault="00963CD1" w:rsidP="00963CD1">
      <w:pPr>
        <w:bidi/>
        <w:rPr>
          <w:sz w:val="40"/>
          <w:szCs w:val="40"/>
        </w:rPr>
      </w:pPr>
      <w:r>
        <w:rPr>
          <w:sz w:val="40"/>
          <w:szCs w:val="40"/>
        </w:rPr>
        <w:t xml:space="preserve">Summary table </w:t>
      </w:r>
    </w:p>
    <w:p w:rsidR="00963CD1" w:rsidRDefault="00963CD1" w:rsidP="00963CD1">
      <w:pPr>
        <w:bidi/>
        <w:rPr>
          <w:sz w:val="36"/>
          <w:szCs w:val="36"/>
        </w:rPr>
      </w:pPr>
    </w:p>
    <w:p w:rsidR="00963CD1" w:rsidRDefault="00963CD1" w:rsidP="00963CD1">
      <w:pPr>
        <w:bidi/>
        <w:rPr>
          <w:sz w:val="36"/>
          <w:szCs w:val="36"/>
        </w:rPr>
      </w:pPr>
    </w:p>
    <w:p w:rsidR="00963CD1" w:rsidRDefault="00963CD1" w:rsidP="00963CD1">
      <w:pPr>
        <w:bidi/>
        <w:rPr>
          <w:sz w:val="36"/>
          <w:szCs w:val="36"/>
        </w:rPr>
      </w:pPr>
    </w:p>
    <w:p w:rsidR="00963CD1" w:rsidRPr="00EC1AF8" w:rsidRDefault="00963CD1" w:rsidP="00963CD1">
      <w:pPr>
        <w:bidi/>
        <w:rPr>
          <w:sz w:val="36"/>
          <w:szCs w:val="36"/>
        </w:rPr>
      </w:pPr>
      <w:r>
        <w:rPr>
          <w:sz w:val="36"/>
          <w:szCs w:val="36"/>
        </w:rPr>
        <w:t>p</w:t>
      </w:r>
      <w:r w:rsidRPr="00EC1AF8">
        <w:rPr>
          <w:sz w:val="36"/>
          <w:szCs w:val="36"/>
        </w:rPr>
        <w:t xml:space="preserve">-value of Fisher’s is 0.019 </w:t>
      </w:r>
      <w:r>
        <w:rPr>
          <w:sz w:val="36"/>
          <w:szCs w:val="36"/>
        </w:rPr>
        <w:t xml:space="preserve"> </w:t>
      </w:r>
    </w:p>
    <w:p w:rsidR="00963CD1" w:rsidRDefault="00963CD1" w:rsidP="00963CD1">
      <w:pPr>
        <w:bidi/>
        <w:rPr>
          <w:sz w:val="36"/>
          <w:szCs w:val="36"/>
        </w:rPr>
      </w:pPr>
      <w:r w:rsidRPr="00EC1AF8">
        <w:rPr>
          <w:sz w:val="36"/>
          <w:szCs w:val="36"/>
        </w:rPr>
        <w:t>Decision: except</w:t>
      </w:r>
      <w:r>
        <w:rPr>
          <w:sz w:val="36"/>
          <w:szCs w:val="36"/>
        </w:rPr>
        <w:t xml:space="preserve"> </w:t>
      </w:r>
      <w:r w:rsidRPr="00EC1AF8">
        <w:rPr>
          <w:sz w:val="36"/>
          <w:szCs w:val="36"/>
        </w:rPr>
        <w:t xml:space="preserve">to reject the null hypothesis (FTR) Since </w:t>
      </w:r>
      <w:r>
        <w:rPr>
          <w:sz w:val="36"/>
          <w:szCs w:val="36"/>
        </w:rPr>
        <w:t xml:space="preserve">the </w:t>
      </w:r>
      <w:r w:rsidRPr="00EC1AF8">
        <w:rPr>
          <w:sz w:val="36"/>
          <w:szCs w:val="36"/>
        </w:rPr>
        <w:t>P-value lesser</w:t>
      </w:r>
      <w:r>
        <w:rPr>
          <w:sz w:val="36"/>
          <w:szCs w:val="36"/>
        </w:rPr>
        <w:t xml:space="preserve"> </w:t>
      </w:r>
      <w:r w:rsidRPr="00EC1AF8">
        <w:rPr>
          <w:sz w:val="36"/>
          <w:szCs w:val="36"/>
        </w:rPr>
        <w:t>than alpha 0.05, we except</w:t>
      </w:r>
      <w:r>
        <w:rPr>
          <w:sz w:val="36"/>
          <w:szCs w:val="36"/>
        </w:rPr>
        <w:t xml:space="preserve"> </w:t>
      </w:r>
      <w:r w:rsidRPr="00EC1AF8">
        <w:rPr>
          <w:sz w:val="36"/>
          <w:szCs w:val="36"/>
        </w:rPr>
        <w:t>to reject the nul</w:t>
      </w:r>
      <w:r>
        <w:rPr>
          <w:sz w:val="36"/>
          <w:szCs w:val="36"/>
        </w:rPr>
        <w:t>l hypothesis.</w:t>
      </w:r>
    </w:p>
    <w:p w:rsidR="00963CD1" w:rsidRDefault="00963CD1" w:rsidP="00AF7315">
      <w:pPr>
        <w:bidi/>
        <w:rPr>
          <w:sz w:val="36"/>
          <w:szCs w:val="36"/>
        </w:rPr>
      </w:pPr>
      <w:r>
        <w:rPr>
          <w:sz w:val="36"/>
          <w:szCs w:val="36"/>
        </w:rPr>
        <w:lastRenderedPageBreak/>
        <w:t xml:space="preserve">Conclusion </w:t>
      </w:r>
      <w:r w:rsidRPr="00EC1AF8">
        <w:rPr>
          <w:sz w:val="36"/>
          <w:szCs w:val="36"/>
        </w:rPr>
        <w:t xml:space="preserve">there is association between </w:t>
      </w:r>
      <w:r>
        <w:rPr>
          <w:sz w:val="36"/>
          <w:szCs w:val="36"/>
        </w:rPr>
        <w:t xml:space="preserve">gender </w:t>
      </w:r>
      <w:r w:rsidRPr="00EC1AF8">
        <w:rPr>
          <w:sz w:val="36"/>
          <w:szCs w:val="36"/>
        </w:rPr>
        <w:t xml:space="preserve"> status and </w:t>
      </w:r>
      <w:r>
        <w:rPr>
          <w:sz w:val="36"/>
          <w:szCs w:val="36"/>
        </w:rPr>
        <w:t xml:space="preserve">bacterial growth </w:t>
      </w:r>
      <w:r w:rsidRPr="00EC1AF8">
        <w:rPr>
          <w:sz w:val="36"/>
          <w:szCs w:val="36"/>
        </w:rPr>
        <w:t xml:space="preserve"> </w:t>
      </w:r>
      <w:r w:rsidRPr="00DF2D6E">
        <w:rPr>
          <w:noProof/>
          <w:sz w:val="36"/>
          <w:szCs w:val="36"/>
        </w:rPr>
        <w:drawing>
          <wp:inline distT="0" distB="0" distL="0" distR="0" wp14:anchorId="25B77E0B" wp14:editId="0B6B40E5">
            <wp:extent cx="5981700" cy="3752850"/>
            <wp:effectExtent l="0" t="0" r="0" b="0"/>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F7315" w:rsidRDefault="00AF7315" w:rsidP="00AF7315">
      <w:pPr>
        <w:bidi/>
        <w:rPr>
          <w:sz w:val="36"/>
          <w:szCs w:val="36"/>
        </w:rPr>
      </w:pPr>
    </w:p>
    <w:p w:rsidR="00AF7315" w:rsidRDefault="00AF7315" w:rsidP="00AF7315">
      <w:pPr>
        <w:bidi/>
        <w:rPr>
          <w:sz w:val="36"/>
          <w:szCs w:val="36"/>
        </w:rPr>
      </w:pPr>
    </w:p>
    <w:p w:rsidR="00AF7315" w:rsidRPr="00AF7315" w:rsidRDefault="00AF7315" w:rsidP="00AF7315">
      <w:pPr>
        <w:bidi/>
        <w:rPr>
          <w:sz w:val="36"/>
          <w:szCs w:val="36"/>
        </w:rPr>
      </w:pPr>
    </w:p>
    <w:p w:rsidR="00963CD1" w:rsidRDefault="00963CD1" w:rsidP="00D05732">
      <w:pPr>
        <w:spacing w:line="360" w:lineRule="auto"/>
        <w:jc w:val="both"/>
        <w:rPr>
          <w:rFonts w:asciiTheme="minorBidi" w:hAnsiTheme="minorBidi"/>
          <w:sz w:val="24"/>
          <w:szCs w:val="24"/>
        </w:rPr>
      </w:pPr>
    </w:p>
    <w:p w:rsidR="00963CD1" w:rsidRDefault="00963CD1" w:rsidP="00D05732">
      <w:pPr>
        <w:spacing w:line="360" w:lineRule="auto"/>
        <w:jc w:val="both"/>
        <w:rPr>
          <w:rFonts w:asciiTheme="minorBidi" w:hAnsiTheme="minorBidi"/>
          <w:sz w:val="24"/>
          <w:szCs w:val="24"/>
        </w:rPr>
      </w:pPr>
    </w:p>
    <w:p w:rsidR="00FF0E38" w:rsidRPr="00FF0E38" w:rsidRDefault="00FF0E38" w:rsidP="00E61757">
      <w:pPr>
        <w:spacing w:line="360" w:lineRule="auto"/>
        <w:jc w:val="both"/>
        <w:rPr>
          <w:rFonts w:asciiTheme="minorBidi" w:hAnsiTheme="minorBidi"/>
          <w:b/>
          <w:bCs/>
          <w:sz w:val="28"/>
          <w:szCs w:val="28"/>
        </w:rPr>
      </w:pPr>
      <w:r w:rsidRPr="00960AEF">
        <w:rPr>
          <w:rFonts w:asciiTheme="minorBidi" w:hAnsiTheme="minorBidi"/>
          <w:b/>
          <w:bCs/>
          <w:sz w:val="28"/>
          <w:szCs w:val="28"/>
        </w:rPr>
        <w:t xml:space="preserve">● </w:t>
      </w:r>
      <w:r w:rsidR="00E61757">
        <w:rPr>
          <w:rFonts w:asciiTheme="minorBidi" w:hAnsiTheme="minorBidi"/>
          <w:b/>
          <w:bCs/>
          <w:sz w:val="28"/>
          <w:szCs w:val="28"/>
        </w:rPr>
        <w:t>Samples and methods for d</w:t>
      </w:r>
      <w:r w:rsidRPr="00FF0E38">
        <w:rPr>
          <w:rFonts w:asciiTheme="minorBidi" w:hAnsiTheme="minorBidi"/>
          <w:b/>
          <w:bCs/>
          <w:sz w:val="28"/>
          <w:szCs w:val="28"/>
        </w:rPr>
        <w:t>iagnosis</w:t>
      </w:r>
    </w:p>
    <w:p w:rsidR="00FF0E38" w:rsidRDefault="00FF0E38" w:rsidP="00FF0E38">
      <w:pPr>
        <w:spacing w:line="360" w:lineRule="auto"/>
        <w:jc w:val="both"/>
        <w:rPr>
          <w:rFonts w:asciiTheme="minorBidi" w:hAnsiTheme="minorBidi"/>
          <w:sz w:val="24"/>
          <w:szCs w:val="24"/>
        </w:rPr>
      </w:pPr>
      <w:r>
        <w:rPr>
          <w:rFonts w:asciiTheme="minorBidi" w:hAnsiTheme="minorBidi"/>
          <w:sz w:val="24"/>
          <w:szCs w:val="24"/>
        </w:rPr>
        <w:t>The d</w:t>
      </w:r>
      <w:r w:rsidRPr="00FF0E38">
        <w:rPr>
          <w:rFonts w:asciiTheme="minorBidi" w:hAnsiTheme="minorBidi"/>
          <w:sz w:val="24"/>
          <w:szCs w:val="24"/>
        </w:rPr>
        <w:t xml:space="preserve">iagnosis of </w:t>
      </w:r>
      <w:r w:rsidR="00E90896">
        <w:rPr>
          <w:rFonts w:asciiTheme="minorBidi" w:hAnsiTheme="minorBidi"/>
          <w:sz w:val="24"/>
          <w:szCs w:val="24"/>
        </w:rPr>
        <w:t>ASBU</w:t>
      </w:r>
      <w:r w:rsidRPr="00FF0E38">
        <w:rPr>
          <w:rFonts w:asciiTheme="minorBidi" w:hAnsiTheme="minorBidi"/>
          <w:sz w:val="24"/>
          <w:szCs w:val="24"/>
        </w:rPr>
        <w:t xml:space="preserve"> is made by urine culture. Either a properly collected clean-catch specimen or a catheterized specimen is acceptable. The Infectious Diseases Society of America (IDSA) has established criteria for diagnosing </w:t>
      </w:r>
      <w:r w:rsidR="00E90896">
        <w:rPr>
          <w:rFonts w:asciiTheme="minorBidi" w:hAnsiTheme="minorBidi"/>
          <w:sz w:val="24"/>
          <w:szCs w:val="24"/>
        </w:rPr>
        <w:t>ASBU</w:t>
      </w:r>
      <w:r w:rsidRPr="00FF0E38">
        <w:rPr>
          <w:rFonts w:asciiTheme="minorBidi" w:hAnsiTheme="minorBidi"/>
          <w:sz w:val="24"/>
          <w:szCs w:val="24"/>
        </w:rPr>
        <w:t>.</w:t>
      </w:r>
    </w:p>
    <w:p w:rsidR="008B60BF" w:rsidRDefault="008B60BF" w:rsidP="00FF0E38">
      <w:pPr>
        <w:spacing w:line="360" w:lineRule="auto"/>
        <w:jc w:val="both"/>
        <w:rPr>
          <w:rFonts w:asciiTheme="minorBidi" w:hAnsiTheme="minorBidi"/>
          <w:sz w:val="24"/>
          <w:szCs w:val="24"/>
        </w:rPr>
      </w:pPr>
    </w:p>
    <w:p w:rsidR="00FF0E38" w:rsidRPr="00FF0E38" w:rsidRDefault="00FF0E38" w:rsidP="00FF0E38">
      <w:pPr>
        <w:pStyle w:val="a5"/>
        <w:numPr>
          <w:ilvl w:val="1"/>
          <w:numId w:val="4"/>
        </w:numPr>
        <w:spacing w:line="360" w:lineRule="auto"/>
        <w:ind w:left="567"/>
        <w:jc w:val="both"/>
        <w:rPr>
          <w:rFonts w:asciiTheme="minorBidi" w:hAnsiTheme="minorBidi"/>
          <w:b/>
          <w:bCs/>
          <w:sz w:val="24"/>
          <w:szCs w:val="24"/>
        </w:rPr>
      </w:pPr>
      <w:r w:rsidRPr="00FF0E38">
        <w:rPr>
          <w:rFonts w:asciiTheme="minorBidi" w:hAnsiTheme="minorBidi"/>
          <w:b/>
          <w:bCs/>
          <w:sz w:val="24"/>
          <w:szCs w:val="24"/>
        </w:rPr>
        <w:lastRenderedPageBreak/>
        <w:t>Urine samples:</w:t>
      </w:r>
    </w:p>
    <w:p w:rsidR="00FF0E38" w:rsidRPr="00FF0E38" w:rsidRDefault="00FF0E38" w:rsidP="008B60BF">
      <w:pPr>
        <w:pStyle w:val="a5"/>
        <w:numPr>
          <w:ilvl w:val="6"/>
          <w:numId w:val="5"/>
        </w:numPr>
        <w:spacing w:line="360" w:lineRule="auto"/>
        <w:ind w:left="1985"/>
        <w:jc w:val="both"/>
        <w:rPr>
          <w:rFonts w:asciiTheme="minorBidi" w:hAnsiTheme="minorBidi"/>
          <w:b/>
          <w:bCs/>
          <w:sz w:val="24"/>
          <w:szCs w:val="24"/>
        </w:rPr>
      </w:pPr>
      <w:r w:rsidRPr="00FF0E38">
        <w:rPr>
          <w:rFonts w:asciiTheme="minorBidi" w:hAnsiTheme="minorBidi"/>
          <w:b/>
          <w:bCs/>
          <w:sz w:val="24"/>
          <w:szCs w:val="24"/>
        </w:rPr>
        <w:t>Midstream clean catch urine specimen:</w:t>
      </w:r>
    </w:p>
    <w:p w:rsidR="00FF0E38" w:rsidRPr="00FF0E38" w:rsidRDefault="00FF0E38" w:rsidP="00FF0E38">
      <w:pPr>
        <w:spacing w:line="360" w:lineRule="auto"/>
        <w:jc w:val="both"/>
        <w:rPr>
          <w:rFonts w:asciiTheme="minorBidi" w:hAnsiTheme="minorBidi"/>
          <w:sz w:val="24"/>
          <w:szCs w:val="24"/>
        </w:rPr>
      </w:pPr>
      <w:r w:rsidRPr="00FF0E38">
        <w:rPr>
          <w:rFonts w:asciiTheme="minorBidi" w:hAnsiTheme="minorBidi"/>
          <w:sz w:val="24"/>
          <w:szCs w:val="24"/>
        </w:rPr>
        <w:t>For women, two consecutive specimens with isolation of the same bacteria species with at least 100,000 colony-forming units (CFUs) per ml of urine.</w:t>
      </w:r>
    </w:p>
    <w:p w:rsidR="00FF0E38" w:rsidRPr="00FF0E38" w:rsidRDefault="00FF0E38" w:rsidP="00FF0E38">
      <w:pPr>
        <w:spacing w:line="360" w:lineRule="auto"/>
        <w:jc w:val="both"/>
        <w:rPr>
          <w:rFonts w:asciiTheme="minorBidi" w:hAnsiTheme="minorBidi"/>
          <w:sz w:val="24"/>
          <w:szCs w:val="24"/>
        </w:rPr>
      </w:pPr>
      <w:r w:rsidRPr="00FF0E38">
        <w:rPr>
          <w:rFonts w:asciiTheme="minorBidi" w:hAnsiTheme="minorBidi"/>
          <w:sz w:val="24"/>
          <w:szCs w:val="24"/>
        </w:rPr>
        <w:t>For men, a single specimen with isolation of one bacteria species with at least 100,000 CFUs per ml of urine.</w:t>
      </w:r>
    </w:p>
    <w:p w:rsidR="00FF0E38" w:rsidRPr="00FF0E38" w:rsidRDefault="00FF0E38" w:rsidP="008B60BF">
      <w:pPr>
        <w:pStyle w:val="a5"/>
        <w:numPr>
          <w:ilvl w:val="6"/>
          <w:numId w:val="5"/>
        </w:numPr>
        <w:spacing w:line="360" w:lineRule="auto"/>
        <w:ind w:left="1985"/>
        <w:jc w:val="both"/>
        <w:rPr>
          <w:rFonts w:asciiTheme="minorBidi" w:hAnsiTheme="minorBidi"/>
          <w:b/>
          <w:bCs/>
          <w:sz w:val="24"/>
          <w:szCs w:val="24"/>
        </w:rPr>
      </w:pPr>
      <w:r w:rsidRPr="00FF0E38">
        <w:rPr>
          <w:rFonts w:asciiTheme="minorBidi" w:hAnsiTheme="minorBidi"/>
          <w:b/>
          <w:bCs/>
          <w:sz w:val="24"/>
          <w:szCs w:val="24"/>
        </w:rPr>
        <w:t>Catheterized specimen:</w:t>
      </w:r>
    </w:p>
    <w:p w:rsidR="00FF0E38" w:rsidRDefault="00FF0E38" w:rsidP="00FF0E38">
      <w:pPr>
        <w:spacing w:line="360" w:lineRule="auto"/>
        <w:jc w:val="both"/>
        <w:rPr>
          <w:rFonts w:asciiTheme="minorBidi" w:hAnsiTheme="minorBidi"/>
          <w:sz w:val="24"/>
          <w:szCs w:val="24"/>
        </w:rPr>
      </w:pPr>
      <w:r w:rsidRPr="00FF0E38">
        <w:rPr>
          <w:rFonts w:asciiTheme="minorBidi" w:hAnsiTheme="minorBidi"/>
          <w:sz w:val="24"/>
          <w:szCs w:val="24"/>
        </w:rPr>
        <w:t>For women or men, a single specimen with isolation of one bacteria species with at least 100 CFUs per ml of urine.</w:t>
      </w:r>
    </w:p>
    <w:p w:rsidR="00FF0E38" w:rsidRDefault="00FF0E38" w:rsidP="00FF0E38">
      <w:pPr>
        <w:spacing w:line="360" w:lineRule="auto"/>
        <w:jc w:val="both"/>
        <w:rPr>
          <w:rFonts w:asciiTheme="minorBidi" w:hAnsiTheme="minorBidi"/>
          <w:sz w:val="24"/>
          <w:szCs w:val="24"/>
        </w:rPr>
      </w:pPr>
    </w:p>
    <w:p w:rsidR="00E61757" w:rsidRPr="00E61757" w:rsidRDefault="00E61757" w:rsidP="00E61757">
      <w:pPr>
        <w:pStyle w:val="a5"/>
        <w:numPr>
          <w:ilvl w:val="1"/>
          <w:numId w:val="4"/>
        </w:numPr>
        <w:spacing w:line="360" w:lineRule="auto"/>
        <w:ind w:left="567"/>
        <w:jc w:val="both"/>
        <w:rPr>
          <w:rFonts w:asciiTheme="minorBidi" w:hAnsiTheme="minorBidi"/>
          <w:b/>
          <w:bCs/>
          <w:sz w:val="24"/>
          <w:szCs w:val="24"/>
        </w:rPr>
      </w:pPr>
      <w:r w:rsidRPr="00E61757">
        <w:rPr>
          <w:rFonts w:asciiTheme="minorBidi" w:hAnsiTheme="minorBidi"/>
          <w:b/>
          <w:bCs/>
          <w:sz w:val="24"/>
          <w:szCs w:val="24"/>
        </w:rPr>
        <w:t>Methods for diagnosis:</w:t>
      </w:r>
    </w:p>
    <w:p w:rsidR="00FF0E38" w:rsidRPr="00FF0E38" w:rsidRDefault="00FF0E38" w:rsidP="008B60BF">
      <w:pPr>
        <w:pStyle w:val="a5"/>
        <w:numPr>
          <w:ilvl w:val="6"/>
          <w:numId w:val="6"/>
        </w:numPr>
        <w:spacing w:line="360" w:lineRule="auto"/>
        <w:ind w:left="1985"/>
        <w:jc w:val="both"/>
        <w:rPr>
          <w:rFonts w:asciiTheme="minorBidi" w:hAnsiTheme="minorBidi"/>
          <w:b/>
          <w:bCs/>
          <w:sz w:val="24"/>
          <w:szCs w:val="24"/>
        </w:rPr>
      </w:pPr>
      <w:r w:rsidRPr="00FF0E38">
        <w:rPr>
          <w:rFonts w:asciiTheme="minorBidi" w:hAnsiTheme="minorBidi"/>
          <w:b/>
          <w:bCs/>
          <w:sz w:val="24"/>
          <w:szCs w:val="24"/>
        </w:rPr>
        <w:t>Urinary dipstick tests:</w:t>
      </w:r>
    </w:p>
    <w:p w:rsidR="00FF0E38" w:rsidRDefault="00FF0E38" w:rsidP="00FF0E38">
      <w:pPr>
        <w:spacing w:line="360" w:lineRule="auto"/>
        <w:jc w:val="both"/>
        <w:rPr>
          <w:rFonts w:asciiTheme="minorBidi" w:hAnsiTheme="minorBidi"/>
          <w:sz w:val="24"/>
          <w:szCs w:val="24"/>
        </w:rPr>
      </w:pPr>
      <w:r w:rsidRPr="00FF0E38">
        <w:rPr>
          <w:rFonts w:asciiTheme="minorBidi" w:hAnsiTheme="minorBidi"/>
          <w:sz w:val="24"/>
          <w:szCs w:val="24"/>
        </w:rPr>
        <w:t xml:space="preserve">Urine dipstick for leukocyte esterase will reliably identify pyuria, but it is not specific for </w:t>
      </w:r>
      <w:r w:rsidR="00E90896">
        <w:rPr>
          <w:rFonts w:asciiTheme="minorBidi" w:hAnsiTheme="minorBidi"/>
          <w:sz w:val="24"/>
          <w:szCs w:val="24"/>
        </w:rPr>
        <w:t>ASBU</w:t>
      </w:r>
      <w:r w:rsidRPr="00FF0E38">
        <w:rPr>
          <w:rFonts w:asciiTheme="minorBidi" w:hAnsiTheme="minorBidi"/>
          <w:sz w:val="24"/>
          <w:szCs w:val="24"/>
        </w:rPr>
        <w:t xml:space="preserve">. (Pyuria may result from other inflammatory disorders of the genitourinary tract.) Urinary dipstick for nitrites is also of limited usefulness because of infection with non-nitrite-producing organisms, the delay between collection and testing of the specimen, and insufficient time since the last voiding for nitrites to be produced at detectable levels. The combination of the dipstick for leukocyte esterase and nitrites is more specific for </w:t>
      </w:r>
      <w:r w:rsidR="00E90896">
        <w:rPr>
          <w:rFonts w:asciiTheme="minorBidi" w:hAnsiTheme="minorBidi"/>
          <w:sz w:val="24"/>
          <w:szCs w:val="24"/>
        </w:rPr>
        <w:t>ASBU</w:t>
      </w:r>
      <w:r>
        <w:rPr>
          <w:rFonts w:asciiTheme="minorBidi" w:hAnsiTheme="minorBidi"/>
          <w:sz w:val="24"/>
          <w:szCs w:val="24"/>
        </w:rPr>
        <w:t xml:space="preserve"> than either test alone.</w:t>
      </w:r>
      <w:r w:rsidRPr="00FF0E38">
        <w:rPr>
          <w:rFonts w:asciiTheme="minorBidi" w:hAnsiTheme="minorBidi"/>
          <w:sz w:val="24"/>
          <w:szCs w:val="24"/>
          <w:vertAlign w:val="superscript"/>
        </w:rPr>
        <w:t>5&amp;6</w:t>
      </w:r>
    </w:p>
    <w:p w:rsidR="00FF0E38" w:rsidRDefault="00262ECB" w:rsidP="00262ECB">
      <w:pPr>
        <w:spacing w:line="360" w:lineRule="auto"/>
        <w:jc w:val="both"/>
        <w:rPr>
          <w:rFonts w:asciiTheme="minorBidi" w:hAnsiTheme="minorBidi"/>
          <w:sz w:val="24"/>
          <w:szCs w:val="24"/>
        </w:rPr>
      </w:pPr>
      <w:r>
        <w:rPr>
          <w:rFonts w:asciiTheme="minorBidi" w:hAnsiTheme="minorBidi"/>
          <w:sz w:val="24"/>
          <w:szCs w:val="24"/>
        </w:rPr>
        <w:t>Anyway, s</w:t>
      </w:r>
      <w:r w:rsidRPr="00262ECB">
        <w:rPr>
          <w:rFonts w:asciiTheme="minorBidi" w:hAnsiTheme="minorBidi"/>
          <w:sz w:val="24"/>
          <w:szCs w:val="24"/>
        </w:rPr>
        <w:t>ome studies revealed that the sensitivity of the urine dipstick test was poor while the ability of the urine dipstick test to correctly rule out urinary tract infection (specificity) was high.</w:t>
      </w:r>
      <w:r w:rsidRPr="00262ECB">
        <w:rPr>
          <w:rFonts w:asciiTheme="minorBidi" w:hAnsiTheme="minorBidi"/>
          <w:sz w:val="24"/>
          <w:szCs w:val="24"/>
          <w:vertAlign w:val="superscript"/>
        </w:rPr>
        <w:t>6</w:t>
      </w:r>
    </w:p>
    <w:p w:rsidR="00262ECB" w:rsidRDefault="00262ECB" w:rsidP="00FF0E38">
      <w:pPr>
        <w:spacing w:line="360" w:lineRule="auto"/>
        <w:jc w:val="both"/>
        <w:rPr>
          <w:rFonts w:asciiTheme="minorBidi" w:hAnsiTheme="minorBidi"/>
          <w:sz w:val="24"/>
          <w:szCs w:val="24"/>
        </w:rPr>
      </w:pPr>
    </w:p>
    <w:p w:rsidR="00FF0E38" w:rsidRPr="00FF0E38" w:rsidRDefault="00FF0E38" w:rsidP="008B60BF">
      <w:pPr>
        <w:pStyle w:val="a5"/>
        <w:numPr>
          <w:ilvl w:val="6"/>
          <w:numId w:val="6"/>
        </w:numPr>
        <w:spacing w:line="360" w:lineRule="auto"/>
        <w:ind w:left="1985"/>
        <w:jc w:val="both"/>
        <w:rPr>
          <w:rFonts w:asciiTheme="minorBidi" w:hAnsiTheme="minorBidi"/>
          <w:b/>
          <w:bCs/>
          <w:sz w:val="24"/>
          <w:szCs w:val="24"/>
        </w:rPr>
      </w:pPr>
      <w:r w:rsidRPr="00FF0E38">
        <w:rPr>
          <w:rFonts w:asciiTheme="minorBidi" w:hAnsiTheme="minorBidi"/>
          <w:b/>
          <w:bCs/>
          <w:sz w:val="24"/>
          <w:szCs w:val="24"/>
        </w:rPr>
        <w:t>Microscopic examination:</w:t>
      </w:r>
    </w:p>
    <w:p w:rsidR="00FF0E38" w:rsidRDefault="00FF0E38" w:rsidP="00191776">
      <w:pPr>
        <w:spacing w:line="360" w:lineRule="auto"/>
        <w:jc w:val="both"/>
        <w:rPr>
          <w:rFonts w:asciiTheme="minorBidi" w:hAnsiTheme="minorBidi"/>
          <w:sz w:val="24"/>
          <w:szCs w:val="24"/>
        </w:rPr>
      </w:pPr>
      <w:r w:rsidRPr="00FF0E38">
        <w:rPr>
          <w:rFonts w:asciiTheme="minorBidi" w:hAnsiTheme="minorBidi"/>
          <w:sz w:val="24"/>
          <w:szCs w:val="24"/>
        </w:rPr>
        <w:t>Urinalysis with microscopic exam for bacteria is a useful, but non-quantitative, way to identif</w:t>
      </w:r>
      <w:r>
        <w:rPr>
          <w:rFonts w:asciiTheme="minorBidi" w:hAnsiTheme="minorBidi"/>
          <w:sz w:val="24"/>
          <w:szCs w:val="24"/>
        </w:rPr>
        <w:t>y bacteriuria.</w:t>
      </w:r>
      <w:r w:rsidR="00191776">
        <w:rPr>
          <w:rFonts w:asciiTheme="minorBidi" w:hAnsiTheme="minorBidi"/>
          <w:sz w:val="24"/>
          <w:szCs w:val="24"/>
          <w:vertAlign w:val="superscript"/>
        </w:rPr>
        <w:t>2</w:t>
      </w:r>
    </w:p>
    <w:p w:rsidR="00FF0E38" w:rsidRDefault="00FF0E38" w:rsidP="00FF0E38">
      <w:pPr>
        <w:spacing w:line="360" w:lineRule="auto"/>
        <w:jc w:val="both"/>
        <w:rPr>
          <w:rFonts w:asciiTheme="minorBidi" w:hAnsiTheme="minorBidi"/>
          <w:sz w:val="24"/>
          <w:szCs w:val="24"/>
        </w:rPr>
      </w:pPr>
    </w:p>
    <w:p w:rsidR="00FF0E38" w:rsidRPr="00FF0E38" w:rsidRDefault="00FF0E38" w:rsidP="008B60BF">
      <w:pPr>
        <w:pStyle w:val="a5"/>
        <w:numPr>
          <w:ilvl w:val="6"/>
          <w:numId w:val="6"/>
        </w:numPr>
        <w:spacing w:line="360" w:lineRule="auto"/>
        <w:ind w:left="1985"/>
        <w:jc w:val="both"/>
        <w:rPr>
          <w:rFonts w:asciiTheme="minorBidi" w:hAnsiTheme="minorBidi"/>
          <w:b/>
          <w:bCs/>
          <w:sz w:val="24"/>
          <w:szCs w:val="24"/>
        </w:rPr>
      </w:pPr>
      <w:r w:rsidRPr="00FF0E38">
        <w:rPr>
          <w:rFonts w:asciiTheme="minorBidi" w:hAnsiTheme="minorBidi"/>
          <w:b/>
          <w:bCs/>
          <w:sz w:val="24"/>
          <w:szCs w:val="24"/>
        </w:rPr>
        <w:lastRenderedPageBreak/>
        <w:t>Microbial culture:</w:t>
      </w:r>
    </w:p>
    <w:p w:rsidR="00F84B11" w:rsidRDefault="00F84B11" w:rsidP="00FF0E38">
      <w:pPr>
        <w:spacing w:line="360" w:lineRule="auto"/>
        <w:jc w:val="both"/>
        <w:rPr>
          <w:rFonts w:asciiTheme="minorBidi" w:hAnsiTheme="minorBidi"/>
          <w:sz w:val="24"/>
          <w:szCs w:val="24"/>
        </w:rPr>
      </w:pPr>
      <w:r w:rsidRPr="00F84B11">
        <w:rPr>
          <w:rFonts w:asciiTheme="minorBidi" w:hAnsiTheme="minorBidi"/>
          <w:sz w:val="24"/>
          <w:szCs w:val="24"/>
        </w:rPr>
        <w:t xml:space="preserve">Urine culture is the gold standard for </w:t>
      </w:r>
      <w:r w:rsidR="00963CD1">
        <w:rPr>
          <w:rFonts w:asciiTheme="minorBidi" w:hAnsiTheme="minorBidi"/>
          <w:sz w:val="24"/>
          <w:szCs w:val="24"/>
        </w:rPr>
        <w:t xml:space="preserve">the </w:t>
      </w:r>
      <w:r w:rsidRPr="00F84B11">
        <w:rPr>
          <w:rFonts w:asciiTheme="minorBidi" w:hAnsiTheme="minorBidi"/>
          <w:sz w:val="24"/>
          <w:szCs w:val="24"/>
        </w:rPr>
        <w:t xml:space="preserve">detection of urinary tract infection. However, </w:t>
      </w:r>
      <w:r w:rsidR="00E90896">
        <w:rPr>
          <w:rFonts w:asciiTheme="minorBidi" w:hAnsiTheme="minorBidi"/>
          <w:sz w:val="24"/>
          <w:szCs w:val="24"/>
        </w:rPr>
        <w:t>ASBU</w:t>
      </w:r>
      <w:r w:rsidRPr="00F84B11">
        <w:rPr>
          <w:rFonts w:asciiTheme="minorBidi" w:hAnsiTheme="minorBidi"/>
          <w:sz w:val="24"/>
          <w:szCs w:val="24"/>
        </w:rPr>
        <w:t xml:space="preserve"> is common, particularly in older women, and should not be treated with antibiotics. Conversely, in symptomatic women, even growth as low as 102 colony-forming unit/mL could reflect infection.</w:t>
      </w:r>
      <w:r w:rsidRPr="00F84B11">
        <w:rPr>
          <w:rFonts w:asciiTheme="minorBidi" w:hAnsiTheme="minorBidi"/>
          <w:sz w:val="24"/>
          <w:szCs w:val="24"/>
          <w:vertAlign w:val="superscript"/>
        </w:rPr>
        <w:t>7</w:t>
      </w:r>
    </w:p>
    <w:p w:rsidR="00FF0E38" w:rsidRPr="00FF0E38" w:rsidRDefault="00FF0E38" w:rsidP="00FF0E38">
      <w:pPr>
        <w:spacing w:line="360" w:lineRule="auto"/>
        <w:jc w:val="both"/>
        <w:rPr>
          <w:rFonts w:asciiTheme="minorBidi" w:hAnsiTheme="minorBidi"/>
          <w:sz w:val="24"/>
          <w:szCs w:val="24"/>
        </w:rPr>
      </w:pPr>
      <w:r w:rsidRPr="00FF0E38">
        <w:rPr>
          <w:rFonts w:asciiTheme="minorBidi" w:hAnsiTheme="minorBidi"/>
          <w:sz w:val="24"/>
          <w:szCs w:val="24"/>
        </w:rPr>
        <w:t xml:space="preserve">Pregnant women should be screened for </w:t>
      </w:r>
      <w:r w:rsidR="00E90896">
        <w:rPr>
          <w:rFonts w:asciiTheme="minorBidi" w:hAnsiTheme="minorBidi"/>
          <w:sz w:val="24"/>
          <w:szCs w:val="24"/>
        </w:rPr>
        <w:t>ASBU</w:t>
      </w:r>
      <w:r w:rsidRPr="00FF0E38">
        <w:rPr>
          <w:rFonts w:asciiTheme="minorBidi" w:hAnsiTheme="minorBidi"/>
          <w:sz w:val="24"/>
          <w:szCs w:val="24"/>
        </w:rPr>
        <w:t xml:space="preserve"> with a urine culture. The optimal timing and frequency of screening urine cultures in pregnancy have not been established, but obtaining a screening urine culture at the end of the first trimeste</w:t>
      </w:r>
      <w:r w:rsidR="008B60BF">
        <w:rPr>
          <w:rFonts w:asciiTheme="minorBidi" w:hAnsiTheme="minorBidi"/>
          <w:sz w:val="24"/>
          <w:szCs w:val="24"/>
        </w:rPr>
        <w:t>r of pregnancy is recommended.</w:t>
      </w:r>
      <w:r w:rsidR="008B60BF" w:rsidRPr="008B60BF">
        <w:rPr>
          <w:rFonts w:asciiTheme="minorBidi" w:hAnsiTheme="minorBidi"/>
          <w:sz w:val="24"/>
          <w:szCs w:val="24"/>
          <w:vertAlign w:val="superscript"/>
        </w:rPr>
        <w:t>5</w:t>
      </w:r>
    </w:p>
    <w:p w:rsidR="00FF0E38" w:rsidRPr="00FF0E38" w:rsidRDefault="00FF0E38" w:rsidP="00FF0E38">
      <w:pPr>
        <w:spacing w:line="360" w:lineRule="auto"/>
        <w:jc w:val="both"/>
        <w:rPr>
          <w:rFonts w:asciiTheme="minorBidi" w:hAnsiTheme="minorBidi"/>
          <w:sz w:val="24"/>
          <w:szCs w:val="24"/>
        </w:rPr>
      </w:pPr>
      <w:r w:rsidRPr="00FF0E38">
        <w:rPr>
          <w:rFonts w:asciiTheme="minorBidi" w:hAnsiTheme="minorBidi"/>
          <w:sz w:val="24"/>
          <w:szCs w:val="24"/>
        </w:rPr>
        <w:t xml:space="preserve">Other than in pregnancy, there are few indications to screen for </w:t>
      </w:r>
      <w:r w:rsidR="00E90896">
        <w:rPr>
          <w:rFonts w:asciiTheme="minorBidi" w:hAnsiTheme="minorBidi"/>
          <w:sz w:val="24"/>
          <w:szCs w:val="24"/>
        </w:rPr>
        <w:t>ASBU</w:t>
      </w:r>
      <w:r w:rsidRPr="00FF0E38">
        <w:rPr>
          <w:rFonts w:asciiTheme="minorBidi" w:hAnsiTheme="minorBidi"/>
          <w:sz w:val="24"/>
          <w:szCs w:val="24"/>
        </w:rPr>
        <w:t>. Two possible clinical scenarios in which a screening urine culture might be appropriate include patients undergoing urological procedures in which mucosal bleeding is expected, such as resection of the prostate, and patients who are in the first three months fol</w:t>
      </w:r>
      <w:r>
        <w:rPr>
          <w:rFonts w:asciiTheme="minorBidi" w:hAnsiTheme="minorBidi"/>
          <w:sz w:val="24"/>
          <w:szCs w:val="24"/>
        </w:rPr>
        <w:t>lowing renal transplantation.</w:t>
      </w:r>
      <w:r w:rsidRPr="00FF0E38">
        <w:rPr>
          <w:rFonts w:asciiTheme="minorBidi" w:hAnsiTheme="minorBidi"/>
          <w:sz w:val="24"/>
          <w:szCs w:val="24"/>
          <w:vertAlign w:val="superscript"/>
        </w:rPr>
        <w:t>5</w:t>
      </w:r>
    </w:p>
    <w:p w:rsidR="00C9260D" w:rsidRPr="00960AEF" w:rsidRDefault="00C9260D" w:rsidP="00294189">
      <w:pPr>
        <w:spacing w:line="360" w:lineRule="auto"/>
        <w:jc w:val="both"/>
        <w:rPr>
          <w:rFonts w:asciiTheme="minorBidi" w:hAnsiTheme="minorBidi"/>
          <w:sz w:val="24"/>
          <w:szCs w:val="24"/>
        </w:rPr>
      </w:pPr>
    </w:p>
    <w:p w:rsidR="00960AEF" w:rsidRPr="00C9260D" w:rsidRDefault="00960AEF" w:rsidP="00613168">
      <w:pPr>
        <w:spacing w:line="360" w:lineRule="auto"/>
        <w:jc w:val="both"/>
        <w:rPr>
          <w:rFonts w:asciiTheme="minorBidi" w:hAnsiTheme="minorBidi"/>
          <w:color w:val="FF0000"/>
          <w:sz w:val="24"/>
          <w:szCs w:val="24"/>
        </w:rPr>
      </w:pPr>
      <w:r w:rsidRPr="00960AEF">
        <w:rPr>
          <w:rFonts w:asciiTheme="minorBidi" w:hAnsiTheme="minorBidi"/>
          <w:b/>
          <w:bCs/>
          <w:sz w:val="28"/>
          <w:szCs w:val="28"/>
        </w:rPr>
        <w:t xml:space="preserve">● </w:t>
      </w:r>
      <w:r w:rsidR="00613168">
        <w:rPr>
          <w:rFonts w:asciiTheme="minorBidi" w:hAnsiTheme="minorBidi"/>
          <w:b/>
          <w:bCs/>
          <w:sz w:val="28"/>
          <w:szCs w:val="28"/>
        </w:rPr>
        <w:t>Treatment:</w:t>
      </w:r>
    </w:p>
    <w:p w:rsidR="00613168" w:rsidRP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 xml:space="preserve">Most patients with </w:t>
      </w:r>
      <w:r w:rsidR="00E90896">
        <w:rPr>
          <w:rFonts w:asciiTheme="minorBidi" w:hAnsiTheme="minorBidi"/>
          <w:sz w:val="24"/>
          <w:szCs w:val="24"/>
        </w:rPr>
        <w:t>ASBU</w:t>
      </w:r>
      <w:r w:rsidRPr="00613168">
        <w:rPr>
          <w:rFonts w:asciiTheme="minorBidi" w:hAnsiTheme="minorBidi"/>
          <w:sz w:val="24"/>
          <w:szCs w:val="24"/>
        </w:rPr>
        <w:t xml:space="preserve"> will not develop symptomatic urinary tract infections and will have no adverse consequences from </w:t>
      </w:r>
      <w:r w:rsidR="00E90896">
        <w:rPr>
          <w:rFonts w:asciiTheme="minorBidi" w:hAnsiTheme="minorBidi"/>
          <w:sz w:val="24"/>
          <w:szCs w:val="24"/>
        </w:rPr>
        <w:t>ASBU</w:t>
      </w:r>
      <w:r w:rsidRPr="00613168">
        <w:rPr>
          <w:rFonts w:asciiTheme="minorBidi" w:hAnsiTheme="minorBidi"/>
          <w:sz w:val="24"/>
          <w:szCs w:val="24"/>
        </w:rPr>
        <w:t xml:space="preserve">.  Specifically, children, patients with diabetes, older patients, patients with spinal cord injuries, and patients with indwelling urinary catheters do not benefit from treatment with antibiotics for </w:t>
      </w:r>
      <w:r w:rsidR="00E90896">
        <w:rPr>
          <w:rFonts w:asciiTheme="minorBidi" w:hAnsiTheme="minorBidi"/>
          <w:sz w:val="24"/>
          <w:szCs w:val="24"/>
        </w:rPr>
        <w:t>ASBU</w:t>
      </w:r>
      <w:r w:rsidRPr="00613168">
        <w:rPr>
          <w:rFonts w:asciiTheme="minorBidi" w:hAnsiTheme="minorBidi"/>
          <w:sz w:val="24"/>
          <w:szCs w:val="24"/>
        </w:rPr>
        <w:t>. Treatment in these patients does not decrease the incidence of symptomatic urinary tract infections or improve survival. However, it does increase the likelihood of adverse effects from antibiotics and the development of antibiotic-resistant bacteria.</w:t>
      </w:r>
    </w:p>
    <w:p w:rsidR="00613168" w:rsidRPr="00613168" w:rsidRDefault="00613168" w:rsidP="00613168">
      <w:pPr>
        <w:spacing w:line="360" w:lineRule="auto"/>
        <w:jc w:val="both"/>
        <w:rPr>
          <w:rFonts w:asciiTheme="minorBidi" w:hAnsiTheme="minorBidi"/>
          <w:sz w:val="24"/>
          <w:szCs w:val="24"/>
        </w:rPr>
      </w:pPr>
    </w:p>
    <w:p w:rsidR="00613168" w:rsidRP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 xml:space="preserve">In contrast, treatment of pregnant women with </w:t>
      </w:r>
      <w:r w:rsidR="00E90896">
        <w:rPr>
          <w:rFonts w:asciiTheme="minorBidi" w:hAnsiTheme="minorBidi"/>
          <w:sz w:val="24"/>
          <w:szCs w:val="24"/>
        </w:rPr>
        <w:t>ASBU</w:t>
      </w:r>
      <w:r w:rsidRPr="00613168">
        <w:rPr>
          <w:rFonts w:asciiTheme="minorBidi" w:hAnsiTheme="minorBidi"/>
          <w:sz w:val="24"/>
          <w:szCs w:val="24"/>
        </w:rPr>
        <w:t xml:space="preserve"> has been shown to be beneficial. Antimicrobial treatment of </w:t>
      </w:r>
      <w:r w:rsidR="00E90896">
        <w:rPr>
          <w:rFonts w:asciiTheme="minorBidi" w:hAnsiTheme="minorBidi"/>
          <w:sz w:val="24"/>
          <w:szCs w:val="24"/>
        </w:rPr>
        <w:t>ASBU</w:t>
      </w:r>
      <w:r w:rsidRPr="00613168">
        <w:rPr>
          <w:rFonts w:asciiTheme="minorBidi" w:hAnsiTheme="minorBidi"/>
          <w:sz w:val="24"/>
          <w:szCs w:val="24"/>
        </w:rPr>
        <w:t xml:space="preserve"> in pregnancy decreases the risk of pyelonephritis, low-birthweight infants, and preterm delivery.  In addition, patients </w:t>
      </w:r>
      <w:r w:rsidRPr="00613168">
        <w:rPr>
          <w:rFonts w:asciiTheme="minorBidi" w:hAnsiTheme="minorBidi"/>
          <w:sz w:val="24"/>
          <w:szCs w:val="24"/>
        </w:rPr>
        <w:lastRenderedPageBreak/>
        <w:t xml:space="preserve">undergoing urologic procedures in which mucosal bleeding is expected, such as with resection of the prostate, and patients who are in the first three months following renal transplantation probably should be treated. There is evidence that treatment of </w:t>
      </w:r>
      <w:r w:rsidR="00E90896">
        <w:rPr>
          <w:rFonts w:asciiTheme="minorBidi" w:hAnsiTheme="minorBidi"/>
          <w:sz w:val="24"/>
          <w:szCs w:val="24"/>
        </w:rPr>
        <w:t>ASBU</w:t>
      </w:r>
      <w:r w:rsidRPr="00613168">
        <w:rPr>
          <w:rFonts w:asciiTheme="minorBidi" w:hAnsiTheme="minorBidi"/>
          <w:sz w:val="24"/>
          <w:szCs w:val="24"/>
        </w:rPr>
        <w:t xml:space="preserve"> in these patients decreases the risk of symptomatic urinary tract infection.    </w:t>
      </w:r>
    </w:p>
    <w:p w:rsidR="00613168" w:rsidRPr="00613168" w:rsidRDefault="00613168" w:rsidP="00613168">
      <w:pPr>
        <w:spacing w:line="360" w:lineRule="auto"/>
        <w:jc w:val="both"/>
        <w:rPr>
          <w:rFonts w:asciiTheme="minorBidi" w:hAnsiTheme="minorBidi"/>
          <w:sz w:val="24"/>
          <w:szCs w:val="24"/>
        </w:rPr>
      </w:pPr>
    </w:p>
    <w:p w:rsid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Treatment should be guided by the results of urine culture and sensitivity. Amoxicillin, amoxicillin/</w:t>
      </w:r>
      <w:proofErr w:type="spellStart"/>
      <w:r w:rsidRPr="00613168">
        <w:rPr>
          <w:rFonts w:asciiTheme="minorBidi" w:hAnsiTheme="minorBidi"/>
          <w:sz w:val="24"/>
          <w:szCs w:val="24"/>
        </w:rPr>
        <w:t>clavulanate</w:t>
      </w:r>
      <w:proofErr w:type="spellEnd"/>
      <w:r w:rsidRPr="00613168">
        <w:rPr>
          <w:rFonts w:asciiTheme="minorBidi" w:hAnsiTheme="minorBidi"/>
          <w:sz w:val="24"/>
          <w:szCs w:val="24"/>
        </w:rPr>
        <w:t>, cefuroxime, cephalexin, and nitrofurantoin are considered safe for use in pregnancy. Treatment duration should be for 3 to 7 days for pregnant women, and at least one follow-up urine culture should be performed.</w:t>
      </w:r>
      <w:r w:rsidRPr="00613168">
        <w:rPr>
          <w:rFonts w:asciiTheme="minorBidi" w:hAnsiTheme="minorBidi"/>
          <w:sz w:val="24"/>
          <w:szCs w:val="24"/>
          <w:vertAlign w:val="superscript"/>
        </w:rPr>
        <w:t>2</w:t>
      </w:r>
    </w:p>
    <w:p w:rsidR="00613168" w:rsidRPr="00613168" w:rsidRDefault="00613168" w:rsidP="00613168">
      <w:pPr>
        <w:spacing w:line="360" w:lineRule="auto"/>
        <w:jc w:val="both"/>
        <w:rPr>
          <w:rFonts w:asciiTheme="minorBidi" w:hAnsiTheme="minorBidi"/>
          <w:b/>
          <w:bCs/>
          <w:sz w:val="24"/>
          <w:szCs w:val="24"/>
        </w:rPr>
      </w:pPr>
      <w:r w:rsidRPr="00613168">
        <w:rPr>
          <w:rFonts w:asciiTheme="minorBidi" w:hAnsiTheme="minorBidi"/>
          <w:b/>
          <w:bCs/>
          <w:sz w:val="24"/>
          <w:szCs w:val="24"/>
        </w:rPr>
        <w:t xml:space="preserve">Who to screen and treat for </w:t>
      </w:r>
      <w:r w:rsidR="00E90896">
        <w:rPr>
          <w:rFonts w:asciiTheme="minorBidi" w:hAnsiTheme="minorBidi"/>
          <w:b/>
          <w:bCs/>
          <w:sz w:val="24"/>
          <w:szCs w:val="24"/>
        </w:rPr>
        <w:t>ASBU</w:t>
      </w:r>
      <w:r w:rsidRPr="00613168">
        <w:rPr>
          <w:rFonts w:asciiTheme="minorBidi" w:hAnsiTheme="minorBidi"/>
          <w:b/>
          <w:bCs/>
          <w:sz w:val="24"/>
          <w:szCs w:val="24"/>
        </w:rPr>
        <w:t>:</w:t>
      </w:r>
    </w:p>
    <w:p w:rsidR="00613168" w:rsidRPr="00613168" w:rsidRDefault="00613168" w:rsidP="00613168">
      <w:pPr>
        <w:pStyle w:val="a5"/>
        <w:numPr>
          <w:ilvl w:val="3"/>
          <w:numId w:val="7"/>
        </w:numPr>
        <w:spacing w:line="360" w:lineRule="auto"/>
        <w:jc w:val="both"/>
        <w:rPr>
          <w:rFonts w:asciiTheme="minorBidi" w:hAnsiTheme="minorBidi"/>
          <w:sz w:val="24"/>
          <w:szCs w:val="24"/>
        </w:rPr>
      </w:pPr>
      <w:r w:rsidRPr="00613168">
        <w:rPr>
          <w:rFonts w:asciiTheme="minorBidi" w:hAnsiTheme="minorBidi"/>
          <w:sz w:val="24"/>
          <w:szCs w:val="24"/>
        </w:rPr>
        <w:t>Pregnant women (at least once in early pregnancy)</w:t>
      </w:r>
      <w:r>
        <w:rPr>
          <w:rFonts w:asciiTheme="minorBidi" w:hAnsiTheme="minorBidi"/>
          <w:sz w:val="24"/>
          <w:szCs w:val="24"/>
        </w:rPr>
        <w:t>.</w:t>
      </w:r>
    </w:p>
    <w:p w:rsidR="00613168" w:rsidRPr="00613168" w:rsidRDefault="00613168" w:rsidP="00613168">
      <w:pPr>
        <w:pStyle w:val="a5"/>
        <w:numPr>
          <w:ilvl w:val="3"/>
          <w:numId w:val="7"/>
        </w:numPr>
        <w:spacing w:line="360" w:lineRule="auto"/>
        <w:jc w:val="both"/>
        <w:rPr>
          <w:rFonts w:asciiTheme="minorBidi" w:hAnsiTheme="minorBidi"/>
          <w:sz w:val="24"/>
          <w:szCs w:val="24"/>
        </w:rPr>
      </w:pPr>
      <w:r w:rsidRPr="00613168">
        <w:rPr>
          <w:rFonts w:asciiTheme="minorBidi" w:hAnsiTheme="minorBidi"/>
          <w:sz w:val="24"/>
          <w:szCs w:val="24"/>
        </w:rPr>
        <w:t xml:space="preserve">Patients prior to a urologic procedure for which mucosal bleeding </w:t>
      </w:r>
      <w:r>
        <w:rPr>
          <w:rFonts w:asciiTheme="minorBidi" w:hAnsiTheme="minorBidi"/>
          <w:sz w:val="24"/>
          <w:szCs w:val="24"/>
        </w:rPr>
        <w:t>is anticipated.</w:t>
      </w:r>
    </w:p>
    <w:p w:rsidR="00C9260D" w:rsidRPr="00613168" w:rsidRDefault="00613168" w:rsidP="00613168">
      <w:pPr>
        <w:pStyle w:val="a5"/>
        <w:numPr>
          <w:ilvl w:val="3"/>
          <w:numId w:val="7"/>
        </w:numPr>
        <w:spacing w:line="360" w:lineRule="auto"/>
        <w:jc w:val="both"/>
        <w:rPr>
          <w:rFonts w:asciiTheme="minorBidi" w:hAnsiTheme="minorBidi"/>
          <w:sz w:val="24"/>
          <w:szCs w:val="24"/>
        </w:rPr>
      </w:pPr>
      <w:r w:rsidRPr="00613168">
        <w:rPr>
          <w:rFonts w:asciiTheme="minorBidi" w:hAnsiTheme="minorBidi"/>
          <w:sz w:val="24"/>
          <w:szCs w:val="24"/>
        </w:rPr>
        <w:t>Kidney transplant patients are a group where the data is unclear and no recommendation can be made</w:t>
      </w:r>
      <w:r>
        <w:rPr>
          <w:rFonts w:asciiTheme="minorBidi" w:hAnsiTheme="minorBidi"/>
          <w:sz w:val="24"/>
          <w:szCs w:val="24"/>
        </w:rPr>
        <w:t>.</w:t>
      </w:r>
      <w:r w:rsidRPr="00613168">
        <w:rPr>
          <w:rFonts w:asciiTheme="minorBidi" w:hAnsiTheme="minorBidi"/>
          <w:sz w:val="24"/>
          <w:szCs w:val="24"/>
          <w:vertAlign w:val="superscript"/>
        </w:rPr>
        <w:t>8</w:t>
      </w:r>
    </w:p>
    <w:p w:rsidR="00C9260D" w:rsidRPr="00960AEF" w:rsidRDefault="00C9260D" w:rsidP="00294189">
      <w:pPr>
        <w:spacing w:line="360" w:lineRule="auto"/>
        <w:jc w:val="both"/>
        <w:rPr>
          <w:rFonts w:asciiTheme="minorBidi" w:hAnsiTheme="minorBidi"/>
          <w:sz w:val="24"/>
          <w:szCs w:val="24"/>
        </w:rPr>
      </w:pPr>
    </w:p>
    <w:p w:rsidR="00960AEF" w:rsidRDefault="00613168" w:rsidP="00613168">
      <w:pPr>
        <w:spacing w:line="360" w:lineRule="auto"/>
        <w:jc w:val="both"/>
        <w:rPr>
          <w:rFonts w:asciiTheme="minorBidi" w:hAnsiTheme="minorBidi"/>
          <w:sz w:val="24"/>
          <w:szCs w:val="24"/>
        </w:rPr>
      </w:pPr>
      <w:r>
        <w:rPr>
          <w:rFonts w:asciiTheme="minorBidi" w:hAnsiTheme="minorBidi"/>
          <w:b/>
          <w:bCs/>
          <w:sz w:val="28"/>
          <w:szCs w:val="28"/>
        </w:rPr>
        <w:t>● Conclusions</w:t>
      </w:r>
    </w:p>
    <w:p w:rsidR="00C9260D" w:rsidRDefault="00613168" w:rsidP="00294189">
      <w:pPr>
        <w:spacing w:line="360" w:lineRule="auto"/>
        <w:jc w:val="both"/>
        <w:rPr>
          <w:rFonts w:asciiTheme="minorBidi" w:hAnsiTheme="minorBidi"/>
          <w:sz w:val="24"/>
          <w:szCs w:val="24"/>
        </w:rPr>
      </w:pPr>
      <w:r w:rsidRPr="00613168">
        <w:rPr>
          <w:rFonts w:asciiTheme="minorBidi" w:hAnsiTheme="minorBidi"/>
          <w:sz w:val="24"/>
          <w:szCs w:val="24"/>
        </w:rPr>
        <w:t xml:space="preserve">Cost-effective use of health care resources necessitates careful scrutiny to avoid unnecessary tests and treatments.  "Antibiotic stewardship," or the appropriate use of antibiotics in a way that improves patient outcomes, reduces microbial resistance, and decreases the spread of infections caused by multi-drug-resistant organisms, is essential.  As such, a rational and evidence-based approach to the evaluation and treatment of </w:t>
      </w:r>
      <w:r w:rsidR="00E90896">
        <w:rPr>
          <w:rFonts w:asciiTheme="minorBidi" w:hAnsiTheme="minorBidi"/>
          <w:sz w:val="24"/>
          <w:szCs w:val="24"/>
        </w:rPr>
        <w:t>ASBU</w:t>
      </w:r>
      <w:r w:rsidRPr="00613168">
        <w:rPr>
          <w:rFonts w:asciiTheme="minorBidi" w:hAnsiTheme="minorBidi"/>
          <w:sz w:val="24"/>
          <w:szCs w:val="24"/>
        </w:rPr>
        <w:t xml:space="preserve"> is important.  It is not appropriate to routinely order a urinalysis and urine culture and sensitivity test on every patient admitted to the hospital unless there is a clinical reason to suspect a symptomatic or an occult urinary tract infection. Additionally, when the clean-catch urine culture of a 70-year-old female (who is admitted for a diagnosis unrelated to her urinary tract </w:t>
      </w:r>
      <w:r w:rsidRPr="00613168">
        <w:rPr>
          <w:rFonts w:asciiTheme="minorBidi" w:hAnsiTheme="minorBidi"/>
          <w:sz w:val="24"/>
          <w:szCs w:val="24"/>
        </w:rPr>
        <w:lastRenderedPageBreak/>
        <w:t>and has no urinary symptoms) increases to &gt;100,000 CFU/ml of Escherichia coli, which it often will, it is appropriate to resist the temptatio</w:t>
      </w:r>
      <w:r>
        <w:rPr>
          <w:rFonts w:asciiTheme="minorBidi" w:hAnsiTheme="minorBidi"/>
          <w:sz w:val="24"/>
          <w:szCs w:val="24"/>
        </w:rPr>
        <w:t>n to treat the culture results.</w:t>
      </w:r>
      <w:r w:rsidRPr="00613168">
        <w:rPr>
          <w:rFonts w:asciiTheme="minorBidi" w:hAnsiTheme="minorBidi"/>
          <w:sz w:val="24"/>
          <w:szCs w:val="24"/>
        </w:rPr>
        <w:t xml:space="preserve"> Treatment is unnecessary, and may even be harmful.</w:t>
      </w:r>
    </w:p>
    <w:p w:rsidR="00613168" w:rsidRP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 xml:space="preserve">The management of </w:t>
      </w:r>
      <w:r w:rsidR="00E90896">
        <w:rPr>
          <w:rFonts w:asciiTheme="minorBidi" w:hAnsiTheme="minorBidi"/>
          <w:sz w:val="24"/>
          <w:szCs w:val="24"/>
        </w:rPr>
        <w:t>ASBU</w:t>
      </w:r>
      <w:r w:rsidRPr="00613168">
        <w:rPr>
          <w:rFonts w:asciiTheme="minorBidi" w:hAnsiTheme="minorBidi"/>
          <w:sz w:val="24"/>
          <w:szCs w:val="24"/>
        </w:rPr>
        <w:t xml:space="preserve"> is not simple and requires clinical acumen. When encountering such patients, an </w:t>
      </w:r>
      <w:proofErr w:type="spellStart"/>
      <w:r w:rsidRPr="00613168">
        <w:rPr>
          <w:rFonts w:asciiTheme="minorBidi" w:hAnsiTheme="minorBidi"/>
          <w:sz w:val="24"/>
          <w:szCs w:val="24"/>
        </w:rPr>
        <w:t>interprofessional</w:t>
      </w:r>
      <w:proofErr w:type="spellEnd"/>
      <w:r w:rsidRPr="00613168">
        <w:rPr>
          <w:rFonts w:asciiTheme="minorBidi" w:hAnsiTheme="minorBidi"/>
          <w:sz w:val="24"/>
          <w:szCs w:val="24"/>
        </w:rPr>
        <w:t xml:space="preserve"> approach with an infectious disease expert, emergency department physician, nurse practitioner, internist, pharmacist, and a nurse is recommended.</w:t>
      </w:r>
    </w:p>
    <w:p w:rsidR="00613168" w:rsidRPr="00613168" w:rsidRDefault="00613168" w:rsidP="00613168">
      <w:pPr>
        <w:spacing w:line="360" w:lineRule="auto"/>
        <w:jc w:val="both"/>
        <w:rPr>
          <w:rFonts w:asciiTheme="minorBidi" w:hAnsiTheme="minorBidi"/>
          <w:sz w:val="24"/>
          <w:szCs w:val="24"/>
        </w:rPr>
      </w:pPr>
    </w:p>
    <w:p w:rsidR="00613168" w:rsidRP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 xml:space="preserve">Most patients with </w:t>
      </w:r>
      <w:r w:rsidR="00E90896">
        <w:rPr>
          <w:rFonts w:asciiTheme="minorBidi" w:hAnsiTheme="minorBidi"/>
          <w:sz w:val="24"/>
          <w:szCs w:val="24"/>
        </w:rPr>
        <w:t>ASBU</w:t>
      </w:r>
      <w:r w:rsidRPr="00613168">
        <w:rPr>
          <w:rFonts w:asciiTheme="minorBidi" w:hAnsiTheme="minorBidi"/>
          <w:sz w:val="24"/>
          <w:szCs w:val="24"/>
        </w:rPr>
        <w:t xml:space="preserve"> will not develop symptomatic urinary tract infections and will have no adverse consequences from </w:t>
      </w:r>
      <w:r w:rsidR="00E90896">
        <w:rPr>
          <w:rFonts w:asciiTheme="minorBidi" w:hAnsiTheme="minorBidi"/>
          <w:sz w:val="24"/>
          <w:szCs w:val="24"/>
        </w:rPr>
        <w:t>ASBU</w:t>
      </w:r>
      <w:r w:rsidRPr="00613168">
        <w:rPr>
          <w:rFonts w:asciiTheme="minorBidi" w:hAnsiTheme="minorBidi"/>
          <w:sz w:val="24"/>
          <w:szCs w:val="24"/>
        </w:rPr>
        <w:t xml:space="preserve">.  Specifically, children, patients with diabetes, older patients, patients with spinal cord injuries, and patients with indwelling urinary catheters do not benefit from treatment with antibiotics for </w:t>
      </w:r>
      <w:r w:rsidR="00E90896">
        <w:rPr>
          <w:rFonts w:asciiTheme="minorBidi" w:hAnsiTheme="minorBidi"/>
          <w:sz w:val="24"/>
          <w:szCs w:val="24"/>
        </w:rPr>
        <w:t>ASBU</w:t>
      </w:r>
      <w:r w:rsidRPr="00613168">
        <w:rPr>
          <w:rFonts w:asciiTheme="minorBidi" w:hAnsiTheme="minorBidi"/>
          <w:sz w:val="24"/>
          <w:szCs w:val="24"/>
        </w:rPr>
        <w:t>. Treatment in these patients does not decrease the incidence of symptomatic urinary tract infections or improve survival. However, it does increase the likelihood of adverse effects of antibiotics and the development of antibiotic-resistant bacteria.</w:t>
      </w:r>
    </w:p>
    <w:p w:rsidR="00613168" w:rsidRPr="00613168" w:rsidRDefault="00613168" w:rsidP="00613168">
      <w:pPr>
        <w:spacing w:line="360" w:lineRule="auto"/>
        <w:jc w:val="both"/>
        <w:rPr>
          <w:rFonts w:asciiTheme="minorBidi" w:hAnsiTheme="minorBidi"/>
          <w:sz w:val="24"/>
          <w:szCs w:val="24"/>
        </w:rPr>
      </w:pPr>
    </w:p>
    <w:p w:rsidR="00613168" w:rsidRP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 xml:space="preserve">In contrast, treatment of pregnant women with </w:t>
      </w:r>
      <w:r w:rsidR="00E90896">
        <w:rPr>
          <w:rFonts w:asciiTheme="minorBidi" w:hAnsiTheme="minorBidi"/>
          <w:sz w:val="24"/>
          <w:szCs w:val="24"/>
        </w:rPr>
        <w:t>ASBU</w:t>
      </w:r>
      <w:r w:rsidRPr="00613168">
        <w:rPr>
          <w:rFonts w:asciiTheme="minorBidi" w:hAnsiTheme="minorBidi"/>
          <w:sz w:val="24"/>
          <w:szCs w:val="24"/>
        </w:rPr>
        <w:t xml:space="preserve"> has been</w:t>
      </w:r>
      <w:r>
        <w:rPr>
          <w:rFonts w:asciiTheme="minorBidi" w:hAnsiTheme="minorBidi"/>
          <w:sz w:val="24"/>
          <w:szCs w:val="24"/>
        </w:rPr>
        <w:t xml:space="preserve"> shown to be beneficial. </w:t>
      </w:r>
      <w:r w:rsidRPr="00613168">
        <w:rPr>
          <w:rFonts w:asciiTheme="minorBidi" w:hAnsiTheme="minorBidi"/>
          <w:sz w:val="24"/>
          <w:szCs w:val="24"/>
        </w:rPr>
        <w:t xml:space="preserve">There is evidence that treatment of </w:t>
      </w:r>
      <w:r w:rsidR="00E90896">
        <w:rPr>
          <w:rFonts w:asciiTheme="minorBidi" w:hAnsiTheme="minorBidi"/>
          <w:sz w:val="24"/>
          <w:szCs w:val="24"/>
        </w:rPr>
        <w:t>ASBU</w:t>
      </w:r>
      <w:r w:rsidRPr="00613168">
        <w:rPr>
          <w:rFonts w:asciiTheme="minorBidi" w:hAnsiTheme="minorBidi"/>
          <w:sz w:val="24"/>
          <w:szCs w:val="24"/>
        </w:rPr>
        <w:t xml:space="preserve"> in these patients decreases the risk of symptomatic urinary tract infection.  </w:t>
      </w:r>
    </w:p>
    <w:p w:rsidR="00613168" w:rsidRPr="00613168" w:rsidRDefault="00613168" w:rsidP="00613168">
      <w:pPr>
        <w:spacing w:line="360" w:lineRule="auto"/>
        <w:jc w:val="both"/>
        <w:rPr>
          <w:rFonts w:asciiTheme="minorBidi" w:hAnsiTheme="minorBidi"/>
          <w:sz w:val="24"/>
          <w:szCs w:val="24"/>
        </w:rPr>
      </w:pPr>
    </w:p>
    <w:p w:rsidR="00613168" w:rsidRDefault="00613168" w:rsidP="00613168">
      <w:pPr>
        <w:spacing w:line="360" w:lineRule="auto"/>
        <w:jc w:val="both"/>
        <w:rPr>
          <w:rFonts w:asciiTheme="minorBidi" w:hAnsiTheme="minorBidi"/>
          <w:sz w:val="24"/>
          <w:szCs w:val="24"/>
        </w:rPr>
      </w:pPr>
      <w:r w:rsidRPr="00613168">
        <w:rPr>
          <w:rFonts w:asciiTheme="minorBidi" w:hAnsiTheme="minorBidi"/>
          <w:sz w:val="24"/>
          <w:szCs w:val="24"/>
        </w:rPr>
        <w:t>The nurse should focus on assisting with patient education and assisting the family in learning to help the patient. The pharmacist may provide guidance to the clinician regarding medication choices as needed and help prevent drug-drug interactions. The clinical team of pharmacist, nurse, and clinician working together to educate and assist the patient and family will result in the best outcomes.</w:t>
      </w:r>
    </w:p>
    <w:p w:rsidR="00C9260D" w:rsidRDefault="00C9260D" w:rsidP="00294189">
      <w:pPr>
        <w:spacing w:line="360" w:lineRule="auto"/>
        <w:jc w:val="both"/>
        <w:rPr>
          <w:rFonts w:asciiTheme="minorBidi" w:hAnsiTheme="minorBidi"/>
          <w:sz w:val="24"/>
          <w:szCs w:val="24"/>
        </w:rPr>
      </w:pPr>
    </w:p>
    <w:p w:rsidR="00B022FD" w:rsidRPr="00960AEF" w:rsidRDefault="00B022FD" w:rsidP="00294189">
      <w:pPr>
        <w:spacing w:line="360" w:lineRule="auto"/>
        <w:jc w:val="both"/>
        <w:rPr>
          <w:rFonts w:asciiTheme="minorBidi" w:hAnsiTheme="minorBidi"/>
          <w:sz w:val="24"/>
          <w:szCs w:val="24"/>
        </w:rPr>
      </w:pPr>
    </w:p>
    <w:p w:rsidR="00613168" w:rsidRDefault="00613168" w:rsidP="00613168">
      <w:pPr>
        <w:spacing w:line="360" w:lineRule="auto"/>
        <w:jc w:val="both"/>
        <w:rPr>
          <w:rFonts w:asciiTheme="minorBidi" w:hAnsiTheme="minorBidi"/>
          <w:color w:val="FF0000"/>
          <w:sz w:val="24"/>
          <w:szCs w:val="24"/>
        </w:rPr>
      </w:pPr>
      <w:r>
        <w:rPr>
          <w:rFonts w:asciiTheme="minorBidi" w:hAnsiTheme="minorBidi"/>
          <w:b/>
          <w:bCs/>
          <w:sz w:val="28"/>
          <w:szCs w:val="28"/>
        </w:rPr>
        <w:lastRenderedPageBreak/>
        <w:t>● References:</w:t>
      </w:r>
    </w:p>
    <w:p w:rsidR="00294189" w:rsidRDefault="00294189" w:rsidP="00294189">
      <w:pPr>
        <w:spacing w:line="360" w:lineRule="auto"/>
        <w:jc w:val="both"/>
        <w:rPr>
          <w:rFonts w:asciiTheme="minorBidi" w:hAnsiTheme="minorBidi"/>
          <w:color w:val="FF0000"/>
          <w:sz w:val="24"/>
          <w:szCs w:val="24"/>
        </w:rPr>
      </w:pPr>
    </w:p>
    <w:p w:rsidR="00294189" w:rsidRDefault="00C9260D" w:rsidP="00C9260D">
      <w:pPr>
        <w:pStyle w:val="a5"/>
        <w:numPr>
          <w:ilvl w:val="0"/>
          <w:numId w:val="1"/>
        </w:numPr>
        <w:spacing w:line="360" w:lineRule="auto"/>
        <w:jc w:val="both"/>
        <w:rPr>
          <w:rFonts w:asciiTheme="minorBidi" w:hAnsiTheme="minorBidi"/>
          <w:sz w:val="24"/>
          <w:szCs w:val="24"/>
        </w:rPr>
      </w:pPr>
      <w:r w:rsidRPr="00C9260D">
        <w:rPr>
          <w:rFonts w:asciiTheme="minorBidi" w:hAnsiTheme="minorBidi"/>
          <w:sz w:val="24"/>
          <w:szCs w:val="24"/>
        </w:rPr>
        <w:t>Stephen B Calderwood, Allyson Bloom (</w:t>
      </w:r>
      <w:proofErr w:type="spellStart"/>
      <w:r w:rsidRPr="00C9260D">
        <w:rPr>
          <w:rFonts w:asciiTheme="minorBidi" w:hAnsiTheme="minorBidi"/>
          <w:sz w:val="24"/>
          <w:szCs w:val="24"/>
        </w:rPr>
        <w:t>eds</w:t>
      </w:r>
      <w:proofErr w:type="spellEnd"/>
      <w:r w:rsidRPr="00C9260D">
        <w:rPr>
          <w:rFonts w:asciiTheme="minorBidi" w:hAnsiTheme="minorBidi"/>
          <w:sz w:val="24"/>
          <w:szCs w:val="24"/>
        </w:rPr>
        <w:t xml:space="preserve">). </w:t>
      </w:r>
      <w:r w:rsidR="00E90896">
        <w:rPr>
          <w:rFonts w:asciiTheme="minorBidi" w:hAnsiTheme="minorBidi"/>
          <w:sz w:val="24"/>
          <w:szCs w:val="24"/>
        </w:rPr>
        <w:t>ASBU</w:t>
      </w:r>
      <w:r w:rsidRPr="00C9260D">
        <w:rPr>
          <w:rFonts w:asciiTheme="minorBidi" w:hAnsiTheme="minorBidi"/>
          <w:sz w:val="24"/>
          <w:szCs w:val="24"/>
        </w:rPr>
        <w:t xml:space="preserve"> in adults</w:t>
      </w:r>
      <w:r w:rsidRPr="00C9260D">
        <w:rPr>
          <w:rFonts w:asciiTheme="minorBidi" w:hAnsiTheme="minorBidi"/>
          <w:sz w:val="24"/>
          <w:szCs w:val="24"/>
          <w:lang w:val="en-GB"/>
        </w:rPr>
        <w:t xml:space="preserve">. </w:t>
      </w:r>
      <w:hyperlink r:id="rId11" w:anchor=":~:text=The%20term%20asymptomatic%20bacteriuria%20refers,urinary%20tract%20infection%20(UTI)" w:history="1">
        <w:r w:rsidR="00BD0FAC" w:rsidRPr="00CB3313">
          <w:rPr>
            <w:rStyle w:val="Hyperlink"/>
            <w:rFonts w:asciiTheme="minorBidi" w:hAnsiTheme="minorBidi"/>
            <w:sz w:val="24"/>
            <w:szCs w:val="24"/>
          </w:rPr>
          <w:t>https://www.uptodate.com/contents/asymptomatic-bacteriuria-in-adults#:~:text=The%20term%20asymptomatic%20bacteriuria%20refers,urinary%20tract%20infection%20(UTI)</w:t>
        </w:r>
      </w:hyperlink>
    </w:p>
    <w:p w:rsidR="00BD0FAC" w:rsidRDefault="00BD0FAC" w:rsidP="00BD0FAC">
      <w:pPr>
        <w:pStyle w:val="a5"/>
        <w:numPr>
          <w:ilvl w:val="0"/>
          <w:numId w:val="1"/>
        </w:numPr>
        <w:spacing w:line="360" w:lineRule="auto"/>
        <w:jc w:val="both"/>
        <w:rPr>
          <w:rFonts w:asciiTheme="minorBidi" w:hAnsiTheme="minorBidi"/>
          <w:sz w:val="24"/>
          <w:szCs w:val="24"/>
        </w:rPr>
      </w:pPr>
      <w:proofErr w:type="spellStart"/>
      <w:r w:rsidRPr="00BD0FAC">
        <w:rPr>
          <w:rFonts w:asciiTheme="minorBidi" w:hAnsiTheme="minorBidi"/>
          <w:sz w:val="24"/>
          <w:szCs w:val="24"/>
        </w:rPr>
        <w:t>Givler</w:t>
      </w:r>
      <w:proofErr w:type="spellEnd"/>
      <w:r w:rsidRPr="00BD0FAC">
        <w:rPr>
          <w:rFonts w:asciiTheme="minorBidi" w:hAnsiTheme="minorBidi"/>
          <w:sz w:val="24"/>
          <w:szCs w:val="24"/>
        </w:rPr>
        <w:t xml:space="preserve"> DN, </w:t>
      </w:r>
      <w:proofErr w:type="spellStart"/>
      <w:r w:rsidRPr="00BD0FAC">
        <w:rPr>
          <w:rFonts w:asciiTheme="minorBidi" w:hAnsiTheme="minorBidi"/>
          <w:sz w:val="24"/>
          <w:szCs w:val="24"/>
        </w:rPr>
        <w:t>Givler</w:t>
      </w:r>
      <w:proofErr w:type="spellEnd"/>
      <w:r w:rsidRPr="00BD0FAC">
        <w:rPr>
          <w:rFonts w:asciiTheme="minorBidi" w:hAnsiTheme="minorBidi"/>
          <w:sz w:val="24"/>
          <w:szCs w:val="24"/>
        </w:rPr>
        <w:t xml:space="preserve"> A. </w:t>
      </w:r>
      <w:r w:rsidR="00E90896">
        <w:rPr>
          <w:rFonts w:asciiTheme="minorBidi" w:hAnsiTheme="minorBidi"/>
          <w:sz w:val="24"/>
          <w:szCs w:val="24"/>
        </w:rPr>
        <w:t>ASBU</w:t>
      </w:r>
      <w:r w:rsidRPr="00BD0FAC">
        <w:rPr>
          <w:rFonts w:asciiTheme="minorBidi" w:hAnsiTheme="minorBidi"/>
          <w:sz w:val="24"/>
          <w:szCs w:val="24"/>
        </w:rPr>
        <w:t xml:space="preserve">. [Updated 2022 May 1]. In: </w:t>
      </w:r>
      <w:proofErr w:type="spellStart"/>
      <w:r w:rsidRPr="00BD0FAC">
        <w:rPr>
          <w:rFonts w:asciiTheme="minorBidi" w:hAnsiTheme="minorBidi"/>
          <w:sz w:val="24"/>
          <w:szCs w:val="24"/>
        </w:rPr>
        <w:t>StatPearls</w:t>
      </w:r>
      <w:proofErr w:type="spellEnd"/>
      <w:r w:rsidRPr="00BD0FAC">
        <w:rPr>
          <w:rFonts w:asciiTheme="minorBidi" w:hAnsiTheme="minorBidi"/>
          <w:sz w:val="24"/>
          <w:szCs w:val="24"/>
        </w:rPr>
        <w:t xml:space="preserve"> [Internet]. Treasure Island (FL): </w:t>
      </w:r>
      <w:proofErr w:type="spellStart"/>
      <w:r w:rsidRPr="00BD0FAC">
        <w:rPr>
          <w:rFonts w:asciiTheme="minorBidi" w:hAnsiTheme="minorBidi"/>
          <w:sz w:val="24"/>
          <w:szCs w:val="24"/>
        </w:rPr>
        <w:t>StatPearls</w:t>
      </w:r>
      <w:proofErr w:type="spellEnd"/>
      <w:r w:rsidRPr="00BD0FAC">
        <w:rPr>
          <w:rFonts w:asciiTheme="minorBidi" w:hAnsiTheme="minorBidi"/>
          <w:sz w:val="24"/>
          <w:szCs w:val="24"/>
        </w:rPr>
        <w:t xml:space="preserve"> Publishing; 2022 Jan-. Available from: </w:t>
      </w:r>
      <w:hyperlink r:id="rId12" w:history="1">
        <w:r w:rsidRPr="00CB3313">
          <w:rPr>
            <w:rStyle w:val="Hyperlink"/>
            <w:rFonts w:asciiTheme="minorBidi" w:hAnsiTheme="minorBidi"/>
            <w:sz w:val="24"/>
            <w:szCs w:val="24"/>
          </w:rPr>
          <w:t>https://www.ncbi.nlm.nih.gov/books/NBK441848/</w:t>
        </w:r>
      </w:hyperlink>
    </w:p>
    <w:p w:rsidR="00BD0FAC" w:rsidRDefault="00D05732" w:rsidP="00D05732">
      <w:pPr>
        <w:pStyle w:val="a5"/>
        <w:numPr>
          <w:ilvl w:val="0"/>
          <w:numId w:val="1"/>
        </w:numPr>
        <w:spacing w:line="360" w:lineRule="auto"/>
        <w:jc w:val="both"/>
        <w:rPr>
          <w:rFonts w:asciiTheme="minorBidi" w:hAnsiTheme="minorBidi"/>
          <w:sz w:val="24"/>
          <w:szCs w:val="24"/>
        </w:rPr>
      </w:pPr>
      <w:proofErr w:type="spellStart"/>
      <w:r w:rsidRPr="00D05732">
        <w:rPr>
          <w:rFonts w:asciiTheme="minorBidi" w:hAnsiTheme="minorBidi"/>
          <w:sz w:val="24"/>
          <w:szCs w:val="24"/>
        </w:rPr>
        <w:t>Bigotte</w:t>
      </w:r>
      <w:proofErr w:type="spellEnd"/>
      <w:r w:rsidRPr="00D05732">
        <w:rPr>
          <w:rFonts w:asciiTheme="minorBidi" w:hAnsiTheme="minorBidi"/>
          <w:sz w:val="24"/>
          <w:szCs w:val="24"/>
        </w:rPr>
        <w:t xml:space="preserve"> Vieira M, Alves M, Costa J, </w:t>
      </w:r>
      <w:proofErr w:type="spellStart"/>
      <w:r w:rsidRPr="00D05732">
        <w:rPr>
          <w:rFonts w:asciiTheme="minorBidi" w:hAnsiTheme="minorBidi"/>
          <w:sz w:val="24"/>
          <w:szCs w:val="24"/>
        </w:rPr>
        <w:t>Vaz-Carneiro</w:t>
      </w:r>
      <w:proofErr w:type="spellEnd"/>
      <w:r w:rsidRPr="00D05732">
        <w:rPr>
          <w:rFonts w:asciiTheme="minorBidi" w:hAnsiTheme="minorBidi"/>
          <w:sz w:val="24"/>
          <w:szCs w:val="24"/>
        </w:rPr>
        <w:t xml:space="preserve"> A. [Bacteriuria. Cochrane Database </w:t>
      </w:r>
      <w:proofErr w:type="spellStart"/>
      <w:r w:rsidRPr="00D05732">
        <w:rPr>
          <w:rFonts w:asciiTheme="minorBidi" w:hAnsiTheme="minorBidi"/>
          <w:sz w:val="24"/>
          <w:szCs w:val="24"/>
        </w:rPr>
        <w:t>Syst</w:t>
      </w:r>
      <w:proofErr w:type="spellEnd"/>
      <w:r w:rsidRPr="00D05732">
        <w:rPr>
          <w:rFonts w:asciiTheme="minorBidi" w:hAnsiTheme="minorBidi"/>
          <w:sz w:val="24"/>
          <w:szCs w:val="24"/>
        </w:rPr>
        <w:t xml:space="preserve"> Rev. 2015;4:CD009534.] </w:t>
      </w:r>
      <w:proofErr w:type="spellStart"/>
      <w:r w:rsidRPr="00D05732">
        <w:rPr>
          <w:rFonts w:asciiTheme="minorBidi" w:hAnsiTheme="minorBidi"/>
          <w:sz w:val="24"/>
          <w:szCs w:val="24"/>
        </w:rPr>
        <w:t>Acta</w:t>
      </w:r>
      <w:proofErr w:type="spellEnd"/>
      <w:r w:rsidRPr="00D05732">
        <w:rPr>
          <w:rFonts w:asciiTheme="minorBidi" w:hAnsiTheme="minorBidi"/>
          <w:sz w:val="24"/>
          <w:szCs w:val="24"/>
        </w:rPr>
        <w:t xml:space="preserve"> Med Port. 2018 Feb 28;31(2):</w:t>
      </w:r>
      <w:r>
        <w:rPr>
          <w:rFonts w:asciiTheme="minorBidi" w:hAnsiTheme="minorBidi"/>
          <w:sz w:val="24"/>
          <w:szCs w:val="24"/>
        </w:rPr>
        <w:t>76-79.</w:t>
      </w:r>
    </w:p>
    <w:p w:rsidR="00D05732" w:rsidRDefault="00D05732" w:rsidP="00D05732">
      <w:pPr>
        <w:pStyle w:val="a5"/>
        <w:numPr>
          <w:ilvl w:val="0"/>
          <w:numId w:val="1"/>
        </w:numPr>
        <w:spacing w:line="360" w:lineRule="auto"/>
        <w:jc w:val="both"/>
        <w:rPr>
          <w:rFonts w:asciiTheme="minorBidi" w:hAnsiTheme="minorBidi"/>
          <w:sz w:val="24"/>
          <w:szCs w:val="24"/>
        </w:rPr>
      </w:pPr>
      <w:proofErr w:type="spellStart"/>
      <w:r w:rsidRPr="00D05732">
        <w:rPr>
          <w:rFonts w:asciiTheme="minorBidi" w:hAnsiTheme="minorBidi"/>
          <w:sz w:val="24"/>
          <w:szCs w:val="24"/>
        </w:rPr>
        <w:t>Dahiya</w:t>
      </w:r>
      <w:proofErr w:type="spellEnd"/>
      <w:r w:rsidRPr="00D05732">
        <w:rPr>
          <w:rFonts w:asciiTheme="minorBidi" w:hAnsiTheme="minorBidi"/>
          <w:sz w:val="24"/>
          <w:szCs w:val="24"/>
        </w:rPr>
        <w:t xml:space="preserve"> A, Goldman RD. Management of </w:t>
      </w:r>
      <w:r w:rsidR="00E90896">
        <w:rPr>
          <w:rFonts w:asciiTheme="minorBidi" w:hAnsiTheme="minorBidi"/>
          <w:sz w:val="24"/>
          <w:szCs w:val="24"/>
        </w:rPr>
        <w:t>ASBU</w:t>
      </w:r>
      <w:r w:rsidRPr="00D05732">
        <w:rPr>
          <w:rFonts w:asciiTheme="minorBidi" w:hAnsiTheme="minorBidi"/>
          <w:sz w:val="24"/>
          <w:szCs w:val="24"/>
        </w:rPr>
        <w:t xml:space="preserve"> in children. Can Fam Physician. 2018 Nov;64(11):821-824.</w:t>
      </w:r>
    </w:p>
    <w:p w:rsidR="00FF0E38" w:rsidRDefault="00FF0E38" w:rsidP="00FF0E38">
      <w:pPr>
        <w:pStyle w:val="a5"/>
        <w:numPr>
          <w:ilvl w:val="0"/>
          <w:numId w:val="1"/>
        </w:numPr>
        <w:spacing w:line="360" w:lineRule="auto"/>
        <w:jc w:val="both"/>
        <w:rPr>
          <w:rFonts w:asciiTheme="minorBidi" w:hAnsiTheme="minorBidi"/>
          <w:sz w:val="24"/>
          <w:szCs w:val="24"/>
        </w:rPr>
      </w:pPr>
      <w:r w:rsidRPr="00FF0E38">
        <w:rPr>
          <w:rFonts w:asciiTheme="minorBidi" w:hAnsiTheme="minorBidi"/>
          <w:sz w:val="24"/>
          <w:szCs w:val="24"/>
        </w:rPr>
        <w:t xml:space="preserve">Moore A, </w:t>
      </w:r>
      <w:proofErr w:type="spellStart"/>
      <w:r w:rsidRPr="00FF0E38">
        <w:rPr>
          <w:rFonts w:asciiTheme="minorBidi" w:hAnsiTheme="minorBidi"/>
          <w:sz w:val="24"/>
          <w:szCs w:val="24"/>
        </w:rPr>
        <w:t>Doull</w:t>
      </w:r>
      <w:proofErr w:type="spellEnd"/>
      <w:r w:rsidRPr="00FF0E38">
        <w:rPr>
          <w:rFonts w:asciiTheme="minorBidi" w:hAnsiTheme="minorBidi"/>
          <w:sz w:val="24"/>
          <w:szCs w:val="24"/>
        </w:rPr>
        <w:t xml:space="preserve"> M, Grad R, </w:t>
      </w:r>
      <w:proofErr w:type="spellStart"/>
      <w:r w:rsidRPr="00FF0E38">
        <w:rPr>
          <w:rFonts w:asciiTheme="minorBidi" w:hAnsiTheme="minorBidi"/>
          <w:sz w:val="24"/>
          <w:szCs w:val="24"/>
        </w:rPr>
        <w:t>Groulx</w:t>
      </w:r>
      <w:proofErr w:type="spellEnd"/>
      <w:r w:rsidRPr="00FF0E38">
        <w:rPr>
          <w:rFonts w:asciiTheme="minorBidi" w:hAnsiTheme="minorBidi"/>
          <w:sz w:val="24"/>
          <w:szCs w:val="24"/>
        </w:rPr>
        <w:t xml:space="preserve"> S, </w:t>
      </w:r>
      <w:proofErr w:type="spellStart"/>
      <w:r w:rsidRPr="00FF0E38">
        <w:rPr>
          <w:rFonts w:asciiTheme="minorBidi" w:hAnsiTheme="minorBidi"/>
          <w:sz w:val="24"/>
          <w:szCs w:val="24"/>
        </w:rPr>
        <w:t>Pottie</w:t>
      </w:r>
      <w:proofErr w:type="spellEnd"/>
      <w:r w:rsidRPr="00FF0E38">
        <w:rPr>
          <w:rFonts w:asciiTheme="minorBidi" w:hAnsiTheme="minorBidi"/>
          <w:sz w:val="24"/>
          <w:szCs w:val="24"/>
        </w:rPr>
        <w:t xml:space="preserve"> K, Tonelli M, Courage S, Garcia AJ, </w:t>
      </w:r>
      <w:proofErr w:type="spellStart"/>
      <w:r w:rsidRPr="00FF0E38">
        <w:rPr>
          <w:rFonts w:asciiTheme="minorBidi" w:hAnsiTheme="minorBidi"/>
          <w:sz w:val="24"/>
          <w:szCs w:val="24"/>
        </w:rPr>
        <w:t>Thombs</w:t>
      </w:r>
      <w:proofErr w:type="spellEnd"/>
      <w:r w:rsidRPr="00FF0E38">
        <w:rPr>
          <w:rFonts w:asciiTheme="minorBidi" w:hAnsiTheme="minorBidi"/>
          <w:sz w:val="24"/>
          <w:szCs w:val="24"/>
        </w:rPr>
        <w:t xml:space="preserve"> BD., Canadian Task Force on Preventive Health Care. Recommendations on screening for </w:t>
      </w:r>
      <w:r w:rsidR="00E90896">
        <w:rPr>
          <w:rFonts w:asciiTheme="minorBidi" w:hAnsiTheme="minorBidi"/>
          <w:sz w:val="24"/>
          <w:szCs w:val="24"/>
        </w:rPr>
        <w:t>ASBU</w:t>
      </w:r>
      <w:r w:rsidRPr="00FF0E38">
        <w:rPr>
          <w:rFonts w:asciiTheme="minorBidi" w:hAnsiTheme="minorBidi"/>
          <w:sz w:val="24"/>
          <w:szCs w:val="24"/>
        </w:rPr>
        <w:t xml:space="preserve"> in pregnancy. CMAJ. 2018 Jul 09;190(27</w:t>
      </w:r>
      <w:proofErr w:type="gramStart"/>
      <w:r w:rsidRPr="00FF0E38">
        <w:rPr>
          <w:rFonts w:asciiTheme="minorBidi" w:hAnsiTheme="minorBidi"/>
          <w:sz w:val="24"/>
          <w:szCs w:val="24"/>
        </w:rPr>
        <w:t>):E</w:t>
      </w:r>
      <w:proofErr w:type="gramEnd"/>
      <w:r w:rsidRPr="00FF0E38">
        <w:rPr>
          <w:rFonts w:asciiTheme="minorBidi" w:hAnsiTheme="minorBidi"/>
          <w:sz w:val="24"/>
          <w:szCs w:val="24"/>
        </w:rPr>
        <w:t>823-E830.</w:t>
      </w:r>
    </w:p>
    <w:p w:rsidR="00FF0E38" w:rsidRDefault="00FF0E38" w:rsidP="00FF0E38">
      <w:pPr>
        <w:pStyle w:val="a5"/>
        <w:numPr>
          <w:ilvl w:val="0"/>
          <w:numId w:val="1"/>
        </w:numPr>
        <w:spacing w:line="360" w:lineRule="auto"/>
        <w:jc w:val="both"/>
        <w:rPr>
          <w:rFonts w:asciiTheme="minorBidi" w:hAnsiTheme="minorBidi"/>
          <w:sz w:val="24"/>
          <w:szCs w:val="24"/>
        </w:rPr>
      </w:pPr>
      <w:proofErr w:type="spellStart"/>
      <w:r w:rsidRPr="00FF0E38">
        <w:rPr>
          <w:rFonts w:asciiTheme="minorBidi" w:hAnsiTheme="minorBidi"/>
          <w:sz w:val="24"/>
          <w:szCs w:val="24"/>
        </w:rPr>
        <w:t>Eigbefoh</w:t>
      </w:r>
      <w:proofErr w:type="spellEnd"/>
      <w:r w:rsidRPr="00FF0E38">
        <w:rPr>
          <w:rFonts w:asciiTheme="minorBidi" w:hAnsiTheme="minorBidi"/>
          <w:sz w:val="24"/>
          <w:szCs w:val="24"/>
        </w:rPr>
        <w:t xml:space="preserve"> JO, </w:t>
      </w:r>
      <w:proofErr w:type="spellStart"/>
      <w:r w:rsidRPr="00FF0E38">
        <w:rPr>
          <w:rFonts w:asciiTheme="minorBidi" w:hAnsiTheme="minorBidi"/>
          <w:sz w:val="24"/>
          <w:szCs w:val="24"/>
        </w:rPr>
        <w:t>Isabu</w:t>
      </w:r>
      <w:proofErr w:type="spellEnd"/>
      <w:r w:rsidRPr="00FF0E38">
        <w:rPr>
          <w:rFonts w:asciiTheme="minorBidi" w:hAnsiTheme="minorBidi"/>
          <w:sz w:val="24"/>
          <w:szCs w:val="24"/>
        </w:rPr>
        <w:t xml:space="preserve"> P, </w:t>
      </w:r>
      <w:proofErr w:type="spellStart"/>
      <w:r w:rsidRPr="00FF0E38">
        <w:rPr>
          <w:rFonts w:asciiTheme="minorBidi" w:hAnsiTheme="minorBidi"/>
          <w:sz w:val="24"/>
          <w:szCs w:val="24"/>
        </w:rPr>
        <w:t>Okpere</w:t>
      </w:r>
      <w:proofErr w:type="spellEnd"/>
      <w:r w:rsidRPr="00FF0E38">
        <w:rPr>
          <w:rFonts w:asciiTheme="minorBidi" w:hAnsiTheme="minorBidi"/>
          <w:sz w:val="24"/>
          <w:szCs w:val="24"/>
        </w:rPr>
        <w:t xml:space="preserve"> E, </w:t>
      </w:r>
      <w:proofErr w:type="spellStart"/>
      <w:r w:rsidRPr="00FF0E38">
        <w:rPr>
          <w:rFonts w:asciiTheme="minorBidi" w:hAnsiTheme="minorBidi"/>
          <w:sz w:val="24"/>
          <w:szCs w:val="24"/>
        </w:rPr>
        <w:t>Abebe</w:t>
      </w:r>
      <w:proofErr w:type="spellEnd"/>
      <w:r w:rsidRPr="00FF0E38">
        <w:rPr>
          <w:rFonts w:asciiTheme="minorBidi" w:hAnsiTheme="minorBidi"/>
          <w:sz w:val="24"/>
          <w:szCs w:val="24"/>
        </w:rPr>
        <w:t xml:space="preserve"> J. The diagnostic accuracy of the rapid dipstick test to predict asymptomatic urinary tract infection of pregnancy. J </w:t>
      </w:r>
      <w:proofErr w:type="spellStart"/>
      <w:r w:rsidRPr="00FF0E38">
        <w:rPr>
          <w:rFonts w:asciiTheme="minorBidi" w:hAnsiTheme="minorBidi"/>
          <w:sz w:val="24"/>
          <w:szCs w:val="24"/>
        </w:rPr>
        <w:t>Obstet</w:t>
      </w:r>
      <w:proofErr w:type="spellEnd"/>
      <w:r w:rsidRPr="00FF0E38">
        <w:rPr>
          <w:rFonts w:asciiTheme="minorBidi" w:hAnsiTheme="minorBidi"/>
          <w:sz w:val="24"/>
          <w:szCs w:val="24"/>
        </w:rPr>
        <w:t xml:space="preserve"> </w:t>
      </w:r>
      <w:proofErr w:type="spellStart"/>
      <w:r w:rsidRPr="00FF0E38">
        <w:rPr>
          <w:rFonts w:asciiTheme="minorBidi" w:hAnsiTheme="minorBidi"/>
          <w:sz w:val="24"/>
          <w:szCs w:val="24"/>
        </w:rPr>
        <w:t>Gynaecol</w:t>
      </w:r>
      <w:proofErr w:type="spellEnd"/>
      <w:r w:rsidRPr="00FF0E38">
        <w:rPr>
          <w:rFonts w:asciiTheme="minorBidi" w:hAnsiTheme="minorBidi"/>
          <w:sz w:val="24"/>
          <w:szCs w:val="24"/>
        </w:rPr>
        <w:t xml:space="preserve">. 2008 Jul;28(5):490-5. </w:t>
      </w:r>
      <w:proofErr w:type="spellStart"/>
      <w:r w:rsidRPr="00FF0E38">
        <w:rPr>
          <w:rFonts w:asciiTheme="minorBidi" w:hAnsiTheme="minorBidi"/>
          <w:sz w:val="24"/>
          <w:szCs w:val="24"/>
        </w:rPr>
        <w:t>doi</w:t>
      </w:r>
      <w:proofErr w:type="spellEnd"/>
      <w:r w:rsidRPr="00FF0E38">
        <w:rPr>
          <w:rFonts w:asciiTheme="minorBidi" w:hAnsiTheme="minorBidi"/>
          <w:sz w:val="24"/>
          <w:szCs w:val="24"/>
        </w:rPr>
        <w:t>: 10.1080/01443610802196914. PMID: 18850421.</w:t>
      </w:r>
    </w:p>
    <w:p w:rsidR="00F84B11" w:rsidRDefault="00F84B11" w:rsidP="00F84B11">
      <w:pPr>
        <w:pStyle w:val="a5"/>
        <w:numPr>
          <w:ilvl w:val="0"/>
          <w:numId w:val="1"/>
        </w:numPr>
        <w:spacing w:line="360" w:lineRule="auto"/>
        <w:jc w:val="both"/>
        <w:rPr>
          <w:rFonts w:asciiTheme="minorBidi" w:hAnsiTheme="minorBidi"/>
          <w:sz w:val="24"/>
          <w:szCs w:val="24"/>
        </w:rPr>
      </w:pPr>
      <w:r w:rsidRPr="00F84B11">
        <w:rPr>
          <w:rFonts w:asciiTheme="minorBidi" w:hAnsiTheme="minorBidi"/>
          <w:sz w:val="24"/>
          <w:szCs w:val="24"/>
        </w:rPr>
        <w:t xml:space="preserve">Chu CM, </w:t>
      </w:r>
      <w:proofErr w:type="spellStart"/>
      <w:r w:rsidRPr="00F84B11">
        <w:rPr>
          <w:rFonts w:asciiTheme="minorBidi" w:hAnsiTheme="minorBidi"/>
          <w:sz w:val="24"/>
          <w:szCs w:val="24"/>
        </w:rPr>
        <w:t>Lowder</w:t>
      </w:r>
      <w:proofErr w:type="spellEnd"/>
      <w:r w:rsidRPr="00F84B11">
        <w:rPr>
          <w:rFonts w:asciiTheme="minorBidi" w:hAnsiTheme="minorBidi"/>
          <w:sz w:val="24"/>
          <w:szCs w:val="24"/>
        </w:rPr>
        <w:t xml:space="preserve"> JL. Diagnosis and treatment of urinary tract infections across age groups. Am J </w:t>
      </w:r>
      <w:proofErr w:type="spellStart"/>
      <w:r w:rsidRPr="00F84B11">
        <w:rPr>
          <w:rFonts w:asciiTheme="minorBidi" w:hAnsiTheme="minorBidi"/>
          <w:sz w:val="24"/>
          <w:szCs w:val="24"/>
        </w:rPr>
        <w:t>Obstet</w:t>
      </w:r>
      <w:proofErr w:type="spellEnd"/>
      <w:r w:rsidRPr="00F84B11">
        <w:rPr>
          <w:rFonts w:asciiTheme="minorBidi" w:hAnsiTheme="minorBidi"/>
          <w:sz w:val="24"/>
          <w:szCs w:val="24"/>
        </w:rPr>
        <w:t xml:space="preserve"> Gynecol. 2018 Jul;219(1):40-51. </w:t>
      </w:r>
      <w:proofErr w:type="spellStart"/>
      <w:r w:rsidRPr="00F84B11">
        <w:rPr>
          <w:rFonts w:asciiTheme="minorBidi" w:hAnsiTheme="minorBidi"/>
          <w:sz w:val="24"/>
          <w:szCs w:val="24"/>
        </w:rPr>
        <w:t>doi</w:t>
      </w:r>
      <w:proofErr w:type="spellEnd"/>
      <w:r w:rsidRPr="00F84B11">
        <w:rPr>
          <w:rFonts w:asciiTheme="minorBidi" w:hAnsiTheme="minorBidi"/>
          <w:sz w:val="24"/>
          <w:szCs w:val="24"/>
        </w:rPr>
        <w:t xml:space="preserve">: 10.1016/j.ajog.2017.12.231. </w:t>
      </w:r>
      <w:proofErr w:type="spellStart"/>
      <w:r w:rsidRPr="00F84B11">
        <w:rPr>
          <w:rFonts w:asciiTheme="minorBidi" w:hAnsiTheme="minorBidi"/>
          <w:sz w:val="24"/>
          <w:szCs w:val="24"/>
        </w:rPr>
        <w:t>Epub</w:t>
      </w:r>
      <w:proofErr w:type="spellEnd"/>
      <w:r w:rsidRPr="00F84B11">
        <w:rPr>
          <w:rFonts w:asciiTheme="minorBidi" w:hAnsiTheme="minorBidi"/>
          <w:sz w:val="24"/>
          <w:szCs w:val="24"/>
        </w:rPr>
        <w:t xml:space="preserve"> 2018 Jan 2. PMID: 29305250.</w:t>
      </w:r>
    </w:p>
    <w:p w:rsidR="00960AEF" w:rsidRPr="00613168" w:rsidRDefault="0046357A" w:rsidP="00613168">
      <w:pPr>
        <w:pStyle w:val="a5"/>
        <w:numPr>
          <w:ilvl w:val="0"/>
          <w:numId w:val="1"/>
        </w:numPr>
        <w:spacing w:line="360" w:lineRule="auto"/>
        <w:jc w:val="both"/>
        <w:rPr>
          <w:rFonts w:asciiTheme="minorBidi" w:hAnsiTheme="minorBidi"/>
          <w:sz w:val="24"/>
          <w:szCs w:val="24"/>
        </w:rPr>
      </w:pPr>
      <w:r w:rsidRPr="0046357A">
        <w:rPr>
          <w:rFonts w:asciiTheme="minorBidi" w:hAnsiTheme="minorBidi"/>
          <w:sz w:val="24"/>
          <w:szCs w:val="24"/>
        </w:rPr>
        <w:t>Andrea Green Hines MD, Mark E Rupp MD,</w:t>
      </w:r>
      <w:r>
        <w:rPr>
          <w:rFonts w:asciiTheme="minorBidi" w:hAnsiTheme="minorBidi"/>
          <w:sz w:val="24"/>
          <w:szCs w:val="24"/>
        </w:rPr>
        <w:t xml:space="preserve"> and Trevor C Van </w:t>
      </w:r>
      <w:proofErr w:type="spellStart"/>
      <w:r>
        <w:rPr>
          <w:rFonts w:asciiTheme="minorBidi" w:hAnsiTheme="minorBidi"/>
          <w:sz w:val="24"/>
          <w:szCs w:val="24"/>
        </w:rPr>
        <w:t>Schooneveld</w:t>
      </w:r>
      <w:proofErr w:type="spellEnd"/>
      <w:r>
        <w:rPr>
          <w:rFonts w:asciiTheme="minorBidi" w:hAnsiTheme="minorBidi"/>
          <w:sz w:val="24"/>
          <w:szCs w:val="24"/>
        </w:rPr>
        <w:t xml:space="preserve">. </w:t>
      </w:r>
      <w:r w:rsidRPr="0046357A">
        <w:rPr>
          <w:rFonts w:asciiTheme="minorBidi" w:hAnsiTheme="minorBidi"/>
          <w:sz w:val="24"/>
          <w:szCs w:val="24"/>
        </w:rPr>
        <w:t xml:space="preserve">Urinary Tract Infection and </w:t>
      </w:r>
      <w:r w:rsidR="00E90896">
        <w:rPr>
          <w:rFonts w:asciiTheme="minorBidi" w:hAnsiTheme="minorBidi"/>
          <w:sz w:val="24"/>
          <w:szCs w:val="24"/>
        </w:rPr>
        <w:t>ASBU</w:t>
      </w:r>
      <w:r>
        <w:rPr>
          <w:rFonts w:asciiTheme="minorBidi" w:hAnsiTheme="minorBidi"/>
          <w:sz w:val="24"/>
          <w:szCs w:val="24"/>
        </w:rPr>
        <w:t xml:space="preserve"> </w:t>
      </w:r>
      <w:r w:rsidRPr="0046357A">
        <w:rPr>
          <w:rFonts w:asciiTheme="minorBidi" w:hAnsiTheme="minorBidi"/>
          <w:sz w:val="24"/>
          <w:szCs w:val="24"/>
        </w:rPr>
        <w:t>Guidance.</w:t>
      </w:r>
      <w:r>
        <w:rPr>
          <w:rFonts w:asciiTheme="minorBidi" w:hAnsiTheme="minorBidi"/>
          <w:sz w:val="24"/>
          <w:szCs w:val="24"/>
        </w:rPr>
        <w:t xml:space="preserve"> </w:t>
      </w:r>
      <w:r w:rsidRPr="0046357A">
        <w:rPr>
          <w:rFonts w:asciiTheme="minorBidi" w:hAnsiTheme="minorBidi"/>
          <w:sz w:val="24"/>
          <w:szCs w:val="24"/>
        </w:rPr>
        <w:t>Nebraska Medical Center, July 2014</w:t>
      </w:r>
      <w:r>
        <w:rPr>
          <w:rFonts w:asciiTheme="minorBidi" w:hAnsiTheme="minorBidi"/>
          <w:sz w:val="24"/>
          <w:szCs w:val="24"/>
        </w:rPr>
        <w:t>.</w:t>
      </w:r>
      <w:r w:rsidRPr="0046357A">
        <w:rPr>
          <w:rFonts w:asciiTheme="minorBidi" w:hAnsiTheme="minorBidi"/>
          <w:sz w:val="24"/>
          <w:szCs w:val="24"/>
        </w:rPr>
        <w:t xml:space="preserve"> https://www.unmc.edu/intmed/divisions/id/asp/clinical-pathways/docs/uti-asbu-guidance-final.pdf</w:t>
      </w:r>
    </w:p>
    <w:sectPr w:rsidR="00960AEF" w:rsidRPr="00613168" w:rsidSect="00960AEF">
      <w:footerReference w:type="default" r:id="rId13"/>
      <w:pgSz w:w="12240" w:h="15840"/>
      <w:pgMar w:top="1440" w:right="1803" w:bottom="1440" w:left="1803"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EEA" w:rsidRDefault="00EB1EEA" w:rsidP="00960AEF">
      <w:pPr>
        <w:spacing w:after="0" w:line="240" w:lineRule="auto"/>
      </w:pPr>
      <w:r>
        <w:separator/>
      </w:r>
    </w:p>
  </w:endnote>
  <w:endnote w:type="continuationSeparator" w:id="0">
    <w:p w:rsidR="00EB1EEA" w:rsidRDefault="00EB1EEA" w:rsidP="00960A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3272420"/>
      <w:docPartObj>
        <w:docPartGallery w:val="Page Numbers (Bottom of Page)"/>
        <w:docPartUnique/>
      </w:docPartObj>
    </w:sdtPr>
    <w:sdtEndPr>
      <w:rPr>
        <w:noProof/>
      </w:rPr>
    </w:sdtEndPr>
    <w:sdtContent>
      <w:p w:rsidR="00A43350" w:rsidRDefault="00A43350">
        <w:pPr>
          <w:pStyle w:val="a4"/>
          <w:jc w:val="center"/>
        </w:pPr>
        <w:r>
          <w:fldChar w:fldCharType="begin"/>
        </w:r>
        <w:r>
          <w:instrText xml:space="preserve"> PAGE   \* MERGEFORMAT </w:instrText>
        </w:r>
        <w:r>
          <w:fldChar w:fldCharType="separate"/>
        </w:r>
        <w:r w:rsidR="00013A9A">
          <w:rPr>
            <w:noProof/>
          </w:rPr>
          <w:t>12</w:t>
        </w:r>
        <w:r>
          <w:rPr>
            <w:noProof/>
          </w:rPr>
          <w:fldChar w:fldCharType="end"/>
        </w:r>
      </w:p>
    </w:sdtContent>
  </w:sdt>
  <w:p w:rsidR="00A43350" w:rsidRDefault="00A43350">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EEA" w:rsidRDefault="00EB1EEA" w:rsidP="00960AEF">
      <w:pPr>
        <w:spacing w:after="0" w:line="240" w:lineRule="auto"/>
      </w:pPr>
      <w:r>
        <w:separator/>
      </w:r>
    </w:p>
  </w:footnote>
  <w:footnote w:type="continuationSeparator" w:id="0">
    <w:p w:rsidR="00EB1EEA" w:rsidRDefault="00EB1EEA" w:rsidP="00960A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5E6D5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37351F8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37A2098B"/>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3EFE4B99"/>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47582CA6"/>
    <w:multiLevelType w:val="hybridMultilevel"/>
    <w:tmpl w:val="14183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276BF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620A58C8"/>
    <w:multiLevelType w:val="hybridMultilevel"/>
    <w:tmpl w:val="B7BAE8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2"/>
  </w:num>
  <w:num w:numId="4">
    <w:abstractNumId w:val="3"/>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D7D"/>
    <w:rsid w:val="00013A9A"/>
    <w:rsid w:val="00022A4B"/>
    <w:rsid w:val="00184070"/>
    <w:rsid w:val="00191776"/>
    <w:rsid w:val="001F03B9"/>
    <w:rsid w:val="00240670"/>
    <w:rsid w:val="00262ECB"/>
    <w:rsid w:val="00294189"/>
    <w:rsid w:val="00343EEC"/>
    <w:rsid w:val="0046357A"/>
    <w:rsid w:val="0050352B"/>
    <w:rsid w:val="0053025A"/>
    <w:rsid w:val="00551358"/>
    <w:rsid w:val="00584CBE"/>
    <w:rsid w:val="00613168"/>
    <w:rsid w:val="006B5BF6"/>
    <w:rsid w:val="006B6C03"/>
    <w:rsid w:val="0074484C"/>
    <w:rsid w:val="00775701"/>
    <w:rsid w:val="00807D7D"/>
    <w:rsid w:val="0087628D"/>
    <w:rsid w:val="008B0DB7"/>
    <w:rsid w:val="008B60BF"/>
    <w:rsid w:val="008E11E8"/>
    <w:rsid w:val="00910E33"/>
    <w:rsid w:val="00960AEF"/>
    <w:rsid w:val="00963A98"/>
    <w:rsid w:val="00963CD1"/>
    <w:rsid w:val="009E40EF"/>
    <w:rsid w:val="00A43350"/>
    <w:rsid w:val="00AF7315"/>
    <w:rsid w:val="00B022FD"/>
    <w:rsid w:val="00B60FC0"/>
    <w:rsid w:val="00BD0FAC"/>
    <w:rsid w:val="00C13498"/>
    <w:rsid w:val="00C9260D"/>
    <w:rsid w:val="00CE10E1"/>
    <w:rsid w:val="00D05732"/>
    <w:rsid w:val="00D36BC5"/>
    <w:rsid w:val="00DC4953"/>
    <w:rsid w:val="00E112BB"/>
    <w:rsid w:val="00E61757"/>
    <w:rsid w:val="00E90896"/>
    <w:rsid w:val="00EB1EEA"/>
    <w:rsid w:val="00F84B11"/>
    <w:rsid w:val="00FC457C"/>
    <w:rsid w:val="00FD4352"/>
    <w:rsid w:val="00FF0E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18D16"/>
  <w15:chartTrackingRefBased/>
  <w15:docId w15:val="{C9058CAA-AD99-4CD1-950A-BB7384F21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0AEF"/>
    <w:pPr>
      <w:tabs>
        <w:tab w:val="center" w:pos="4680"/>
        <w:tab w:val="right" w:pos="9360"/>
      </w:tabs>
      <w:spacing w:after="0" w:line="240" w:lineRule="auto"/>
    </w:pPr>
  </w:style>
  <w:style w:type="character" w:customStyle="1" w:styleId="Char">
    <w:name w:val="رأس الصفحة Char"/>
    <w:basedOn w:val="a0"/>
    <w:link w:val="a3"/>
    <w:uiPriority w:val="99"/>
    <w:rsid w:val="00960AEF"/>
  </w:style>
  <w:style w:type="paragraph" w:styleId="a4">
    <w:name w:val="footer"/>
    <w:basedOn w:val="a"/>
    <w:link w:val="Char0"/>
    <w:uiPriority w:val="99"/>
    <w:unhideWhenUsed/>
    <w:rsid w:val="00960AEF"/>
    <w:pPr>
      <w:tabs>
        <w:tab w:val="center" w:pos="4680"/>
        <w:tab w:val="right" w:pos="9360"/>
      </w:tabs>
      <w:spacing w:after="0" w:line="240" w:lineRule="auto"/>
    </w:pPr>
  </w:style>
  <w:style w:type="character" w:customStyle="1" w:styleId="Char0">
    <w:name w:val="تذييل الصفحة Char"/>
    <w:basedOn w:val="a0"/>
    <w:link w:val="a4"/>
    <w:uiPriority w:val="99"/>
    <w:rsid w:val="00960AEF"/>
  </w:style>
  <w:style w:type="character" w:styleId="Hyperlink">
    <w:name w:val="Hyperlink"/>
    <w:basedOn w:val="a0"/>
    <w:uiPriority w:val="99"/>
    <w:unhideWhenUsed/>
    <w:rsid w:val="00294189"/>
    <w:rPr>
      <w:color w:val="0563C1" w:themeColor="hyperlink"/>
      <w:u w:val="single"/>
    </w:rPr>
  </w:style>
  <w:style w:type="paragraph" w:styleId="a5">
    <w:name w:val="List Paragraph"/>
    <w:basedOn w:val="a"/>
    <w:uiPriority w:val="34"/>
    <w:qFormat/>
    <w:rsid w:val="00294189"/>
    <w:pPr>
      <w:ind w:left="720"/>
      <w:contextualSpacing/>
    </w:pPr>
  </w:style>
  <w:style w:type="character" w:styleId="a6">
    <w:name w:val="FollowedHyperlink"/>
    <w:basedOn w:val="a0"/>
    <w:uiPriority w:val="99"/>
    <w:semiHidden/>
    <w:unhideWhenUsed/>
    <w:rsid w:val="00BD0F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770014">
      <w:bodyDiv w:val="1"/>
      <w:marLeft w:val="0"/>
      <w:marRight w:val="0"/>
      <w:marTop w:val="0"/>
      <w:marBottom w:val="0"/>
      <w:divBdr>
        <w:top w:val="none" w:sz="0" w:space="0" w:color="auto"/>
        <w:left w:val="none" w:sz="0" w:space="0" w:color="auto"/>
        <w:bottom w:val="none" w:sz="0" w:space="0" w:color="auto"/>
        <w:right w:val="none" w:sz="0" w:space="0" w:color="auto"/>
      </w:divBdr>
    </w:div>
    <w:div w:id="407266290">
      <w:bodyDiv w:val="1"/>
      <w:marLeft w:val="0"/>
      <w:marRight w:val="0"/>
      <w:marTop w:val="0"/>
      <w:marBottom w:val="0"/>
      <w:divBdr>
        <w:top w:val="none" w:sz="0" w:space="0" w:color="auto"/>
        <w:left w:val="none" w:sz="0" w:space="0" w:color="auto"/>
        <w:bottom w:val="none" w:sz="0" w:space="0" w:color="auto"/>
        <w:right w:val="none" w:sz="0" w:space="0" w:color="auto"/>
      </w:divBdr>
    </w:div>
    <w:div w:id="822353540">
      <w:bodyDiv w:val="1"/>
      <w:marLeft w:val="0"/>
      <w:marRight w:val="0"/>
      <w:marTop w:val="0"/>
      <w:marBottom w:val="0"/>
      <w:divBdr>
        <w:top w:val="none" w:sz="0" w:space="0" w:color="auto"/>
        <w:left w:val="none" w:sz="0" w:space="0" w:color="auto"/>
        <w:bottom w:val="none" w:sz="0" w:space="0" w:color="auto"/>
        <w:right w:val="none" w:sz="0" w:space="0" w:color="auto"/>
      </w:divBdr>
    </w:div>
    <w:div w:id="1092121430">
      <w:bodyDiv w:val="1"/>
      <w:marLeft w:val="0"/>
      <w:marRight w:val="0"/>
      <w:marTop w:val="0"/>
      <w:marBottom w:val="0"/>
      <w:divBdr>
        <w:top w:val="none" w:sz="0" w:space="0" w:color="auto"/>
        <w:left w:val="none" w:sz="0" w:space="0" w:color="auto"/>
        <w:bottom w:val="none" w:sz="0" w:space="0" w:color="auto"/>
        <w:right w:val="none" w:sz="0" w:space="0" w:color="auto"/>
      </w:divBdr>
    </w:div>
    <w:div w:id="1511527878">
      <w:bodyDiv w:val="1"/>
      <w:marLeft w:val="0"/>
      <w:marRight w:val="0"/>
      <w:marTop w:val="0"/>
      <w:marBottom w:val="0"/>
      <w:divBdr>
        <w:top w:val="none" w:sz="0" w:space="0" w:color="auto"/>
        <w:left w:val="none" w:sz="0" w:space="0" w:color="auto"/>
        <w:bottom w:val="none" w:sz="0" w:space="0" w:color="auto"/>
        <w:right w:val="none" w:sz="0" w:space="0" w:color="auto"/>
      </w:divBdr>
      <w:divsChild>
        <w:div w:id="1770153546">
          <w:marLeft w:val="0"/>
          <w:marRight w:val="0"/>
          <w:marTop w:val="0"/>
          <w:marBottom w:val="120"/>
          <w:divBdr>
            <w:top w:val="none" w:sz="0" w:space="0" w:color="auto"/>
            <w:left w:val="none" w:sz="0" w:space="0" w:color="auto"/>
            <w:bottom w:val="none" w:sz="0" w:space="0" w:color="auto"/>
            <w:right w:val="none" w:sz="0" w:space="0" w:color="auto"/>
          </w:divBdr>
        </w:div>
      </w:divsChild>
    </w:div>
    <w:div w:id="1649433949">
      <w:bodyDiv w:val="1"/>
      <w:marLeft w:val="0"/>
      <w:marRight w:val="0"/>
      <w:marTop w:val="0"/>
      <w:marBottom w:val="0"/>
      <w:divBdr>
        <w:top w:val="none" w:sz="0" w:space="0" w:color="auto"/>
        <w:left w:val="none" w:sz="0" w:space="0" w:color="auto"/>
        <w:bottom w:val="none" w:sz="0" w:space="0" w:color="auto"/>
        <w:right w:val="none" w:sz="0" w:space="0" w:color="auto"/>
      </w:divBdr>
    </w:div>
    <w:div w:id="1998025676">
      <w:bodyDiv w:val="1"/>
      <w:marLeft w:val="0"/>
      <w:marRight w:val="0"/>
      <w:marTop w:val="0"/>
      <w:marBottom w:val="0"/>
      <w:divBdr>
        <w:top w:val="none" w:sz="0" w:space="0" w:color="auto"/>
        <w:left w:val="none" w:sz="0" w:space="0" w:color="auto"/>
        <w:bottom w:val="none" w:sz="0" w:space="0" w:color="auto"/>
        <w:right w:val="none" w:sz="0" w:space="0" w:color="auto"/>
      </w:divBdr>
      <w:divsChild>
        <w:div w:id="211885847">
          <w:marLeft w:val="0"/>
          <w:marRight w:val="0"/>
          <w:marTop w:val="0"/>
          <w:marBottom w:val="0"/>
          <w:divBdr>
            <w:top w:val="none" w:sz="0" w:space="0" w:color="auto"/>
            <w:left w:val="none" w:sz="0" w:space="0" w:color="auto"/>
            <w:bottom w:val="none" w:sz="0" w:space="0" w:color="auto"/>
            <w:right w:val="none" w:sz="0" w:space="0" w:color="auto"/>
          </w:divBdr>
        </w:div>
        <w:div w:id="936249320">
          <w:marLeft w:val="0"/>
          <w:marRight w:val="0"/>
          <w:marTop w:val="0"/>
          <w:marBottom w:val="0"/>
          <w:divBdr>
            <w:top w:val="none" w:sz="0" w:space="0" w:color="auto"/>
            <w:left w:val="none" w:sz="0" w:space="0" w:color="auto"/>
            <w:bottom w:val="none" w:sz="0" w:space="0" w:color="auto"/>
            <w:right w:val="none" w:sz="0" w:space="0" w:color="auto"/>
          </w:divBdr>
        </w:div>
        <w:div w:id="1349983800">
          <w:marLeft w:val="0"/>
          <w:marRight w:val="0"/>
          <w:marTop w:val="0"/>
          <w:marBottom w:val="0"/>
          <w:divBdr>
            <w:top w:val="none" w:sz="0" w:space="0" w:color="auto"/>
            <w:left w:val="none" w:sz="0" w:space="0" w:color="auto"/>
            <w:bottom w:val="none" w:sz="0" w:space="0" w:color="auto"/>
            <w:right w:val="none" w:sz="0" w:space="0" w:color="auto"/>
          </w:divBdr>
        </w:div>
        <w:div w:id="1576821450">
          <w:marLeft w:val="0"/>
          <w:marRight w:val="0"/>
          <w:marTop w:val="0"/>
          <w:marBottom w:val="0"/>
          <w:divBdr>
            <w:top w:val="none" w:sz="0" w:space="0" w:color="auto"/>
            <w:left w:val="none" w:sz="0" w:space="0" w:color="auto"/>
            <w:bottom w:val="none" w:sz="0" w:space="0" w:color="auto"/>
            <w:right w:val="none" w:sz="0" w:space="0" w:color="auto"/>
          </w:divBdr>
        </w:div>
      </w:divsChild>
    </w:div>
    <w:div w:id="2026010941">
      <w:bodyDiv w:val="1"/>
      <w:marLeft w:val="0"/>
      <w:marRight w:val="0"/>
      <w:marTop w:val="0"/>
      <w:marBottom w:val="0"/>
      <w:divBdr>
        <w:top w:val="none" w:sz="0" w:space="0" w:color="auto"/>
        <w:left w:val="none" w:sz="0" w:space="0" w:color="auto"/>
        <w:bottom w:val="none" w:sz="0" w:space="0" w:color="auto"/>
        <w:right w:val="none" w:sz="0" w:space="0" w:color="auto"/>
      </w:divBdr>
      <w:divsChild>
        <w:div w:id="567423172">
          <w:marLeft w:val="0"/>
          <w:marRight w:val="0"/>
          <w:marTop w:val="0"/>
          <w:marBottom w:val="120"/>
          <w:divBdr>
            <w:top w:val="none" w:sz="0" w:space="0" w:color="auto"/>
            <w:left w:val="none" w:sz="0" w:space="0" w:color="auto"/>
            <w:bottom w:val="none" w:sz="0" w:space="0" w:color="auto"/>
            <w:right w:val="none" w:sz="0" w:space="0" w:color="auto"/>
          </w:divBdr>
        </w:div>
      </w:divsChild>
    </w:div>
    <w:div w:id="2110421348">
      <w:bodyDiv w:val="1"/>
      <w:marLeft w:val="0"/>
      <w:marRight w:val="0"/>
      <w:marTop w:val="0"/>
      <w:marBottom w:val="0"/>
      <w:divBdr>
        <w:top w:val="none" w:sz="0" w:space="0" w:color="auto"/>
        <w:left w:val="none" w:sz="0" w:space="0" w:color="auto"/>
        <w:bottom w:val="none" w:sz="0" w:space="0" w:color="auto"/>
        <w:right w:val="none" w:sz="0" w:space="0" w:color="auto"/>
      </w:divBdr>
      <w:divsChild>
        <w:div w:id="1151750807">
          <w:marLeft w:val="0"/>
          <w:marRight w:val="0"/>
          <w:marTop w:val="0"/>
          <w:marBottom w:val="120"/>
          <w:divBdr>
            <w:top w:val="none" w:sz="0" w:space="0" w:color="auto"/>
            <w:left w:val="none" w:sz="0" w:space="0" w:color="auto"/>
            <w:bottom w:val="none" w:sz="0" w:space="0" w:color="auto"/>
            <w:right w:val="none" w:sz="0" w:space="0" w:color="auto"/>
          </w:divBdr>
        </w:div>
      </w:divsChild>
    </w:div>
    <w:div w:id="2132044520">
      <w:bodyDiv w:val="1"/>
      <w:marLeft w:val="0"/>
      <w:marRight w:val="0"/>
      <w:marTop w:val="0"/>
      <w:marBottom w:val="0"/>
      <w:divBdr>
        <w:top w:val="none" w:sz="0" w:space="0" w:color="auto"/>
        <w:left w:val="none" w:sz="0" w:space="0" w:color="auto"/>
        <w:bottom w:val="none" w:sz="0" w:space="0" w:color="auto"/>
        <w:right w:val="none" w:sz="0" w:space="0" w:color="auto"/>
      </w:divBdr>
      <w:divsChild>
        <w:div w:id="1472945">
          <w:marLeft w:val="0"/>
          <w:marRight w:val="0"/>
          <w:marTop w:val="0"/>
          <w:marBottom w:val="0"/>
          <w:divBdr>
            <w:top w:val="none" w:sz="0" w:space="0" w:color="auto"/>
            <w:left w:val="none" w:sz="0" w:space="0" w:color="auto"/>
            <w:bottom w:val="none" w:sz="0" w:space="0" w:color="auto"/>
            <w:right w:val="none" w:sz="0" w:space="0" w:color="auto"/>
          </w:divBdr>
        </w:div>
        <w:div w:id="938491922">
          <w:marLeft w:val="0"/>
          <w:marRight w:val="0"/>
          <w:marTop w:val="0"/>
          <w:marBottom w:val="0"/>
          <w:divBdr>
            <w:top w:val="none" w:sz="0" w:space="0" w:color="auto"/>
            <w:left w:val="none" w:sz="0" w:space="0" w:color="auto"/>
            <w:bottom w:val="none" w:sz="0" w:space="0" w:color="auto"/>
            <w:right w:val="none" w:sz="0" w:space="0" w:color="auto"/>
          </w:divBdr>
        </w:div>
        <w:div w:id="18107101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books/NBK44184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ptodate.com/contents/asymptomatic-bacteriuria-in-adult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26734940944881891"/>
          <c:y val="2.8026597055183608E-2"/>
          <c:w val="0.57122033852911247"/>
          <c:h val="0.97197340294481638"/>
        </c:manualLayout>
      </c:layout>
      <c:pieChart>
        <c:varyColors val="1"/>
        <c:ser>
          <c:idx val="0"/>
          <c:order val="0"/>
          <c:tx>
            <c:strRef>
              <c:f>ورقة1!$B$1</c:f>
              <c:strCache>
                <c:ptCount val="1"/>
                <c:pt idx="0">
                  <c:v>المبيعات</c:v>
                </c:pt>
              </c:strCache>
            </c:strRef>
          </c:tx>
          <c:explosion val="1"/>
          <c:dPt>
            <c:idx val="0"/>
            <c:bubble3D val="0"/>
            <c:explosion val="0"/>
            <c:spPr>
              <a:solidFill>
                <a:schemeClr val="accent1">
                  <a:shade val="58000"/>
                </a:schemeClr>
              </a:solidFill>
              <a:ln w="19050">
                <a:solidFill>
                  <a:schemeClr val="lt1"/>
                </a:solidFill>
              </a:ln>
              <a:effectLst/>
            </c:spPr>
            <c:extLst>
              <c:ext xmlns:c16="http://schemas.microsoft.com/office/drawing/2014/chart" uri="{C3380CC4-5D6E-409C-BE32-E72D297353CC}">
                <c16:uniqueId val="{00000001-B87A-4178-B62E-110F6BD657B9}"/>
              </c:ext>
            </c:extLst>
          </c:dPt>
          <c:dPt>
            <c:idx val="1"/>
            <c:bubble3D val="0"/>
            <c:explosion val="0"/>
            <c:spPr>
              <a:solidFill>
                <a:schemeClr val="accent1">
                  <a:shade val="86000"/>
                </a:schemeClr>
              </a:solidFill>
              <a:ln w="19050">
                <a:solidFill>
                  <a:schemeClr val="lt1"/>
                </a:solidFill>
              </a:ln>
              <a:effectLst/>
            </c:spPr>
            <c:extLst>
              <c:ext xmlns:c16="http://schemas.microsoft.com/office/drawing/2014/chart" uri="{C3380CC4-5D6E-409C-BE32-E72D297353CC}">
                <c16:uniqueId val="{00000003-B87A-4178-B62E-110F6BD657B9}"/>
              </c:ext>
            </c:extLst>
          </c:dPt>
          <c:dPt>
            <c:idx val="2"/>
            <c:bubble3D val="0"/>
            <c:explosion val="0"/>
            <c:spPr>
              <a:solidFill>
                <a:schemeClr val="accent1">
                  <a:tint val="86000"/>
                </a:schemeClr>
              </a:solidFill>
              <a:ln w="19050">
                <a:solidFill>
                  <a:schemeClr val="lt1"/>
                </a:solidFill>
              </a:ln>
              <a:effectLst/>
            </c:spPr>
            <c:extLst>
              <c:ext xmlns:c16="http://schemas.microsoft.com/office/drawing/2014/chart" uri="{C3380CC4-5D6E-409C-BE32-E72D297353CC}">
                <c16:uniqueId val="{00000005-B87A-4178-B62E-110F6BD657B9}"/>
              </c:ext>
            </c:extLst>
          </c:dPt>
          <c:dPt>
            <c:idx val="3"/>
            <c:bubble3D val="0"/>
            <c:spPr>
              <a:solidFill>
                <a:schemeClr val="accent1">
                  <a:tint val="58000"/>
                </a:schemeClr>
              </a:solidFill>
              <a:ln w="19050">
                <a:solidFill>
                  <a:schemeClr val="lt1"/>
                </a:solidFill>
              </a:ln>
              <a:effectLst/>
            </c:spPr>
            <c:extLst>
              <c:ext xmlns:c16="http://schemas.microsoft.com/office/drawing/2014/chart" uri="{C3380CC4-5D6E-409C-BE32-E72D297353CC}">
                <c16:uniqueId val="{00000007-B87A-4178-B62E-110F6BD657B9}"/>
              </c:ext>
            </c:extLst>
          </c:dPt>
          <c:dLbls>
            <c:dLbl>
              <c:idx val="0"/>
              <c:layout>
                <c:manualLayout>
                  <c:x val="-0.15507915809886821"/>
                  <c:y val="0.16257004676445902"/>
                </c:manualLayout>
              </c:layout>
              <c:tx>
                <c:rich>
                  <a:bodyPr/>
                  <a:lstStyle/>
                  <a:p>
                    <a:fld id="{D674E9F7-022D-4AD5-9EAE-3DBFC1008A5D}" type="CATEGORYNAME">
                      <a:rPr lang="en-US" sz="2000"/>
                      <a:pPr/>
                      <a:t>[اسم الفئة]</a:t>
                    </a:fld>
                    <a:r>
                      <a:rPr lang="en-US" sz="2000" baseline="0" dirty="0"/>
                      <a:t>
</a:t>
                    </a:r>
                    <a:fld id="{118A9D0F-B1C6-4733-BCEF-AA651D10FFE7}" type="PERCENTAGE">
                      <a:rPr lang="en-US" sz="2000" baseline="0"/>
                      <a:pPr/>
                      <a:t>[النسبة المئوية]</a:t>
                    </a:fld>
                    <a:endParaRPr lang="en-US" sz="2000" baseline="0" dirty="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87A-4178-B62E-110F6BD657B9}"/>
                </c:ext>
              </c:extLst>
            </c:dLbl>
            <c:dLbl>
              <c:idx val="1"/>
              <c:layout>
                <c:manualLayout>
                  <c:x val="7.5888543390674815E-2"/>
                  <c:y val="-0.2329709420840162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D87F242-A1CA-4E65-B3BB-10F639E73208}" type="CATEGORYNAME">
                      <a:rPr lang="en-US" sz="2000"/>
                      <a:pPr>
                        <a:defRPr/>
                      </a:pPr>
                      <a:t>[اسم الفئة]</a:t>
                    </a:fld>
                    <a:r>
                      <a:rPr lang="en-US" sz="2000"/>
                      <a:t>
</a:t>
                    </a:r>
                    <a:fld id="{370276FA-6BC1-488D-BC68-3AD54E93D0C5}" type="PERCENTAGE">
                      <a:rPr lang="en-US" sz="2000"/>
                      <a:pPr>
                        <a:defRPr/>
                      </a:pPr>
                      <a:t>[النسبة المئوية]</a:t>
                    </a:fld>
                    <a:endParaRPr lang="en-US" sz="2000"/>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18238845144356952"/>
                      <c:h val="0.1995600676818951"/>
                    </c:manualLayout>
                  </c15:layout>
                  <c15:dlblFieldTable/>
                  <c15:showDataLabelsRange val="0"/>
                </c:ext>
                <c:ext xmlns:c16="http://schemas.microsoft.com/office/drawing/2014/chart" uri="{C3380CC4-5D6E-409C-BE32-E72D297353CC}">
                  <c16:uniqueId val="{00000003-B87A-4178-B62E-110F6BD657B9}"/>
                </c:ext>
              </c:extLst>
            </c:dLbl>
            <c:dLbl>
              <c:idx val="2"/>
              <c:layout>
                <c:manualLayout>
                  <c:x val="0.1205974890081415"/>
                  <c:y val="9.301211079579517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585243B2-94A1-49AA-A222-3179AFB5CFA3}" type="CATEGORYNAME">
                      <a:rPr lang="en-US" sz="1800"/>
                      <a:pPr>
                        <a:defRPr/>
                      </a:pPr>
                      <a:t>[اسم الفئة]</a:t>
                    </a:fld>
                    <a:r>
                      <a:rPr lang="en-US" sz="1800" baseline="0" dirty="0"/>
                      <a:t>
</a:t>
                    </a:r>
                    <a:fld id="{CCD8D499-8792-4B8A-9F8E-409333D6FB0E}" type="PERCENTAGE">
                      <a:rPr lang="en-US" sz="1800" baseline="0"/>
                      <a:pPr>
                        <a:defRPr/>
                      </a:pPr>
                      <a:t>[النسبة المئوية]</a:t>
                    </a:fld>
                    <a:endParaRPr lang="en-US" sz="1800" baseline="0" dirty="0"/>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16173469387755102"/>
                      <c:h val="0.27580046796917612"/>
                    </c:manualLayout>
                  </c15:layout>
                  <c15:dlblFieldTable/>
                  <c15:showDataLabelsRange val="0"/>
                </c:ext>
                <c:ext xmlns:c16="http://schemas.microsoft.com/office/drawing/2014/chart" uri="{C3380CC4-5D6E-409C-BE32-E72D297353CC}">
                  <c16:uniqueId val="{00000005-B87A-4178-B62E-110F6BD657B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ورقة1!$A$2:$A$5</c:f>
              <c:strCache>
                <c:ptCount val="3"/>
                <c:pt idx="0">
                  <c:v>no growth </c:v>
                </c:pt>
                <c:pt idx="1">
                  <c:v>over all</c:v>
                </c:pt>
                <c:pt idx="2">
                  <c:v>significal growth </c:v>
                </c:pt>
              </c:strCache>
            </c:strRef>
          </c:cat>
          <c:val>
            <c:numRef>
              <c:f>ورقة1!$B$2:$B$5</c:f>
              <c:numCache>
                <c:formatCode>General</c:formatCode>
                <c:ptCount val="4"/>
                <c:pt idx="0">
                  <c:v>2</c:v>
                </c:pt>
                <c:pt idx="1">
                  <c:v>8</c:v>
                </c:pt>
                <c:pt idx="2">
                  <c:v>1.4</c:v>
                </c:pt>
              </c:numCache>
            </c:numRef>
          </c:val>
          <c:extLst>
            <c:ext xmlns:c16="http://schemas.microsoft.com/office/drawing/2014/chart" uri="{C3380CC4-5D6E-409C-BE32-E72D297353CC}">
              <c16:uniqueId val="{00000008-B87A-4178-B62E-110F6BD657B9}"/>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0.02892</cdr:x>
      <cdr:y>0.20347</cdr:y>
    </cdr:from>
    <cdr:to>
      <cdr:x>0.26467</cdr:x>
      <cdr:y>0.3643</cdr:y>
    </cdr:to>
    <cdr:sp macro="" textlink="">
      <cdr:nvSpPr>
        <cdr:cNvPr id="3" name="مستطيل 2"/>
        <cdr:cNvSpPr/>
      </cdr:nvSpPr>
      <cdr:spPr>
        <a:xfrm xmlns:a="http://schemas.openxmlformats.org/drawingml/2006/main">
          <a:off x="172770" y="714366"/>
          <a:ext cx="1408380" cy="564660"/>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2400" dirty="0" smtClean="0"/>
            <a:t>Graphs 1 </a:t>
          </a:r>
          <a:endParaRPr lang="en-US" sz="2400" dirty="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2CBEB-B5F8-449B-84B0-44B6D9ECB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13</Pages>
  <Words>2391</Words>
  <Characters>13632</Characters>
  <Application>Microsoft Office Word</Application>
  <DocSecurity>0</DocSecurity>
  <Lines>113</Lines>
  <Paragraphs>31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LENOVO</cp:lastModifiedBy>
  <cp:revision>13</cp:revision>
  <dcterms:created xsi:type="dcterms:W3CDTF">2022-06-18T20:00:00Z</dcterms:created>
  <dcterms:modified xsi:type="dcterms:W3CDTF">2022-06-19T17:02:00Z</dcterms:modified>
</cp:coreProperties>
</file>