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05B76" w:rsidRPr="006C2CCC" w:rsidRDefault="009C566D" w:rsidP="00F05B76">
      <w:pPr>
        <w:jc w:val="center"/>
        <w:rPr>
          <w:rFonts w:asciiTheme="majorBidi" w:hAnsiTheme="majorBidi" w:cstheme="majorBidi"/>
          <w:sz w:val="24"/>
          <w:szCs w:val="24"/>
          <w:rtl/>
        </w:rPr>
      </w:pPr>
      <w:r>
        <w:rPr>
          <w:rFonts w:asciiTheme="majorBidi" w:hAnsiTheme="majorBidi" w:cstheme="majorBidi"/>
          <w:noProof/>
          <w:sz w:val="24"/>
          <w:szCs w:val="24"/>
        </w:rPr>
        <w:drawing>
          <wp:anchor distT="0" distB="0" distL="114300" distR="114300" simplePos="0" relativeHeight="251659264" behindDoc="1" locked="0" layoutInCell="1" allowOverlap="1" wp14:anchorId="7C74CA60" wp14:editId="2784ADC7">
            <wp:simplePos x="0" y="0"/>
            <wp:positionH relativeFrom="column">
              <wp:posOffset>-581025</wp:posOffset>
            </wp:positionH>
            <wp:positionV relativeFrom="paragraph">
              <wp:posOffset>-161290</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00F05B76">
        <w:rPr>
          <w:rFonts w:asciiTheme="majorBidi" w:hAnsiTheme="majorBidi" w:cstheme="majorBidi"/>
          <w:noProof/>
          <w:sz w:val="24"/>
          <w:szCs w:val="24"/>
        </w:rPr>
        <w:drawing>
          <wp:anchor distT="0" distB="0" distL="114300" distR="114300" simplePos="0" relativeHeight="251658240" behindDoc="1" locked="0" layoutInCell="1" allowOverlap="1" wp14:anchorId="23DFC9EC" wp14:editId="5B523980">
            <wp:simplePos x="0" y="0"/>
            <wp:positionH relativeFrom="column">
              <wp:posOffset>4981575</wp:posOffset>
            </wp:positionH>
            <wp:positionV relativeFrom="paragraph">
              <wp:posOffset>-75565</wp:posOffset>
            </wp:positionV>
            <wp:extent cx="1257300" cy="847725"/>
            <wp:effectExtent l="0" t="0" r="0" b="9525"/>
            <wp:wrapThrough wrapText="bothSides">
              <wp:wrapPolygon edited="0">
                <wp:start x="0" y="0"/>
                <wp:lineTo x="0" y="21357"/>
                <wp:lineTo x="21273" y="21357"/>
                <wp:lineTo x="2127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S LIMU logo.jpg"/>
                    <pic:cNvPicPr/>
                  </pic:nvPicPr>
                  <pic:blipFill rotWithShape="1">
                    <a:blip r:embed="rId9">
                      <a:extLst>
                        <a:ext uri="{28A0092B-C50C-407E-A947-70E740481C1C}">
                          <a14:useLocalDpi xmlns:a14="http://schemas.microsoft.com/office/drawing/2010/main" val="0"/>
                        </a:ext>
                      </a:extLst>
                    </a:blip>
                    <a:srcRect l="23595" r="53371"/>
                    <a:stretch/>
                  </pic:blipFill>
                  <pic:spPr bwMode="auto">
                    <a:xfrm>
                      <a:off x="0" y="0"/>
                      <a:ext cx="1257300" cy="847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05B76" w:rsidRPr="006C2CCC">
        <w:rPr>
          <w:rFonts w:asciiTheme="majorBidi" w:hAnsiTheme="majorBidi" w:cstheme="majorBidi"/>
          <w:b/>
          <w:bCs/>
          <w:sz w:val="28"/>
          <w:szCs w:val="28"/>
        </w:rPr>
        <w:t xml:space="preserve">The Libyan International Medical </w:t>
      </w:r>
      <w:r w:rsidR="00F05B76">
        <w:rPr>
          <w:rFonts w:asciiTheme="majorBidi" w:hAnsiTheme="majorBidi" w:cstheme="majorBidi"/>
          <w:b/>
          <w:bCs/>
          <w:sz w:val="28"/>
          <w:szCs w:val="28"/>
        </w:rPr>
        <w:t>University</w:t>
      </w:r>
    </w:p>
    <w:p w:rsidR="00F05B76" w:rsidRDefault="00F05B76" w:rsidP="00F05B76">
      <w:pPr>
        <w:tabs>
          <w:tab w:val="left" w:pos="3326"/>
        </w:tabs>
        <w:jc w:val="center"/>
        <w:rPr>
          <w:rFonts w:asciiTheme="majorBidi" w:hAnsiTheme="majorBidi" w:cstheme="majorBidi"/>
          <w:b/>
          <w:bCs/>
          <w:sz w:val="28"/>
          <w:szCs w:val="28"/>
        </w:rPr>
      </w:pPr>
      <w:r w:rsidRPr="006C2CCC">
        <w:rPr>
          <w:rFonts w:asciiTheme="majorBidi" w:hAnsiTheme="majorBidi" w:cstheme="majorBidi"/>
          <w:b/>
          <w:bCs/>
          <w:sz w:val="28"/>
          <w:szCs w:val="28"/>
        </w:rPr>
        <w:t>Faculty of Basic Medical Science</w:t>
      </w:r>
    </w:p>
    <w:p w:rsidR="006C2CCC" w:rsidRDefault="006C2CCC" w:rsidP="00F93603">
      <w:pPr>
        <w:jc w:val="center"/>
        <w:rPr>
          <w:rFonts w:asciiTheme="majorBidi" w:hAnsiTheme="majorBidi" w:cstheme="majorBidi"/>
          <w:sz w:val="24"/>
          <w:szCs w:val="24"/>
        </w:rPr>
      </w:pPr>
    </w:p>
    <w:p w:rsidR="00F05B76" w:rsidRPr="00F05B76" w:rsidRDefault="00F05B76" w:rsidP="00F05B76">
      <w:pPr>
        <w:jc w:val="center"/>
        <w:rPr>
          <w:rFonts w:asciiTheme="majorBidi" w:hAnsiTheme="majorBidi" w:cstheme="majorBidi"/>
          <w:b/>
          <w:bCs/>
          <w:sz w:val="28"/>
          <w:szCs w:val="28"/>
        </w:rPr>
      </w:pPr>
    </w:p>
    <w:p w:rsidR="00F05B76" w:rsidRDefault="00F05B76"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tl/>
        </w:rPr>
      </w:pPr>
    </w:p>
    <w:p w:rsidR="006C2CCC" w:rsidRDefault="006C2CCC" w:rsidP="006C2CCC">
      <w:pPr>
        <w:rPr>
          <w:rFonts w:asciiTheme="majorBidi" w:hAnsiTheme="majorBidi" w:cstheme="majorBidi"/>
          <w:sz w:val="24"/>
          <w:szCs w:val="24"/>
          <w:rtl/>
        </w:rPr>
      </w:pPr>
    </w:p>
    <w:p w:rsidR="00B80A50" w:rsidRPr="00B80A50" w:rsidRDefault="00B80A50" w:rsidP="00B80A50">
      <w:pPr>
        <w:jc w:val="center"/>
        <w:rPr>
          <w:rFonts w:ascii="Baskerville Old Face" w:hAnsi="Baskerville Old Face" w:cstheme="majorBidi"/>
          <w:sz w:val="44"/>
          <w:szCs w:val="44"/>
        </w:rPr>
      </w:pPr>
      <w:r w:rsidRPr="00B80A50">
        <w:rPr>
          <w:rFonts w:ascii="Baskerville Old Face" w:hAnsi="Baskerville Old Face" w:cstheme="majorBidi"/>
          <w:sz w:val="44"/>
          <w:szCs w:val="44"/>
        </w:rPr>
        <w:t>Effect of Gender differences on prevalence and</w:t>
      </w:r>
    </w:p>
    <w:p w:rsidR="006C2CCC" w:rsidRPr="00B80A50" w:rsidRDefault="00B80A50" w:rsidP="00B80A50">
      <w:pPr>
        <w:jc w:val="center"/>
        <w:rPr>
          <w:rFonts w:ascii="Baskerville Old Face" w:hAnsi="Baskerville Old Face" w:cstheme="majorBidi"/>
          <w:sz w:val="44"/>
          <w:szCs w:val="44"/>
        </w:rPr>
      </w:pPr>
      <w:r w:rsidRPr="00B80A50">
        <w:rPr>
          <w:rFonts w:ascii="Baskerville Old Face" w:hAnsi="Baskerville Old Face" w:cstheme="majorBidi"/>
          <w:sz w:val="44"/>
          <w:szCs w:val="44"/>
        </w:rPr>
        <w:t>microbial spectrum of asymptomatic bacteriuria</w:t>
      </w:r>
    </w:p>
    <w:p w:rsidR="007F2BD1" w:rsidRPr="00B80A50" w:rsidRDefault="006C2CCC" w:rsidP="00744E1E">
      <w:pPr>
        <w:spacing w:line="480" w:lineRule="auto"/>
        <w:jc w:val="center"/>
        <w:rPr>
          <w:rFonts w:asciiTheme="majorBidi" w:hAnsiTheme="majorBidi" w:cstheme="majorBidi"/>
          <w:sz w:val="40"/>
          <w:szCs w:val="40"/>
          <w:rtl/>
        </w:rPr>
      </w:pPr>
      <w:r w:rsidRPr="00B80A50">
        <w:rPr>
          <w:rFonts w:asciiTheme="majorBidi" w:hAnsiTheme="majorBidi" w:cstheme="majorBidi"/>
          <w:sz w:val="40"/>
          <w:szCs w:val="40"/>
        </w:rPr>
        <w:br/>
      </w:r>
      <w:r w:rsidR="00B80A50" w:rsidRPr="00B80A50">
        <w:rPr>
          <w:rFonts w:asciiTheme="majorBidi" w:hAnsiTheme="majorBidi" w:cstheme="majorBidi" w:hint="cs"/>
          <w:sz w:val="40"/>
          <w:szCs w:val="40"/>
          <w:rtl/>
        </w:rPr>
        <w:t xml:space="preserve"> </w:t>
      </w:r>
      <w:r w:rsidR="00B80A50" w:rsidRPr="00B80A50">
        <w:rPr>
          <w:rFonts w:asciiTheme="majorBidi" w:hAnsiTheme="majorBidi" w:cstheme="majorBidi"/>
          <w:sz w:val="40"/>
          <w:szCs w:val="40"/>
        </w:rPr>
        <w:t xml:space="preserve"> </w:t>
      </w:r>
      <w:r w:rsidR="000D338B">
        <w:rPr>
          <w:rFonts w:asciiTheme="majorBidi" w:hAnsiTheme="majorBidi" w:cstheme="majorBidi" w:hint="cs"/>
          <w:sz w:val="40"/>
          <w:szCs w:val="40"/>
        </w:rPr>
        <w:t>student name :</w:t>
      </w:r>
      <w:r w:rsidR="00430AA7">
        <w:rPr>
          <w:rFonts w:asciiTheme="majorBidi" w:hAnsiTheme="majorBidi" w:cstheme="majorBidi"/>
          <w:sz w:val="40"/>
          <w:szCs w:val="40"/>
        </w:rPr>
        <w:t>zayn alabdeen</w:t>
      </w:r>
    </w:p>
    <w:p w:rsidR="007F2BD1" w:rsidRDefault="007F2BD1" w:rsidP="0024083F">
      <w:pPr>
        <w:spacing w:line="480" w:lineRule="auto"/>
        <w:jc w:val="center"/>
        <w:rPr>
          <w:rFonts w:asciiTheme="majorBidi" w:hAnsiTheme="majorBidi" w:cstheme="majorBidi"/>
          <w:sz w:val="40"/>
          <w:szCs w:val="40"/>
          <w:rtl/>
        </w:rPr>
      </w:pPr>
      <w:r w:rsidRPr="00B80A50">
        <w:rPr>
          <w:rFonts w:asciiTheme="majorBidi" w:hAnsiTheme="majorBidi" w:cstheme="majorBidi"/>
          <w:sz w:val="40"/>
          <w:szCs w:val="40"/>
        </w:rPr>
        <w:t>Number</w:t>
      </w:r>
      <w:r w:rsidR="00B80A50" w:rsidRPr="00B80A50">
        <w:rPr>
          <w:rFonts w:asciiTheme="majorBidi" w:hAnsiTheme="majorBidi" w:cstheme="majorBidi"/>
          <w:sz w:val="40"/>
          <w:szCs w:val="40"/>
        </w:rPr>
        <w:t xml:space="preserve"> : </w:t>
      </w:r>
      <w:r w:rsidR="00430AA7">
        <w:rPr>
          <w:rFonts w:asciiTheme="majorBidi" w:hAnsiTheme="majorBidi" w:cstheme="majorBidi"/>
          <w:sz w:val="40"/>
          <w:szCs w:val="40"/>
        </w:rPr>
        <w:t>2137</w:t>
      </w:r>
      <w:r w:rsidRPr="00B80A50">
        <w:rPr>
          <w:rFonts w:asciiTheme="majorBidi" w:hAnsiTheme="majorBidi" w:cstheme="majorBidi"/>
          <w:sz w:val="40"/>
          <w:szCs w:val="40"/>
        </w:rPr>
        <w:t xml:space="preserve"> </w:t>
      </w:r>
    </w:p>
    <w:p w:rsidR="00565715" w:rsidRPr="00B80A50" w:rsidRDefault="00565715" w:rsidP="0024083F">
      <w:pPr>
        <w:spacing w:line="480" w:lineRule="auto"/>
        <w:jc w:val="center"/>
        <w:rPr>
          <w:rFonts w:asciiTheme="majorBidi" w:hAnsiTheme="majorBidi" w:cstheme="majorBidi"/>
          <w:sz w:val="40"/>
          <w:szCs w:val="40"/>
          <w:rtl/>
        </w:rPr>
      </w:pPr>
      <w:r>
        <w:rPr>
          <w:rFonts w:asciiTheme="majorBidi" w:hAnsiTheme="majorBidi" w:cstheme="majorBidi" w:hint="cs"/>
          <w:sz w:val="40"/>
          <w:szCs w:val="40"/>
        </w:rPr>
        <w:t>Assiste</w:t>
      </w:r>
      <w:r w:rsidR="00B32A56">
        <w:rPr>
          <w:rFonts w:asciiTheme="majorBidi" w:hAnsiTheme="majorBidi" w:cstheme="majorBidi" w:hint="cs"/>
          <w:sz w:val="40"/>
          <w:szCs w:val="40"/>
        </w:rPr>
        <w:t>d</w:t>
      </w:r>
      <w:r>
        <w:rPr>
          <w:rFonts w:asciiTheme="majorBidi" w:hAnsiTheme="majorBidi" w:cstheme="majorBidi" w:hint="cs"/>
          <w:sz w:val="40"/>
          <w:szCs w:val="40"/>
        </w:rPr>
        <w:t xml:space="preserve"> by:</w:t>
      </w:r>
      <w:r w:rsidR="00024339">
        <w:rPr>
          <w:rFonts w:asciiTheme="majorBidi" w:hAnsiTheme="majorBidi" w:cstheme="majorBidi" w:hint="cs"/>
          <w:sz w:val="40"/>
          <w:szCs w:val="40"/>
        </w:rPr>
        <w:t>alnajy ahomry</w:t>
      </w:r>
    </w:p>
    <w:p w:rsidR="007F2BD1" w:rsidRPr="00B80A50" w:rsidRDefault="007F2BD1" w:rsidP="00B80A50">
      <w:pPr>
        <w:spacing w:line="480" w:lineRule="auto"/>
        <w:jc w:val="center"/>
        <w:rPr>
          <w:rFonts w:asciiTheme="majorBidi" w:hAnsiTheme="majorBidi" w:cstheme="majorBidi"/>
          <w:sz w:val="40"/>
          <w:szCs w:val="40"/>
          <w:rtl/>
        </w:rPr>
      </w:pPr>
      <w:r w:rsidRPr="00B80A50">
        <w:rPr>
          <w:rFonts w:asciiTheme="majorBidi" w:hAnsiTheme="majorBidi" w:cstheme="majorBidi"/>
          <w:sz w:val="40"/>
          <w:szCs w:val="40"/>
        </w:rPr>
        <w:t xml:space="preserve">Date of Submission: </w:t>
      </w:r>
      <w:r w:rsidR="00B80A50" w:rsidRPr="00B80A50">
        <w:rPr>
          <w:rFonts w:asciiTheme="majorBidi" w:hAnsiTheme="majorBidi" w:cstheme="majorBidi"/>
          <w:sz w:val="40"/>
          <w:szCs w:val="40"/>
        </w:rPr>
        <w:t xml:space="preserve"> 20</w:t>
      </w:r>
      <w:r w:rsidRPr="00B80A50">
        <w:rPr>
          <w:rFonts w:asciiTheme="majorBidi" w:hAnsiTheme="majorBidi" w:cstheme="majorBidi"/>
          <w:sz w:val="40"/>
          <w:szCs w:val="40"/>
        </w:rPr>
        <w:t>/</w:t>
      </w:r>
      <w:r w:rsidR="00B80A50" w:rsidRPr="00B80A50">
        <w:rPr>
          <w:rFonts w:asciiTheme="majorBidi" w:hAnsiTheme="majorBidi" w:cstheme="majorBidi"/>
          <w:sz w:val="40"/>
          <w:szCs w:val="40"/>
        </w:rPr>
        <w:t xml:space="preserve"> 6</w:t>
      </w:r>
      <w:r w:rsidRPr="00B80A50">
        <w:rPr>
          <w:rFonts w:asciiTheme="majorBidi" w:hAnsiTheme="majorBidi" w:cstheme="majorBidi"/>
          <w:sz w:val="40"/>
          <w:szCs w:val="40"/>
        </w:rPr>
        <w:t xml:space="preserve">/ 2022  </w:t>
      </w:r>
    </w:p>
    <w:p w:rsidR="007F2B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rsidR="00537D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rsidR="007F2BD1" w:rsidRDefault="007F2BD1" w:rsidP="00F93603">
      <w:pPr>
        <w:spacing w:line="480" w:lineRule="auto"/>
        <w:jc w:val="center"/>
        <w:rPr>
          <w:rFonts w:asciiTheme="majorBidi" w:hAnsiTheme="majorBidi" w:cstheme="majorBidi"/>
          <w:sz w:val="28"/>
          <w:szCs w:val="28"/>
        </w:rPr>
      </w:pPr>
    </w:p>
    <w:p w:rsidR="00F05B76" w:rsidRDefault="00F05B76" w:rsidP="00F93603">
      <w:pPr>
        <w:spacing w:line="480" w:lineRule="auto"/>
        <w:jc w:val="center"/>
        <w:rPr>
          <w:rFonts w:asciiTheme="majorBidi" w:hAnsiTheme="majorBidi" w:cstheme="majorBidi"/>
          <w:sz w:val="28"/>
          <w:szCs w:val="28"/>
        </w:rPr>
      </w:pPr>
    </w:p>
    <w:p w:rsidR="00F93603" w:rsidRPr="003C0B6D" w:rsidRDefault="00F93603" w:rsidP="00F93603">
      <w:pPr>
        <w:spacing w:line="480" w:lineRule="auto"/>
        <w:rPr>
          <w:rFonts w:asciiTheme="majorBidi" w:hAnsiTheme="majorBidi" w:cstheme="majorBidi"/>
          <w:sz w:val="28"/>
          <w:szCs w:val="28"/>
          <w:lang w:bidi="ar-LY"/>
        </w:rPr>
      </w:pPr>
    </w:p>
    <w:p w:rsidR="007F2BD1" w:rsidRPr="007F2BD1" w:rsidRDefault="00753EF6" w:rsidP="007F2BD1">
      <w:pPr>
        <w:spacing w:line="480" w:lineRule="auto"/>
        <w:rPr>
          <w:rFonts w:asciiTheme="majorBidi" w:hAnsiTheme="majorBidi" w:cstheme="majorBidi"/>
          <w:sz w:val="24"/>
          <w:szCs w:val="24"/>
        </w:rPr>
      </w:pPr>
      <w:r>
        <w:rPr>
          <w:rFonts w:asciiTheme="majorBidi" w:hAnsiTheme="majorBidi" w:cstheme="majorBidi"/>
          <w:sz w:val="24"/>
          <w:szCs w:val="24"/>
        </w:rPr>
        <w:t xml:space="preserve">  </w:t>
      </w:r>
    </w:p>
    <w:p w:rsidR="007F2BD1" w:rsidRDefault="007F2BD1" w:rsidP="007F2BD1">
      <w:pPr>
        <w:autoSpaceDE w:val="0"/>
        <w:autoSpaceDN w:val="0"/>
        <w:bidi w:val="0"/>
        <w:adjustRightInd w:val="0"/>
        <w:spacing w:after="0" w:line="240" w:lineRule="auto"/>
        <w:rPr>
          <w:rFonts w:asciiTheme="majorBidi" w:hAnsiTheme="majorBidi" w:cstheme="majorBidi"/>
          <w:sz w:val="24"/>
          <w:szCs w:val="24"/>
        </w:rPr>
      </w:pPr>
    </w:p>
    <w:p w:rsidR="007F2BD1" w:rsidRDefault="007F2BD1" w:rsidP="007F2BD1">
      <w:pPr>
        <w:autoSpaceDE w:val="0"/>
        <w:autoSpaceDN w:val="0"/>
        <w:bidi w:val="0"/>
        <w:adjustRightInd w:val="0"/>
        <w:spacing w:after="0" w:line="240" w:lineRule="auto"/>
        <w:rPr>
          <w:rFonts w:ascii="Baskerville Old Face" w:hAnsi="Baskerville Old Face" w:cstheme="majorBidi"/>
          <w:b/>
          <w:bCs/>
          <w:sz w:val="40"/>
          <w:szCs w:val="40"/>
        </w:rPr>
      </w:pPr>
      <w:r w:rsidRPr="00B80A50">
        <w:rPr>
          <w:rFonts w:ascii="Baskerville Old Face" w:hAnsi="Baskerville Old Face" w:cstheme="majorBidi"/>
          <w:b/>
          <w:bCs/>
          <w:sz w:val="40"/>
          <w:szCs w:val="40"/>
        </w:rPr>
        <w:t xml:space="preserve">Abstract : </w:t>
      </w:r>
    </w:p>
    <w:p w:rsidR="00EA477C" w:rsidRDefault="00EA477C" w:rsidP="00EA477C">
      <w:pPr>
        <w:autoSpaceDE w:val="0"/>
        <w:autoSpaceDN w:val="0"/>
        <w:bidi w:val="0"/>
        <w:adjustRightInd w:val="0"/>
        <w:spacing w:after="0" w:line="240" w:lineRule="auto"/>
        <w:rPr>
          <w:rFonts w:ascii="Baskerville Old Face" w:hAnsi="Baskerville Old Face" w:cstheme="majorBidi"/>
          <w:b/>
          <w:bCs/>
          <w:sz w:val="40"/>
          <w:szCs w:val="40"/>
        </w:rPr>
      </w:pPr>
    </w:p>
    <w:p w:rsidR="00EA477C" w:rsidRDefault="00EA477C" w:rsidP="00EA477C">
      <w:pPr>
        <w:autoSpaceDE w:val="0"/>
        <w:autoSpaceDN w:val="0"/>
        <w:bidi w:val="0"/>
        <w:adjustRightInd w:val="0"/>
        <w:spacing w:after="0" w:line="240" w:lineRule="auto"/>
        <w:rPr>
          <w:rFonts w:ascii="Baskerville Old Face" w:hAnsi="Baskerville Old Face" w:cstheme="majorBidi"/>
          <w:b/>
          <w:bCs/>
          <w:sz w:val="40"/>
          <w:szCs w:val="40"/>
        </w:rPr>
      </w:pPr>
    </w:p>
    <w:p w:rsidR="00EA477C" w:rsidRDefault="00EA477C" w:rsidP="00EA477C">
      <w:pPr>
        <w:autoSpaceDE w:val="0"/>
        <w:autoSpaceDN w:val="0"/>
        <w:bidi w:val="0"/>
        <w:adjustRightInd w:val="0"/>
        <w:spacing w:after="0" w:line="240" w:lineRule="auto"/>
        <w:rPr>
          <w:rFonts w:ascii="Baskerville Old Face" w:hAnsi="Baskerville Old Face" w:cstheme="majorBidi"/>
          <w:b/>
          <w:bCs/>
          <w:sz w:val="40"/>
          <w:szCs w:val="40"/>
        </w:rPr>
      </w:pPr>
    </w:p>
    <w:p w:rsidR="00EA477C" w:rsidRDefault="00EA477C" w:rsidP="00EA477C">
      <w:pPr>
        <w:autoSpaceDE w:val="0"/>
        <w:autoSpaceDN w:val="0"/>
        <w:bidi w:val="0"/>
        <w:adjustRightInd w:val="0"/>
        <w:spacing w:after="0" w:line="240" w:lineRule="auto"/>
        <w:rPr>
          <w:rFonts w:ascii="Baskerville Old Face" w:hAnsi="Baskerville Old Face" w:cstheme="majorBidi"/>
          <w:b/>
          <w:bCs/>
          <w:sz w:val="40"/>
          <w:szCs w:val="40"/>
        </w:rPr>
      </w:pPr>
    </w:p>
    <w:p w:rsidR="006E6396" w:rsidRDefault="006E6396" w:rsidP="006E6396">
      <w:pPr>
        <w:autoSpaceDE w:val="0"/>
        <w:autoSpaceDN w:val="0"/>
        <w:bidi w:val="0"/>
        <w:adjustRightInd w:val="0"/>
        <w:spacing w:after="0" w:line="240" w:lineRule="auto"/>
        <w:rPr>
          <w:rFonts w:ascii="Baskerville Old Face" w:hAnsi="Baskerville Old Face" w:cstheme="majorBidi"/>
          <w:sz w:val="40"/>
          <w:szCs w:val="40"/>
        </w:rPr>
      </w:pPr>
    </w:p>
    <w:p w:rsidR="00EA477C" w:rsidRPr="00EA477C" w:rsidRDefault="00915656" w:rsidP="00915656">
      <w:pPr>
        <w:autoSpaceDE w:val="0"/>
        <w:autoSpaceDN w:val="0"/>
        <w:bidi w:val="0"/>
        <w:adjustRightInd w:val="0"/>
        <w:spacing w:after="0" w:line="240" w:lineRule="auto"/>
        <w:rPr>
          <w:rFonts w:asciiTheme="majorHAnsi" w:hAnsiTheme="majorHAnsi" w:cstheme="majorBidi"/>
          <w:sz w:val="26"/>
          <w:szCs w:val="26"/>
        </w:rPr>
      </w:pPr>
      <w:r w:rsidRPr="00915656">
        <w:rPr>
          <w:rFonts w:asciiTheme="majorHAnsi" w:hAnsiTheme="majorHAnsi" w:cstheme="majorBidi"/>
          <w:sz w:val="26"/>
          <w:szCs w:val="26"/>
        </w:rPr>
        <w:t>The presence of bacteria in urine, known as bacteriuria, has been linked to both asymptomatic and symptomatic urinary tract infections (UTIs). It has a significant impact on how microorganisms colonize the urinary system. Men, the elderly, pregnant women, healthy women, and patients with immune system weakness are all at risk for bacteriuria, with women and expectant mothers being the most vulnerable. The difference in the microbiological spectrum of different microorganisms infecting different genders, as well as the prevalence of asymptomatic bacteriuria between the male an</w:t>
      </w:r>
      <w:r>
        <w:rPr>
          <w:rFonts w:asciiTheme="majorHAnsi" w:hAnsiTheme="majorHAnsi" w:cstheme="majorBidi"/>
          <w:sz w:val="26"/>
          <w:szCs w:val="26"/>
        </w:rPr>
        <w:t>d female genders, is intriguing</w:t>
      </w:r>
      <w:r w:rsidR="00EA477C" w:rsidRPr="00EA477C">
        <w:rPr>
          <w:rFonts w:asciiTheme="majorHAnsi" w:hAnsiTheme="majorHAnsi" w:cstheme="majorBidi"/>
          <w:sz w:val="26"/>
          <w:szCs w:val="26"/>
        </w:rPr>
        <w:t xml:space="preserve">. </w:t>
      </w:r>
      <w:r w:rsidRPr="00915656">
        <w:rPr>
          <w:rFonts w:asciiTheme="majorHAnsi" w:hAnsiTheme="majorHAnsi" w:cstheme="majorBidi"/>
          <w:sz w:val="26"/>
          <w:szCs w:val="26"/>
        </w:rPr>
        <w:t>We look at data on the prevalence of asymptomatic bacteriuria as well as the microbiological spectrum by gender in this study. We also talk about how early detection of asymptomatic bacteriuria (ASB) in pregnant and non-pregnant women can help prevent health problems.</w:t>
      </w:r>
    </w:p>
    <w:p w:rsidR="007F2BD1" w:rsidRDefault="006E6396" w:rsidP="00915656">
      <w:pPr>
        <w:tabs>
          <w:tab w:val="left" w:pos="2996"/>
        </w:tabs>
        <w:autoSpaceDE w:val="0"/>
        <w:autoSpaceDN w:val="0"/>
        <w:adjustRightInd w:val="0"/>
        <w:spacing w:after="0" w:line="240" w:lineRule="auto"/>
        <w:rPr>
          <w:rFonts w:ascii="Baskerville Old Face" w:hAnsi="Baskerville Old Face" w:cstheme="majorBidi"/>
          <w:sz w:val="40"/>
          <w:szCs w:val="40"/>
        </w:rPr>
      </w:pPr>
      <w:r>
        <w:rPr>
          <w:rFonts w:ascii="Baskerville Old Face" w:hAnsi="Baskerville Old Face" w:cstheme="majorBidi" w:hint="cs"/>
          <w:sz w:val="40"/>
          <w:szCs w:val="40"/>
          <w:rtl/>
        </w:rPr>
        <w:t xml:space="preserve"> </w:t>
      </w:r>
      <w:r w:rsidR="00915656">
        <w:rPr>
          <w:rFonts w:ascii="Baskerville Old Face" w:hAnsi="Baskerville Old Face" w:cstheme="majorBidi"/>
          <w:sz w:val="40"/>
          <w:szCs w:val="40"/>
          <w:rtl/>
        </w:rPr>
        <w:tab/>
      </w: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EA477C" w:rsidRDefault="00EA477C" w:rsidP="00EA477C">
      <w:pPr>
        <w:autoSpaceDE w:val="0"/>
        <w:autoSpaceDN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lang w:bidi="ar-LY"/>
        </w:rPr>
      </w:pPr>
    </w:p>
    <w:p w:rsidR="007F2BD1" w:rsidRDefault="007F2BD1" w:rsidP="007F2BD1">
      <w:pPr>
        <w:autoSpaceDE w:val="0"/>
        <w:autoSpaceDN w:val="0"/>
        <w:bidi w:val="0"/>
        <w:adjustRightInd w:val="0"/>
        <w:spacing w:after="0" w:line="240" w:lineRule="auto"/>
        <w:rPr>
          <w:rFonts w:ascii="Baskerville Old Face" w:hAnsi="Baskerville Old Face" w:cstheme="majorBidi"/>
          <w:b/>
          <w:bCs/>
          <w:sz w:val="40"/>
          <w:szCs w:val="40"/>
        </w:rPr>
      </w:pPr>
      <w:r w:rsidRPr="00B80A50">
        <w:rPr>
          <w:rFonts w:ascii="Baskerville Old Face" w:hAnsi="Baskerville Old Face" w:cstheme="majorBidi"/>
          <w:b/>
          <w:bCs/>
          <w:sz w:val="40"/>
          <w:szCs w:val="40"/>
        </w:rPr>
        <w:t>Introduction :</w:t>
      </w:r>
    </w:p>
    <w:p w:rsidR="00EA477C" w:rsidRDefault="00EA477C" w:rsidP="00EA477C">
      <w:pPr>
        <w:bidi w:val="0"/>
      </w:pPr>
    </w:p>
    <w:p w:rsidR="00EA477C" w:rsidRPr="00EA477C" w:rsidRDefault="00BA186A" w:rsidP="00BA186A">
      <w:pPr>
        <w:bidi w:val="0"/>
        <w:rPr>
          <w:sz w:val="26"/>
          <w:szCs w:val="26"/>
        </w:rPr>
      </w:pPr>
      <w:r w:rsidRPr="00BA186A">
        <w:rPr>
          <w:sz w:val="26"/>
          <w:szCs w:val="26"/>
        </w:rPr>
        <w:t>The second most common bacteria linked to illnesses in primary care is asymptomatic bacteriuria (ASB) [1]. Despite the fact that it affects millions of people worldwide, it primarily affects both developed and developing countries, making it a major concern. [2] According to estimates, approximately 20% of all women will have ASB at some point in their lives, with many having multiple infections [3]. Because of the urethra's short length and close proximity to the anus, bacteria such as E. Coli are more easily colonized in women. A woman is more likely to contract an infection if she has recently engaged in sexual activity and given birth.</w:t>
      </w:r>
      <w:r w:rsidR="00EA477C" w:rsidRPr="00EA477C">
        <w:rPr>
          <w:sz w:val="26"/>
          <w:szCs w:val="26"/>
        </w:rPr>
        <w:t xml:space="preserve"> </w:t>
      </w:r>
      <w:r w:rsidRPr="00BA186A">
        <w:rPr>
          <w:sz w:val="26"/>
          <w:szCs w:val="26"/>
        </w:rPr>
        <w:t>[4] As indicated by the definition, ASB occurs when active bacteria are present in a person's urine but no outward signs of a UTI are present for the person experiencing it. ASB is important because it is a significant predictor of future UTI, with prevalence rates ranging from 5 to 20% in healthy women and 10 to 40% in pregnant women. [7]. The most common bacteria found in urinary tract infections are E. coli, Proteus, Klebsiella, and E. faecalis. Collecting urine samples and looking for these bacteria can help detect urinary tract infections.</w:t>
      </w:r>
      <w:r w:rsidRPr="00BA186A">
        <w:t xml:space="preserve"> </w:t>
      </w:r>
      <w:r w:rsidRPr="00BA186A">
        <w:rPr>
          <w:sz w:val="26"/>
          <w:szCs w:val="26"/>
        </w:rPr>
        <w:t>Asymptomatic bacteriuria is not as frequently screened for as symptomatic bacteriuria, which is a problem because most people with asymptomatic infections have no signs or symptoms and do not seek screening, allowing asymptomatic bacteriuria to fester and result in a potential UTI. The purpose of this research lab is to determine the prevalence of asymptomatic bacteriuria in men and women, as well as whether either gender should consider routine screening for asymptomatic UTIs.</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3871A8" w:rsidRDefault="003871A8" w:rsidP="003871A8">
      <w:pPr>
        <w:autoSpaceDE w:val="0"/>
        <w:autoSpaceDN w:val="0"/>
        <w:bidi w:val="0"/>
        <w:adjustRightInd w:val="0"/>
        <w:spacing w:after="0" w:line="240" w:lineRule="auto"/>
        <w:rPr>
          <w:rFonts w:ascii="Baskerville Old Face" w:hAnsi="Baskerville Old Face" w:cstheme="majorBidi"/>
          <w:sz w:val="40"/>
          <w:szCs w:val="40"/>
        </w:rPr>
      </w:pPr>
    </w:p>
    <w:p w:rsidR="00232D1E" w:rsidRDefault="00232D1E" w:rsidP="00232D1E">
      <w:pPr>
        <w:autoSpaceDE w:val="0"/>
        <w:autoSpaceDN w:val="0"/>
        <w:bidi w:val="0"/>
        <w:adjustRightInd w:val="0"/>
        <w:spacing w:after="0" w:line="240" w:lineRule="auto"/>
        <w:rPr>
          <w:rFonts w:ascii="Baskerville Old Face" w:hAnsi="Baskerville Old Face" w:cstheme="majorBidi"/>
          <w:sz w:val="40"/>
          <w:szCs w:val="40"/>
        </w:rPr>
      </w:pPr>
    </w:p>
    <w:p w:rsidR="00232D1E" w:rsidRDefault="00232D1E" w:rsidP="00232D1E">
      <w:pPr>
        <w:autoSpaceDE w:val="0"/>
        <w:autoSpaceDN w:val="0"/>
        <w:bidi w:val="0"/>
        <w:adjustRightInd w:val="0"/>
        <w:spacing w:after="0" w:line="240" w:lineRule="auto"/>
        <w:rPr>
          <w:rFonts w:ascii="Baskerville Old Face" w:hAnsi="Baskerville Old Face" w:cstheme="majorBidi"/>
          <w:sz w:val="40"/>
          <w:szCs w:val="40"/>
        </w:rPr>
      </w:pPr>
    </w:p>
    <w:p w:rsidR="00232D1E" w:rsidRDefault="00232D1E" w:rsidP="00232D1E">
      <w:pPr>
        <w:autoSpaceDE w:val="0"/>
        <w:autoSpaceDN w:val="0"/>
        <w:bidi w:val="0"/>
        <w:adjustRightInd w:val="0"/>
        <w:spacing w:after="0" w:line="240" w:lineRule="auto"/>
        <w:rPr>
          <w:rFonts w:ascii="Baskerville Old Face" w:hAnsi="Baskerville Old Face" w:cstheme="majorBidi"/>
          <w:sz w:val="40"/>
          <w:szCs w:val="40"/>
        </w:rPr>
      </w:pPr>
    </w:p>
    <w:p w:rsidR="003871A8" w:rsidRDefault="003871A8" w:rsidP="003871A8">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F27C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t xml:space="preserve">Materials and Methods : </w:t>
      </w:r>
    </w:p>
    <w:p w:rsidR="003871A8" w:rsidRDefault="003871A8" w:rsidP="00F27CD1">
      <w:pPr>
        <w:autoSpaceDE w:val="0"/>
        <w:autoSpaceDN w:val="0"/>
        <w:adjustRightInd w:val="0"/>
        <w:spacing w:after="0" w:line="240" w:lineRule="auto"/>
        <w:jc w:val="right"/>
        <w:rPr>
          <w:rFonts w:ascii="Baskerville Old Face" w:hAnsi="Baskerville Old Face" w:cstheme="majorBidi"/>
          <w:sz w:val="40"/>
          <w:szCs w:val="40"/>
        </w:rPr>
      </w:pPr>
      <w:r>
        <w:rPr>
          <w:rFonts w:ascii="Baskerville Old Face" w:hAnsi="Baskerville Old Face" w:cstheme="majorBidi"/>
          <w:sz w:val="40"/>
          <w:szCs w:val="40"/>
        </w:rPr>
        <w:t xml:space="preserve"> </w:t>
      </w:r>
    </w:p>
    <w:p w:rsidR="00232D1E" w:rsidRDefault="00232D1E" w:rsidP="00F27CD1">
      <w:pPr>
        <w:autoSpaceDE w:val="0"/>
        <w:autoSpaceDN w:val="0"/>
        <w:adjustRightInd w:val="0"/>
        <w:spacing w:after="0" w:line="240" w:lineRule="auto"/>
        <w:jc w:val="right"/>
        <w:rPr>
          <w:rFonts w:ascii="Baskerville Old Face" w:hAnsi="Baskerville Old Face" w:cstheme="majorBidi"/>
          <w:sz w:val="40"/>
          <w:szCs w:val="40"/>
          <w:rtl/>
        </w:rPr>
      </w:pPr>
    </w:p>
    <w:p w:rsidR="00F27CD1" w:rsidRPr="0024083F" w:rsidRDefault="00BA186A" w:rsidP="00232D1E">
      <w:pPr>
        <w:autoSpaceDE w:val="0"/>
        <w:autoSpaceDN w:val="0"/>
        <w:bidi w:val="0"/>
        <w:adjustRightInd w:val="0"/>
        <w:spacing w:after="0" w:line="240" w:lineRule="auto"/>
        <w:rPr>
          <w:rFonts w:asciiTheme="majorHAnsi" w:hAnsiTheme="majorHAnsi" w:cstheme="majorBidi"/>
          <w:sz w:val="32"/>
          <w:szCs w:val="32"/>
        </w:rPr>
      </w:pPr>
      <w:r w:rsidRPr="00BA186A">
        <w:rPr>
          <w:rFonts w:asciiTheme="majorHAnsi" w:hAnsiTheme="majorHAnsi" w:cstheme="majorBidi"/>
          <w:sz w:val="32"/>
          <w:szCs w:val="32"/>
        </w:rPr>
        <w:t xml:space="preserve">Pipette for incubator culture media Toilet paper Dipsticks Alcohol Gel Gloves Containers 63 Urine Tests 63 urine samples were collected from 63 LIMU students (33 males and 30 females) who had no symptoms of bacteriuria. The samples were then sent to a lab for analysis to determine whether there was any bacteriuria growth, whether it was non-significant growth overall, or whether it was significant growth overall. We collected recently voided urine samples of around 10-15 mL caught midstream in sanitized, spotless, leak-proof, and wide open sample containers for each child. Urine was then inoculated onto Cysteine Lactose Electrolyte-deficient (CLED) agar and incubated aerobically at 37 degrees Celsius for 24-48 hours. </w:t>
      </w:r>
      <w:r>
        <w:rPr>
          <w:rFonts w:asciiTheme="majorHAnsi" w:hAnsiTheme="majorHAnsi" w:cstheme="majorBidi"/>
          <w:sz w:val="32"/>
          <w:szCs w:val="32"/>
        </w:rPr>
        <w:t xml:space="preserve">The infected were then examined </w:t>
      </w:r>
      <w:r w:rsidR="00232D1E" w:rsidRPr="0024083F">
        <w:rPr>
          <w:rFonts w:asciiTheme="majorHAnsi" w:hAnsiTheme="majorHAnsi" w:cstheme="majorBidi"/>
          <w:sz w:val="32"/>
          <w:szCs w:val="32"/>
        </w:rPr>
        <w:t>plates for bacterial growth.</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F27CD1" w:rsidRDefault="00F27CD1" w:rsidP="00F27C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t xml:space="preserve">Results : </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tbl>
      <w:tblPr>
        <w:tblW w:w="93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1"/>
        <w:gridCol w:w="876"/>
        <w:gridCol w:w="2460"/>
        <w:gridCol w:w="1030"/>
        <w:gridCol w:w="1030"/>
        <w:gridCol w:w="1030"/>
        <w:gridCol w:w="1030"/>
        <w:gridCol w:w="1030"/>
      </w:tblGrid>
      <w:tr w:rsidR="00320D51" w:rsidRPr="00283483" w:rsidTr="007405BF">
        <w:trPr>
          <w:cantSplit/>
        </w:trPr>
        <w:tc>
          <w:tcPr>
            <w:tcW w:w="9371" w:type="dxa"/>
            <w:gridSpan w:val="8"/>
            <w:tcBorders>
              <w:top w:val="nil"/>
              <w:left w:val="nil"/>
              <w:bottom w:val="nil"/>
              <w:right w:val="nil"/>
            </w:tcBorders>
            <w:shd w:val="clear" w:color="auto" w:fill="FFFFFF"/>
            <w:vAlign w:val="center"/>
          </w:tcPr>
          <w:p w:rsidR="00320D51" w:rsidRPr="00320D51" w:rsidRDefault="00320D51" w:rsidP="00320D51">
            <w:pPr>
              <w:pStyle w:val="2"/>
              <w:jc w:val="right"/>
              <w:rPr>
                <w:b w:val="0"/>
                <w:bCs w:val="0"/>
                <w:sz w:val="28"/>
                <w:szCs w:val="28"/>
                <w:rtl/>
              </w:rPr>
            </w:pPr>
            <w:r w:rsidRPr="00320D51">
              <w:rPr>
                <w:b w:val="0"/>
                <w:bCs w:val="0"/>
                <w:color w:val="000000" w:themeColor="text1"/>
                <w:sz w:val="28"/>
                <w:szCs w:val="28"/>
              </w:rPr>
              <w:t>gender * bacterialgrowhsignificance Crosstabulation</w:t>
            </w:r>
          </w:p>
        </w:tc>
      </w:tr>
      <w:tr w:rsidR="00320D51" w:rsidRPr="00283483" w:rsidTr="007405BF">
        <w:trPr>
          <w:cantSplit/>
        </w:trPr>
        <w:tc>
          <w:tcPr>
            <w:tcW w:w="4226" w:type="dxa"/>
            <w:gridSpan w:val="3"/>
            <w:vMerge w:val="restart"/>
            <w:tcBorders>
              <w:top w:val="nil"/>
              <w:left w:val="nil"/>
              <w:bottom w:val="nil"/>
              <w:right w:val="nil"/>
            </w:tcBorders>
            <w:shd w:val="clear" w:color="auto" w:fill="FFFFFF"/>
            <w:vAlign w:val="bottom"/>
          </w:tcPr>
          <w:p w:rsidR="00320D51" w:rsidRPr="00283483" w:rsidRDefault="00320D51" w:rsidP="007405BF">
            <w:pPr>
              <w:autoSpaceDE w:val="0"/>
              <w:autoSpaceDN w:val="0"/>
              <w:adjustRightInd w:val="0"/>
              <w:spacing w:after="0" w:line="240" w:lineRule="auto"/>
              <w:rPr>
                <w:rFonts w:ascii="Times New Roman" w:hAnsi="Times New Roman" w:cs="Times New Roman"/>
                <w:sz w:val="24"/>
                <w:szCs w:val="24"/>
              </w:rPr>
            </w:pPr>
          </w:p>
        </w:tc>
        <w:tc>
          <w:tcPr>
            <w:tcW w:w="4116" w:type="dxa"/>
            <w:gridSpan w:val="4"/>
            <w:tcBorders>
              <w:top w:val="nil"/>
              <w:left w:val="nil"/>
              <w:bottom w:val="nil"/>
              <w:right w:val="single" w:sz="8" w:space="0" w:color="E0E0E0"/>
            </w:tcBorders>
            <w:shd w:val="clear" w:color="auto" w:fill="FFFFFF"/>
            <w:vAlign w:val="bottom"/>
          </w:tcPr>
          <w:p w:rsidR="00320D51" w:rsidRPr="00283483" w:rsidRDefault="00320D51" w:rsidP="00320D51">
            <w:pPr>
              <w:autoSpaceDE w:val="0"/>
              <w:autoSpaceDN w:val="0"/>
              <w:adjustRightInd w:val="0"/>
              <w:spacing w:after="0" w:line="320" w:lineRule="atLeast"/>
              <w:ind w:left="60" w:right="60"/>
              <w:jc w:val="right"/>
              <w:rPr>
                <w:rFonts w:ascii="Arial" w:hAnsi="Arial" w:cs="Arial"/>
                <w:color w:val="264A60"/>
                <w:sz w:val="18"/>
                <w:szCs w:val="18"/>
              </w:rPr>
            </w:pPr>
            <w:r w:rsidRPr="00283483">
              <w:rPr>
                <w:rFonts w:ascii="Arial" w:hAnsi="Arial" w:cs="Arial"/>
                <w:color w:val="264A60"/>
                <w:sz w:val="18"/>
                <w:szCs w:val="18"/>
              </w:rPr>
              <w:t>bacterialgrowhsignificance</w:t>
            </w:r>
          </w:p>
        </w:tc>
        <w:tc>
          <w:tcPr>
            <w:tcW w:w="1029" w:type="dxa"/>
            <w:vMerge w:val="restart"/>
            <w:tcBorders>
              <w:top w:val="nil"/>
              <w:left w:val="single" w:sz="8" w:space="0" w:color="E0E0E0"/>
              <w:bottom w:val="nil"/>
              <w:right w:val="nil"/>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Total</w:t>
            </w:r>
          </w:p>
        </w:tc>
      </w:tr>
      <w:tr w:rsidR="00320D51" w:rsidRPr="00283483" w:rsidTr="007405BF">
        <w:trPr>
          <w:cantSplit/>
        </w:trPr>
        <w:tc>
          <w:tcPr>
            <w:tcW w:w="4226" w:type="dxa"/>
            <w:gridSpan w:val="3"/>
            <w:vMerge/>
            <w:tcBorders>
              <w:top w:val="nil"/>
              <w:left w:val="nil"/>
              <w:bottom w:val="nil"/>
              <w:right w:val="nil"/>
            </w:tcBorders>
            <w:shd w:val="clear" w:color="auto" w:fill="FFFFFF"/>
            <w:vAlign w:val="bottom"/>
          </w:tcPr>
          <w:p w:rsidR="00320D51" w:rsidRPr="00283483" w:rsidRDefault="00320D51" w:rsidP="007405BF">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240" w:lineRule="auto"/>
              <w:jc w:val="center"/>
              <w:rPr>
                <w:rFonts w:ascii="Times New Roman" w:hAnsi="Times New Roman" w:cs="Times New Roman"/>
                <w:sz w:val="24"/>
                <w:szCs w:val="24"/>
              </w:rPr>
            </w:pP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no growt</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overall</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7405BF">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signific</w:t>
            </w:r>
          </w:p>
        </w:tc>
        <w:tc>
          <w:tcPr>
            <w:tcW w:w="1029" w:type="dxa"/>
            <w:vMerge/>
            <w:tcBorders>
              <w:top w:val="nil"/>
              <w:left w:val="single" w:sz="8" w:space="0" w:color="E0E0E0"/>
              <w:bottom w:val="nil"/>
              <w:right w:val="nil"/>
            </w:tcBorders>
            <w:shd w:val="clear" w:color="auto" w:fill="FFFFFF"/>
            <w:vAlign w:val="bottom"/>
          </w:tcPr>
          <w:p w:rsidR="00320D51" w:rsidRPr="00283483" w:rsidRDefault="00320D51" w:rsidP="007405BF">
            <w:pPr>
              <w:autoSpaceDE w:val="0"/>
              <w:autoSpaceDN w:val="0"/>
              <w:adjustRightInd w:val="0"/>
              <w:spacing w:after="0" w:line="240" w:lineRule="auto"/>
              <w:rPr>
                <w:rFonts w:ascii="Arial" w:hAnsi="Arial" w:cs="Arial"/>
                <w:color w:val="264A60"/>
                <w:sz w:val="18"/>
                <w:szCs w:val="18"/>
              </w:rPr>
            </w:pPr>
          </w:p>
        </w:tc>
      </w:tr>
      <w:tr w:rsidR="00320D51" w:rsidRPr="00283483" w:rsidTr="00CC3B35">
        <w:trPr>
          <w:cantSplit/>
        </w:trPr>
        <w:tc>
          <w:tcPr>
            <w:tcW w:w="891" w:type="dxa"/>
            <w:vMerge w:val="restart"/>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gender</w:t>
            </w:r>
          </w:p>
        </w:tc>
        <w:tc>
          <w:tcPr>
            <w:tcW w:w="876" w:type="dxa"/>
            <w:vMerge w:val="restart"/>
            <w:tcBorders>
              <w:top w:val="single" w:sz="8" w:space="0" w:color="152935"/>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female</w:t>
            </w:r>
          </w:p>
        </w:tc>
        <w:tc>
          <w:tcPr>
            <w:tcW w:w="2459" w:type="dxa"/>
            <w:tcBorders>
              <w:top w:val="single" w:sz="8" w:space="0" w:color="152935"/>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tl/>
              </w:rPr>
            </w:pPr>
            <w:r w:rsidRPr="00283483">
              <w:rPr>
                <w:rFonts w:ascii="Arial" w:hAnsi="Arial" w:cs="Arial"/>
                <w:color w:val="010205"/>
                <w:sz w:val="18"/>
                <w:szCs w:val="18"/>
              </w:rPr>
              <w:t>12</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bacterialgrowhsignificance</w:t>
            </w:r>
          </w:p>
        </w:tc>
        <w:tc>
          <w:tcPr>
            <w:tcW w:w="1029" w:type="dxa"/>
            <w:tcBorders>
              <w:top w:val="single" w:sz="8" w:space="0" w:color="AEAEAE"/>
              <w:left w:val="nil"/>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72.7%</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nil"/>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val="restart"/>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male</w:t>
            </w: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12</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CC3B35">
        <w:trPr>
          <w:cantSpli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nil"/>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bacterialgrowhsignificance</w:t>
            </w:r>
          </w:p>
        </w:tc>
        <w:tc>
          <w:tcPr>
            <w:tcW w:w="1029" w:type="dxa"/>
            <w:tcBorders>
              <w:top w:val="single" w:sz="8" w:space="0" w:color="AEAEAE"/>
              <w:left w:val="nil"/>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80.0%</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27.3%</w:t>
            </w:r>
          </w:p>
        </w:tc>
        <w:tc>
          <w:tcPr>
            <w:tcW w:w="1029"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29" w:type="dxa"/>
            <w:tcBorders>
              <w:top w:val="single" w:sz="8" w:space="0" w:color="AEAEAE"/>
              <w:left w:val="single" w:sz="8" w:space="0" w:color="E0E0E0"/>
              <w:bottom w:val="nil"/>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320D51" w:rsidRPr="00283483" w:rsidTr="00CC3B35">
        <w:trPr>
          <w:cantSplit/>
        </w:trPr>
        <w:tc>
          <w:tcPr>
            <w:tcW w:w="1767" w:type="dxa"/>
            <w:gridSpan w:val="2"/>
            <w:vMerge w:val="restart"/>
            <w:tcBorders>
              <w:top w:val="single" w:sz="8" w:space="0" w:color="AEAEAE"/>
              <w:left w:val="single" w:sz="4" w:space="0" w:color="auto"/>
              <w:bottom w:val="single" w:sz="8" w:space="0" w:color="152935"/>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Total</w:t>
            </w: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24</w:t>
            </w:r>
          </w:p>
        </w:tc>
      </w:tr>
      <w:tr w:rsidR="00320D51" w:rsidRPr="00283483" w:rsidTr="00CC3B35">
        <w:trPr>
          <w:cantSplit/>
        </w:trPr>
        <w:tc>
          <w:tcPr>
            <w:tcW w:w="1767" w:type="dxa"/>
            <w:gridSpan w:val="2"/>
            <w:vMerge/>
            <w:tcBorders>
              <w:top w:val="single" w:sz="8" w:space="0" w:color="AEAEAE"/>
              <w:left w:val="single" w:sz="4" w:space="0" w:color="auto"/>
              <w:bottom w:val="single" w:sz="8" w:space="0" w:color="152935"/>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AEAEAE"/>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29"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41.7%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45.8%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CC3B35">
        <w:trPr>
          <w:cantSplit/>
          <w:trHeight w:val="409"/>
        </w:trPr>
        <w:tc>
          <w:tcPr>
            <w:tcW w:w="1767" w:type="dxa"/>
            <w:gridSpan w:val="2"/>
            <w:vMerge/>
            <w:tcBorders>
              <w:top w:val="single" w:sz="8" w:space="0" w:color="AEAEAE"/>
              <w:left w:val="single" w:sz="4" w:space="0" w:color="auto"/>
              <w:bottom w:val="single" w:sz="8" w:space="0" w:color="152935"/>
              <w:right w:val="nil"/>
            </w:tcBorders>
            <w:shd w:val="clear" w:color="auto" w:fill="E0E0E0"/>
          </w:tcPr>
          <w:p w:rsidR="00320D51" w:rsidRPr="00283483" w:rsidRDefault="00320D51" w:rsidP="007405BF">
            <w:pPr>
              <w:autoSpaceDE w:val="0"/>
              <w:autoSpaceDN w:val="0"/>
              <w:adjustRightInd w:val="0"/>
              <w:spacing w:after="0" w:line="240" w:lineRule="auto"/>
              <w:rPr>
                <w:rFonts w:ascii="Arial" w:hAnsi="Arial" w:cs="Arial"/>
                <w:color w:val="010205"/>
                <w:sz w:val="18"/>
                <w:szCs w:val="18"/>
              </w:rPr>
            </w:pPr>
          </w:p>
        </w:tc>
        <w:tc>
          <w:tcPr>
            <w:tcW w:w="2459" w:type="dxa"/>
            <w:tcBorders>
              <w:top w:val="single" w:sz="8" w:space="0" w:color="AEAEAE"/>
              <w:left w:val="nil"/>
              <w:bottom w:val="single" w:sz="8" w:space="0" w:color="152935"/>
              <w:right w:val="nil"/>
            </w:tcBorders>
            <w:shd w:val="clear" w:color="auto" w:fill="E0E0E0"/>
          </w:tcPr>
          <w:p w:rsidR="00320D51" w:rsidRPr="00283483" w:rsidRDefault="00320D51" w:rsidP="007405BF">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bacterialgrowhsignificance</w:t>
            </w:r>
          </w:p>
        </w:tc>
        <w:tc>
          <w:tcPr>
            <w:tcW w:w="1029" w:type="dxa"/>
            <w:tcBorders>
              <w:top w:val="single" w:sz="8" w:space="0" w:color="AEAEAE"/>
              <w:left w:val="nil"/>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29" w:type="dxa"/>
            <w:tcBorders>
              <w:top w:val="single" w:sz="4" w:space="0" w:color="auto"/>
              <w:left w:val="single" w:sz="8" w:space="0" w:color="E0E0E0"/>
              <w:bottom w:val="single" w:sz="8" w:space="0" w:color="152935"/>
              <w:right w:val="single" w:sz="4" w:space="0" w:color="auto"/>
            </w:tcBorders>
            <w:shd w:val="clear" w:color="auto" w:fill="FFFFFF"/>
          </w:tcPr>
          <w:p w:rsidR="00320D51" w:rsidRPr="00283483" w:rsidRDefault="00320D51" w:rsidP="007405BF">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bl>
    <w:p w:rsidR="00320D51" w:rsidRPr="00283483" w:rsidRDefault="00320D51" w:rsidP="00320D51">
      <w:pPr>
        <w:autoSpaceDE w:val="0"/>
        <w:autoSpaceDN w:val="0"/>
        <w:adjustRightInd w:val="0"/>
        <w:spacing w:after="0" w:line="400" w:lineRule="atLeast"/>
        <w:rPr>
          <w:rFonts w:ascii="Times New Roman" w:hAnsi="Times New Roman" w:cs="Times New Roman"/>
          <w:sz w:val="24"/>
          <w:szCs w:val="24"/>
        </w:rPr>
      </w:pPr>
    </w:p>
    <w:p w:rsidR="00320D51" w:rsidRPr="00283483" w:rsidRDefault="00320D51" w:rsidP="00320D51">
      <w:pPr>
        <w:autoSpaceDE w:val="0"/>
        <w:autoSpaceDN w:val="0"/>
        <w:adjustRightInd w:val="0"/>
        <w:spacing w:after="0" w:line="400" w:lineRule="atLeast"/>
        <w:jc w:val="right"/>
        <w:rPr>
          <w:rFonts w:ascii="Times New Roman" w:hAnsi="Times New Roman" w:cs="Times New Roman"/>
          <w:sz w:val="24"/>
          <w:szCs w:val="24"/>
        </w:rPr>
      </w:pPr>
    </w:p>
    <w:tbl>
      <w:tblPr>
        <w:tblW w:w="98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49"/>
        <w:gridCol w:w="1040"/>
        <w:gridCol w:w="1039"/>
        <w:gridCol w:w="1489"/>
        <w:gridCol w:w="1334"/>
        <w:gridCol w:w="1427"/>
        <w:gridCol w:w="1428"/>
      </w:tblGrid>
      <w:tr w:rsidR="00320D51" w:rsidRPr="00320D51" w:rsidTr="00C95E69">
        <w:trPr>
          <w:cantSplit/>
        </w:trPr>
        <w:tc>
          <w:tcPr>
            <w:tcW w:w="9806" w:type="dxa"/>
            <w:gridSpan w:val="7"/>
            <w:tcBorders>
              <w:top w:val="nil"/>
              <w:left w:val="nil"/>
              <w:bottom w:val="single" w:sz="4" w:space="0" w:color="auto"/>
              <w:right w:val="nil"/>
            </w:tcBorders>
            <w:shd w:val="clear" w:color="auto" w:fill="FFFFFF"/>
            <w:vAlign w:val="center"/>
          </w:tcPr>
          <w:p w:rsidR="00320D51" w:rsidRPr="00320D51" w:rsidRDefault="00320D51" w:rsidP="00320D51">
            <w:pPr>
              <w:pStyle w:val="2"/>
              <w:bidi w:val="0"/>
              <w:rPr>
                <w:rFonts w:eastAsia="Calibri"/>
                <w:b w:val="0"/>
                <w:bCs w:val="0"/>
                <w:color w:val="000000" w:themeColor="text1"/>
                <w:sz w:val="28"/>
                <w:szCs w:val="28"/>
              </w:rPr>
            </w:pPr>
            <w:r w:rsidRPr="00320D51">
              <w:rPr>
                <w:rFonts w:eastAsia="Calibri"/>
                <w:b w:val="0"/>
                <w:bCs w:val="0"/>
                <w:color w:val="000000" w:themeColor="text1"/>
                <w:sz w:val="28"/>
                <w:szCs w:val="28"/>
              </w:rPr>
              <w:t>Chi-Square Tests</w:t>
            </w:r>
          </w:p>
        </w:tc>
      </w:tr>
      <w:tr w:rsidR="00C95E69" w:rsidRPr="00320D51" w:rsidTr="00C95E69">
        <w:trPr>
          <w:cantSplit/>
        </w:trPr>
        <w:tc>
          <w:tcPr>
            <w:tcW w:w="2050"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040"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Value</w:t>
            </w:r>
          </w:p>
        </w:tc>
        <w:tc>
          <w:tcPr>
            <w:tcW w:w="1039"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Pr>
                <w:rFonts w:ascii="Calibri" w:eastAsia="Calibri" w:hAnsi="Calibri" w:cs="Arial"/>
              </w:rPr>
              <w:t xml:space="preserve"> </w:t>
            </w:r>
            <w:r w:rsidRPr="00320D51">
              <w:rPr>
                <w:rFonts w:ascii="Calibri" w:eastAsia="Calibri" w:hAnsi="Calibri" w:cs="Arial"/>
              </w:rPr>
              <w:t>df</w:t>
            </w:r>
          </w:p>
        </w:tc>
        <w:tc>
          <w:tcPr>
            <w:tcW w:w="1489"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Asymptotic Significance (2-sided)</w:t>
            </w:r>
          </w:p>
        </w:tc>
        <w:tc>
          <w:tcPr>
            <w:tcW w:w="2760" w:type="dxa"/>
            <w:gridSpan w:val="2"/>
            <w:tcBorders>
              <w:top w:val="single" w:sz="4" w:space="0" w:color="auto"/>
              <w:left w:val="single" w:sz="4" w:space="0" w:color="auto"/>
              <w:bottom w:val="nil"/>
              <w:right w:val="nil"/>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Monte Carlo Sig. (2-sided)</w:t>
            </w:r>
          </w:p>
        </w:tc>
        <w:tc>
          <w:tcPr>
            <w:tcW w:w="1428" w:type="dxa"/>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C95E69">
            <w:pPr>
              <w:bidi w:val="0"/>
              <w:spacing w:after="160" w:line="259" w:lineRule="auto"/>
              <w:rPr>
                <w:rFonts w:ascii="Calibri" w:eastAsia="Calibri" w:hAnsi="Calibri" w:cs="Arial"/>
              </w:rPr>
            </w:pPr>
          </w:p>
        </w:tc>
      </w:tr>
      <w:tr w:rsidR="00C95E69" w:rsidRPr="00320D51" w:rsidTr="00C95E69">
        <w:trPr>
          <w:cantSplit/>
        </w:trPr>
        <w:tc>
          <w:tcPr>
            <w:tcW w:w="2050"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040"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039"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489"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c>
          <w:tcPr>
            <w:tcW w:w="1334" w:type="dxa"/>
            <w:vMerge w:val="restart"/>
            <w:tcBorders>
              <w:top w:val="nil"/>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Significance</w:t>
            </w:r>
          </w:p>
        </w:tc>
        <w:tc>
          <w:tcPr>
            <w:tcW w:w="1426" w:type="dxa"/>
            <w:tcBorders>
              <w:top w:val="nil"/>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r w:rsidRPr="00320D51">
              <w:rPr>
                <w:rFonts w:ascii="Calibri" w:eastAsia="Calibri" w:hAnsi="Calibri" w:cs="Arial"/>
              </w:rPr>
              <w:t>99% Confidence Interval</w:t>
            </w:r>
          </w:p>
        </w:tc>
        <w:tc>
          <w:tcPr>
            <w:tcW w:w="1428" w:type="dxa"/>
            <w:tcBorders>
              <w:top w:val="nil"/>
              <w:left w:val="single" w:sz="4" w:space="0" w:color="auto"/>
              <w:bottom w:val="nil"/>
              <w:right w:val="single" w:sz="4" w:space="0" w:color="auto"/>
            </w:tcBorders>
            <w:shd w:val="clear" w:color="auto" w:fill="FFFFFF"/>
            <w:vAlign w:val="bottom"/>
          </w:tcPr>
          <w:p w:rsidR="00C95E69" w:rsidRPr="00320D51" w:rsidRDefault="00C95E69" w:rsidP="00320D51">
            <w:pPr>
              <w:bidi w:val="0"/>
              <w:spacing w:after="160" w:line="259" w:lineRule="auto"/>
              <w:rPr>
                <w:rFonts w:ascii="Calibri" w:eastAsia="Calibri" w:hAnsi="Calibri" w:cs="Arial"/>
              </w:rPr>
            </w:pPr>
          </w:p>
        </w:tc>
      </w:tr>
      <w:tr w:rsidR="00320D51" w:rsidRPr="00320D51" w:rsidTr="00C95E69">
        <w:trPr>
          <w:cantSplit/>
        </w:trPr>
        <w:tc>
          <w:tcPr>
            <w:tcW w:w="2050"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040"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039"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489"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334" w:type="dxa"/>
            <w:vMerge/>
            <w:tcBorders>
              <w:top w:val="nil"/>
              <w:left w:val="single" w:sz="4" w:space="0" w:color="auto"/>
              <w:bottom w:val="nil"/>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p>
        </w:tc>
        <w:tc>
          <w:tcPr>
            <w:tcW w:w="1427" w:type="dxa"/>
            <w:tcBorders>
              <w:top w:val="nil"/>
              <w:left w:val="single" w:sz="4" w:space="0" w:color="auto"/>
              <w:bottom w:val="single" w:sz="8" w:space="0" w:color="152935"/>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Lower Bound</w:t>
            </w:r>
          </w:p>
        </w:tc>
        <w:tc>
          <w:tcPr>
            <w:tcW w:w="1427" w:type="dxa"/>
            <w:tcBorders>
              <w:top w:val="nil"/>
              <w:left w:val="single" w:sz="4" w:space="0" w:color="auto"/>
              <w:bottom w:val="single" w:sz="8" w:space="0" w:color="152935"/>
              <w:right w:val="single" w:sz="4" w:space="0" w:color="auto"/>
            </w:tcBorders>
            <w:shd w:val="clear" w:color="auto" w:fill="FFFFFF"/>
            <w:vAlign w:val="bottom"/>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Upper Bound</w:t>
            </w:r>
          </w:p>
        </w:tc>
      </w:tr>
      <w:tr w:rsidR="00320D51" w:rsidRPr="00320D51" w:rsidTr="00C95E69">
        <w:trPr>
          <w:cantSplit/>
        </w:trPr>
        <w:tc>
          <w:tcPr>
            <w:tcW w:w="2050" w:type="dxa"/>
            <w:tcBorders>
              <w:top w:val="single" w:sz="8" w:space="0" w:color="152935"/>
              <w:left w:val="single" w:sz="4" w:space="0" w:color="auto"/>
              <w:bottom w:val="single" w:sz="8" w:space="0" w:color="AEAEAE"/>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Pearson Chi-Square</w:t>
            </w:r>
          </w:p>
        </w:tc>
        <w:tc>
          <w:tcPr>
            <w:tcW w:w="1040" w:type="dxa"/>
            <w:tcBorders>
              <w:top w:val="single" w:sz="8" w:space="0" w:color="152935"/>
              <w:left w:val="nil"/>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8.873</w:t>
            </w:r>
            <w:r w:rsidRPr="00320D51">
              <w:rPr>
                <w:rFonts w:ascii="Calibri" w:eastAsia="Calibri" w:hAnsi="Calibri" w:cs="Arial"/>
                <w:vertAlign w:val="superscript"/>
              </w:rPr>
              <w:t>a</w:t>
            </w:r>
          </w:p>
        </w:tc>
        <w:tc>
          <w:tcPr>
            <w:tcW w:w="1039"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3</w:t>
            </w:r>
          </w:p>
        </w:tc>
        <w:tc>
          <w:tcPr>
            <w:tcW w:w="1489"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.031</w:t>
            </w:r>
          </w:p>
        </w:tc>
        <w:tc>
          <w:tcPr>
            <w:tcW w:w="1334"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.019</w:t>
            </w:r>
            <w:r w:rsidRPr="00320D51">
              <w:rPr>
                <w:rFonts w:ascii="Calibri" w:eastAsia="Calibri" w:hAnsi="Calibri" w:cs="Arial"/>
                <w:vertAlign w:val="superscript"/>
              </w:rPr>
              <w:t>b</w:t>
            </w:r>
          </w:p>
        </w:tc>
        <w:tc>
          <w:tcPr>
            <w:tcW w:w="1427"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.015</w:t>
            </w:r>
          </w:p>
        </w:tc>
        <w:tc>
          <w:tcPr>
            <w:tcW w:w="1427"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.022</w:t>
            </w:r>
          </w:p>
        </w:tc>
      </w:tr>
      <w:tr w:rsidR="00320D51" w:rsidRPr="00320D51" w:rsidTr="00C95E69">
        <w:trPr>
          <w:cantSplit/>
        </w:trPr>
        <w:tc>
          <w:tcPr>
            <w:tcW w:w="2050" w:type="dxa"/>
            <w:tcBorders>
              <w:top w:val="single" w:sz="8" w:space="0" w:color="AEAEAE"/>
              <w:left w:val="single" w:sz="4" w:space="0" w:color="auto"/>
              <w:bottom w:val="single" w:sz="8" w:space="0" w:color="AEAEAE"/>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Likelihood Ratio</w:t>
            </w:r>
          </w:p>
        </w:tc>
        <w:tc>
          <w:tcPr>
            <w:tcW w:w="1040" w:type="dxa"/>
            <w:tcBorders>
              <w:top w:val="single" w:sz="8" w:space="0" w:color="AEAEAE"/>
              <w:left w:val="nil"/>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10.372</w:t>
            </w:r>
          </w:p>
        </w:tc>
        <w:tc>
          <w:tcPr>
            <w:tcW w:w="1039"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3</w:t>
            </w:r>
          </w:p>
        </w:tc>
        <w:tc>
          <w:tcPr>
            <w:tcW w:w="1489"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.016</w:t>
            </w:r>
          </w:p>
        </w:tc>
        <w:tc>
          <w:tcPr>
            <w:tcW w:w="1334"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.015</w:t>
            </w:r>
            <w:r w:rsidRPr="00320D51">
              <w:rPr>
                <w:rFonts w:ascii="Calibri" w:eastAsia="Calibri" w:hAnsi="Calibri" w:cs="Arial"/>
                <w:vertAlign w:val="superscript"/>
              </w:rPr>
              <w:t>b</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.012</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.018</w:t>
            </w:r>
          </w:p>
        </w:tc>
      </w:tr>
      <w:tr w:rsidR="00320D51" w:rsidRPr="00320D51" w:rsidTr="00C95E69">
        <w:trPr>
          <w:cantSplit/>
        </w:trPr>
        <w:tc>
          <w:tcPr>
            <w:tcW w:w="2050" w:type="dxa"/>
            <w:tcBorders>
              <w:top w:val="single" w:sz="8" w:space="0" w:color="AEAEAE"/>
              <w:left w:val="single" w:sz="4" w:space="0" w:color="auto"/>
              <w:bottom w:val="single" w:sz="8" w:space="0" w:color="AEAEAE"/>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Fisher's Exact Test</w:t>
            </w:r>
          </w:p>
        </w:tc>
        <w:tc>
          <w:tcPr>
            <w:tcW w:w="1040" w:type="dxa"/>
            <w:tcBorders>
              <w:top w:val="single" w:sz="8" w:space="0" w:color="AEAEAE"/>
              <w:left w:val="nil"/>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8.225</w:t>
            </w:r>
          </w:p>
        </w:tc>
        <w:tc>
          <w:tcPr>
            <w:tcW w:w="1039" w:type="dxa"/>
            <w:tcBorders>
              <w:top w:val="single" w:sz="8" w:space="0" w:color="AEAEAE"/>
              <w:left w:val="single" w:sz="4" w:space="0" w:color="auto"/>
              <w:bottom w:val="single" w:sz="8" w:space="0" w:color="AEAEAE"/>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89" w:type="dxa"/>
            <w:tcBorders>
              <w:top w:val="single" w:sz="8" w:space="0" w:color="AEAEAE"/>
              <w:left w:val="single" w:sz="4" w:space="0" w:color="auto"/>
              <w:bottom w:val="single" w:sz="8" w:space="0" w:color="AEAEAE"/>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334"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.019</w:t>
            </w:r>
            <w:r w:rsidRPr="00320D51">
              <w:rPr>
                <w:rFonts w:ascii="Calibri" w:eastAsia="Calibri" w:hAnsi="Calibri" w:cs="Arial"/>
                <w:vertAlign w:val="superscript"/>
              </w:rPr>
              <w:t>b</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.015</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.022</w:t>
            </w:r>
          </w:p>
        </w:tc>
      </w:tr>
      <w:tr w:rsidR="00320D51" w:rsidRPr="00320D51" w:rsidTr="00C95E69">
        <w:trPr>
          <w:cantSplit/>
        </w:trPr>
        <w:tc>
          <w:tcPr>
            <w:tcW w:w="2050" w:type="dxa"/>
            <w:tcBorders>
              <w:top w:val="single" w:sz="8" w:space="0" w:color="AEAEAE"/>
              <w:left w:val="single" w:sz="4" w:space="0" w:color="auto"/>
              <w:bottom w:val="single" w:sz="8" w:space="0" w:color="152935"/>
              <w:right w:val="nil"/>
            </w:tcBorders>
            <w:shd w:val="clear" w:color="auto" w:fill="E0E0E0"/>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N of Valid Cases</w:t>
            </w:r>
          </w:p>
        </w:tc>
        <w:tc>
          <w:tcPr>
            <w:tcW w:w="1040" w:type="dxa"/>
            <w:tcBorders>
              <w:top w:val="single" w:sz="8" w:space="0" w:color="AEAEAE"/>
              <w:left w:val="nil"/>
              <w:bottom w:val="single" w:sz="8" w:space="0" w:color="152935"/>
              <w:right w:val="single" w:sz="4" w:space="0" w:color="auto"/>
            </w:tcBorders>
            <w:shd w:val="clear" w:color="auto" w:fill="FFFFFF"/>
          </w:tcPr>
          <w:p w:rsidR="00320D51" w:rsidRPr="00320D51" w:rsidRDefault="00320D51" w:rsidP="00320D51">
            <w:pPr>
              <w:bidi w:val="0"/>
              <w:spacing w:after="160" w:line="259" w:lineRule="auto"/>
              <w:rPr>
                <w:rFonts w:ascii="Calibri" w:eastAsia="Calibri" w:hAnsi="Calibri" w:cs="Arial"/>
              </w:rPr>
            </w:pPr>
            <w:r w:rsidRPr="00320D51">
              <w:rPr>
                <w:rFonts w:ascii="Calibri" w:eastAsia="Calibri" w:hAnsi="Calibri" w:cs="Arial"/>
              </w:rPr>
              <w:t>24</w:t>
            </w:r>
          </w:p>
        </w:tc>
        <w:tc>
          <w:tcPr>
            <w:tcW w:w="1039"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89"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334"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27"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c>
          <w:tcPr>
            <w:tcW w:w="1427"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20D51">
            <w:pPr>
              <w:bidi w:val="0"/>
              <w:spacing w:after="160" w:line="259" w:lineRule="auto"/>
              <w:rPr>
                <w:rFonts w:ascii="Calibri" w:eastAsia="Calibri" w:hAnsi="Calibri" w:cs="Arial"/>
              </w:rPr>
            </w:pPr>
          </w:p>
        </w:tc>
      </w:tr>
    </w:tbl>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r>
        <w:rPr>
          <w:rFonts w:ascii="Baskerville Old Face" w:hAnsi="Baskerville Old Face" w:cstheme="majorBidi"/>
          <w:sz w:val="40"/>
          <w:szCs w:val="40"/>
        </w:rPr>
        <w:t xml:space="preserve"> </w:t>
      </w: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p>
    <w:p w:rsidR="00320D51" w:rsidRPr="00F02A59" w:rsidRDefault="00320D51" w:rsidP="00320D51">
      <w:pPr>
        <w:pStyle w:val="2"/>
        <w:bidi w:val="0"/>
        <w:rPr>
          <w:rFonts w:asciiTheme="majorBidi" w:hAnsiTheme="majorBidi"/>
          <w:b w:val="0"/>
          <w:bCs w:val="0"/>
          <w:color w:val="000000" w:themeColor="text1"/>
          <w:sz w:val="28"/>
          <w:szCs w:val="28"/>
          <w:rtl/>
        </w:rPr>
      </w:pPr>
      <w:r w:rsidRPr="00F02A59">
        <w:rPr>
          <w:rFonts w:asciiTheme="majorBidi" w:hAnsiTheme="majorBidi"/>
          <w:b w:val="0"/>
          <w:bCs w:val="0"/>
          <w:color w:val="000000" w:themeColor="text1"/>
          <w:sz w:val="28"/>
          <w:szCs w:val="28"/>
        </w:rPr>
        <w:t xml:space="preserve">Hypothesis: H0 : No association between gender  status and bacterial growth  </w:t>
      </w:r>
    </w:p>
    <w:p w:rsidR="00320D51" w:rsidRPr="00F02A59" w:rsidRDefault="00320D51" w:rsidP="00320D51">
      <w:pPr>
        <w:pStyle w:val="2"/>
        <w:bidi w:val="0"/>
        <w:rPr>
          <w:rFonts w:asciiTheme="majorBidi" w:hAnsiTheme="majorBidi"/>
          <w:b w:val="0"/>
          <w:bCs w:val="0"/>
          <w:color w:val="000000" w:themeColor="text1"/>
          <w:sz w:val="28"/>
          <w:szCs w:val="28"/>
        </w:rPr>
      </w:pPr>
      <w:r w:rsidRPr="00F02A59">
        <w:rPr>
          <w:rFonts w:asciiTheme="majorBidi" w:hAnsiTheme="majorBidi"/>
          <w:b w:val="0"/>
          <w:bCs w:val="0"/>
          <w:color w:val="000000" w:themeColor="text1"/>
          <w:sz w:val="28"/>
          <w:szCs w:val="28"/>
        </w:rPr>
        <w:t xml:space="preserve">Ha : There is an association between gender  status and bacterial growth  </w:t>
      </w:r>
    </w:p>
    <w:p w:rsidR="00320D51" w:rsidRPr="00320D51" w:rsidRDefault="00320D51" w:rsidP="00320D51">
      <w:pPr>
        <w:bidi w:val="0"/>
      </w:pPr>
    </w:p>
    <w:tbl>
      <w:tblPr>
        <w:tblStyle w:val="a4"/>
        <w:tblW w:w="0" w:type="auto"/>
        <w:tblLook w:val="04A0" w:firstRow="1" w:lastRow="0" w:firstColumn="1" w:lastColumn="0" w:noHBand="0" w:noVBand="1"/>
      </w:tblPr>
      <w:tblGrid>
        <w:gridCol w:w="2130"/>
        <w:gridCol w:w="2130"/>
        <w:gridCol w:w="2131"/>
        <w:gridCol w:w="2131"/>
      </w:tblGrid>
      <w:tr w:rsidR="00320D51" w:rsidTr="00320D51">
        <w:trPr>
          <w:trHeight w:val="383"/>
        </w:trPr>
        <w:tc>
          <w:tcPr>
            <w:tcW w:w="2130" w:type="dxa"/>
          </w:tcPr>
          <w:p w:rsidR="00320D51" w:rsidRDefault="00320D51" w:rsidP="00320D51">
            <w:pPr>
              <w:bidi w:val="0"/>
            </w:pPr>
          </w:p>
        </w:tc>
        <w:tc>
          <w:tcPr>
            <w:tcW w:w="2130" w:type="dxa"/>
          </w:tcPr>
          <w:p w:rsidR="00320D51" w:rsidRDefault="00320D51" w:rsidP="00320D51">
            <w:pPr>
              <w:bidi w:val="0"/>
            </w:pPr>
            <w:r w:rsidRPr="00320D51">
              <w:t>No growth</w:t>
            </w:r>
          </w:p>
        </w:tc>
        <w:tc>
          <w:tcPr>
            <w:tcW w:w="2131" w:type="dxa"/>
            <w:tcBorders>
              <w:bottom w:val="single" w:sz="4" w:space="0" w:color="auto"/>
            </w:tcBorders>
          </w:tcPr>
          <w:p w:rsidR="00320D51" w:rsidRDefault="00320D51" w:rsidP="00320D51">
            <w:pPr>
              <w:bidi w:val="0"/>
            </w:pPr>
            <w:r w:rsidRPr="00320D51">
              <w:t>Overall</w:t>
            </w:r>
          </w:p>
        </w:tc>
        <w:tc>
          <w:tcPr>
            <w:tcW w:w="2131" w:type="dxa"/>
          </w:tcPr>
          <w:p w:rsidR="00320D51" w:rsidRDefault="00320D51" w:rsidP="00320D51">
            <w:pPr>
              <w:bidi w:val="0"/>
            </w:pPr>
            <w:r w:rsidRPr="00320D51">
              <w:t>Significant growth</w:t>
            </w:r>
          </w:p>
        </w:tc>
      </w:tr>
      <w:tr w:rsidR="00320D51" w:rsidTr="00320D51">
        <w:trPr>
          <w:trHeight w:val="400"/>
        </w:trPr>
        <w:tc>
          <w:tcPr>
            <w:tcW w:w="2130" w:type="dxa"/>
          </w:tcPr>
          <w:p w:rsidR="00320D51" w:rsidRDefault="00320D51" w:rsidP="00320D51">
            <w:pPr>
              <w:bidi w:val="0"/>
            </w:pPr>
            <w:r w:rsidRPr="00320D51">
              <w:t>Males</w:t>
            </w:r>
          </w:p>
        </w:tc>
        <w:tc>
          <w:tcPr>
            <w:tcW w:w="2130" w:type="dxa"/>
            <w:tcBorders>
              <w:bottom w:val="single" w:sz="4" w:space="0" w:color="auto"/>
            </w:tcBorders>
          </w:tcPr>
          <w:p w:rsidR="00320D51" w:rsidRDefault="00544F90" w:rsidP="00320D51">
            <w:pPr>
              <w:bidi w:val="0"/>
            </w:pPr>
            <w:r>
              <w:t>18</w:t>
            </w:r>
          </w:p>
        </w:tc>
        <w:tc>
          <w:tcPr>
            <w:tcW w:w="2131" w:type="dxa"/>
            <w:tcBorders>
              <w:bottom w:val="single" w:sz="4" w:space="0" w:color="auto"/>
            </w:tcBorders>
          </w:tcPr>
          <w:p w:rsidR="00320D51" w:rsidRDefault="00544F90" w:rsidP="00320D51">
            <w:pPr>
              <w:bidi w:val="0"/>
            </w:pPr>
            <w:r>
              <w:t>12</w:t>
            </w:r>
          </w:p>
        </w:tc>
        <w:tc>
          <w:tcPr>
            <w:tcW w:w="2131" w:type="dxa"/>
          </w:tcPr>
          <w:p w:rsidR="00320D51" w:rsidRDefault="00544F90" w:rsidP="00320D51">
            <w:pPr>
              <w:bidi w:val="0"/>
            </w:pPr>
            <w:r>
              <w:t>0</w:t>
            </w:r>
          </w:p>
        </w:tc>
      </w:tr>
      <w:tr w:rsidR="00320D51" w:rsidTr="00320D51">
        <w:trPr>
          <w:trHeight w:val="419"/>
        </w:trPr>
        <w:tc>
          <w:tcPr>
            <w:tcW w:w="2130" w:type="dxa"/>
          </w:tcPr>
          <w:p w:rsidR="00320D51" w:rsidRDefault="00320D51" w:rsidP="00320D51">
            <w:pPr>
              <w:bidi w:val="0"/>
            </w:pPr>
            <w:r w:rsidRPr="00320D51">
              <w:t>Females</w:t>
            </w:r>
          </w:p>
        </w:tc>
        <w:tc>
          <w:tcPr>
            <w:tcW w:w="2130" w:type="dxa"/>
          </w:tcPr>
          <w:p w:rsidR="00320D51" w:rsidRDefault="00544F90" w:rsidP="00320D51">
            <w:pPr>
              <w:bidi w:val="0"/>
            </w:pPr>
            <w:r>
              <w:t>17</w:t>
            </w:r>
          </w:p>
        </w:tc>
        <w:tc>
          <w:tcPr>
            <w:tcW w:w="2131" w:type="dxa"/>
            <w:tcBorders>
              <w:top w:val="single" w:sz="4" w:space="0" w:color="auto"/>
            </w:tcBorders>
          </w:tcPr>
          <w:p w:rsidR="00320D51" w:rsidRDefault="00544F90" w:rsidP="00320D51">
            <w:pPr>
              <w:bidi w:val="0"/>
            </w:pPr>
            <w:r>
              <w:t>13</w:t>
            </w:r>
          </w:p>
        </w:tc>
        <w:tc>
          <w:tcPr>
            <w:tcW w:w="2131" w:type="dxa"/>
          </w:tcPr>
          <w:p w:rsidR="00320D51" w:rsidRDefault="00544F90" w:rsidP="00320D51">
            <w:pPr>
              <w:bidi w:val="0"/>
            </w:pPr>
            <w:r>
              <w:t>3</w:t>
            </w:r>
          </w:p>
        </w:tc>
      </w:tr>
    </w:tbl>
    <w:p w:rsidR="00CC3B35" w:rsidRDefault="00CC3B35" w:rsidP="00CC3B35">
      <w:pPr>
        <w:pStyle w:val="2"/>
        <w:bidi w:val="0"/>
        <w:rPr>
          <w:b w:val="0"/>
          <w:bCs w:val="0"/>
          <w:color w:val="000000" w:themeColor="text1"/>
        </w:rPr>
      </w:pPr>
    </w:p>
    <w:p w:rsidR="00F02A59" w:rsidRPr="00F02A59" w:rsidRDefault="00F02A59" w:rsidP="00CC3B35">
      <w:pPr>
        <w:pStyle w:val="2"/>
        <w:bidi w:val="0"/>
        <w:rPr>
          <w:b w:val="0"/>
          <w:bCs w:val="0"/>
          <w:color w:val="000000" w:themeColor="text1"/>
        </w:rPr>
      </w:pPr>
      <w:r w:rsidRPr="00F02A59">
        <w:rPr>
          <w:b w:val="0"/>
          <w:bCs w:val="0"/>
          <w:color w:val="000000" w:themeColor="text1"/>
        </w:rPr>
        <w:t xml:space="preserve">Summary table </w:t>
      </w:r>
    </w:p>
    <w:p w:rsidR="007F2BD1" w:rsidRPr="00F02A59" w:rsidRDefault="00232D1E" w:rsidP="00F02A59">
      <w:pPr>
        <w:pStyle w:val="2"/>
        <w:bidi w:val="0"/>
        <w:rPr>
          <w:b w:val="0"/>
          <w:bCs w:val="0"/>
          <w:color w:val="000000" w:themeColor="text1"/>
        </w:rPr>
      </w:pPr>
      <w:r w:rsidRPr="00232D1E">
        <w:rPr>
          <w:b w:val="0"/>
          <w:bCs w:val="0"/>
          <w:color w:val="000000" w:themeColor="text1"/>
        </w:rPr>
        <w:t>The P-value is 0.019. Accept or reject the null hypothesis (FTR) We accept rejecting the null hypothesis because the P-value is less than alpha 0.05. Conclusion: There is a link between gender and bacterial growth.</w:t>
      </w:r>
      <w:r w:rsidR="00F02A59">
        <w:rPr>
          <w:b w:val="0"/>
          <w:bCs w:val="0"/>
          <w:color w:val="000000" w:themeColor="text1"/>
        </w:rPr>
        <w:t xml:space="preserve"> </w:t>
      </w:r>
      <w:r w:rsidR="00CC3B35">
        <w:rPr>
          <w:rFonts w:ascii="Baskerville Old Face" w:hAnsi="Baskerville Old Face"/>
          <w:noProof/>
          <w:sz w:val="40"/>
          <w:szCs w:val="40"/>
        </w:rPr>
        <w:drawing>
          <wp:inline distT="0" distB="0" distL="0" distR="0" wp14:anchorId="1EF065A2" wp14:editId="0777A9D5">
            <wp:extent cx="4219575" cy="2190750"/>
            <wp:effectExtent l="0" t="0" r="9525"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23429" cy="2192751"/>
                    </a:xfrm>
                    <a:prstGeom prst="rect">
                      <a:avLst/>
                    </a:prstGeom>
                    <a:noFill/>
                  </pic:spPr>
                </pic:pic>
              </a:graphicData>
            </a:graphic>
          </wp:inline>
        </w:drawing>
      </w:r>
    </w:p>
    <w:p w:rsidR="007F2BD1" w:rsidRDefault="00CC3B35" w:rsidP="00CC3B35">
      <w:pPr>
        <w:autoSpaceDE w:val="0"/>
        <w:autoSpaceDN w:val="0"/>
        <w:bidi w:val="0"/>
        <w:adjustRightInd w:val="0"/>
        <w:spacing w:after="0" w:line="240" w:lineRule="auto"/>
        <w:rPr>
          <w:rFonts w:ascii="Baskerville Old Face" w:hAnsi="Baskerville Old Face" w:cstheme="majorBidi"/>
          <w:noProof/>
          <w:sz w:val="40"/>
          <w:szCs w:val="40"/>
        </w:rPr>
      </w:pPr>
      <w:r>
        <w:rPr>
          <w:rFonts w:ascii="Baskerville Old Face" w:hAnsi="Baskerville Old Face" w:cstheme="majorBidi"/>
          <w:noProof/>
          <w:sz w:val="40"/>
          <w:szCs w:val="40"/>
        </w:rPr>
        <w:drawing>
          <wp:inline distT="0" distB="0" distL="0" distR="0" wp14:anchorId="1AE61FA3" wp14:editId="095869FD">
            <wp:extent cx="4257675" cy="2333625"/>
            <wp:effectExtent l="0" t="0" r="9525"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56771" cy="2333129"/>
                    </a:xfrm>
                    <a:prstGeom prst="rect">
                      <a:avLst/>
                    </a:prstGeom>
                    <a:noFill/>
                  </pic:spPr>
                </pic:pic>
              </a:graphicData>
            </a:graphic>
          </wp:inline>
        </w:drawing>
      </w:r>
    </w:p>
    <w:p w:rsidR="00C95E69" w:rsidRPr="00C95E69" w:rsidRDefault="00C95E69" w:rsidP="00C95E69">
      <w:pPr>
        <w:keepNext/>
        <w:keepLines/>
        <w:bidi w:val="0"/>
        <w:spacing w:before="200" w:after="0"/>
        <w:outlineLvl w:val="1"/>
        <w:rPr>
          <w:rFonts w:asciiTheme="majorHAnsi" w:hAnsiTheme="majorHAnsi" w:cstheme="majorBidi"/>
          <w:color w:val="000000" w:themeColor="text1"/>
          <w:sz w:val="28"/>
          <w:szCs w:val="28"/>
        </w:rPr>
      </w:pPr>
      <w:r w:rsidRPr="00C95E69">
        <w:rPr>
          <w:rFonts w:ascii="Baskerville Old Face" w:eastAsiaTheme="majorEastAsia" w:hAnsi="Baskerville Old Face" w:cstheme="majorBidi"/>
          <w:b/>
          <w:bCs/>
          <w:color w:val="000000" w:themeColor="text1"/>
          <w:sz w:val="40"/>
          <w:szCs w:val="40"/>
        </w:rPr>
        <w:lastRenderedPageBreak/>
        <w:t xml:space="preserve">Discussion </w:t>
      </w:r>
      <w:r w:rsidRPr="00C95E69">
        <w:rPr>
          <w:rFonts w:ascii="Baskerville Old Face" w:eastAsiaTheme="majorEastAsia" w:hAnsi="Baskerville Old Face" w:cstheme="majorBidi"/>
          <w:b/>
          <w:bCs/>
          <w:color w:val="4F81BD" w:themeColor="accent1"/>
          <w:sz w:val="40"/>
          <w:szCs w:val="40"/>
        </w:rPr>
        <w:t xml:space="preserve">: </w:t>
      </w:r>
    </w:p>
    <w:p w:rsidR="00BE2C29" w:rsidRDefault="00BE2C29" w:rsidP="00232D1E">
      <w:pPr>
        <w:keepNext/>
        <w:keepLines/>
        <w:bidi w:val="0"/>
        <w:spacing w:before="200" w:after="0"/>
        <w:outlineLvl w:val="1"/>
        <w:rPr>
          <w:rFonts w:asciiTheme="majorHAnsi" w:eastAsiaTheme="majorEastAsia" w:hAnsiTheme="majorHAnsi" w:cstheme="majorBidi"/>
          <w:color w:val="000000" w:themeColor="text1"/>
          <w:sz w:val="26"/>
          <w:szCs w:val="26"/>
        </w:rPr>
      </w:pPr>
      <w:r w:rsidRPr="00BE2C29">
        <w:rPr>
          <w:rFonts w:asciiTheme="majorHAnsi" w:eastAsiaTheme="majorEastAsia" w:hAnsiTheme="majorHAnsi" w:cstheme="majorBidi"/>
          <w:color w:val="000000" w:themeColor="text1"/>
          <w:sz w:val="26"/>
          <w:szCs w:val="26"/>
        </w:rPr>
        <w:t>Given the p-value of 0.019 for this experiment, the null hypothesis can be rejected and the data are not contaminated. Contrary to my expectations, the results show that significant increases in bacteriuria do not occur at a high rate. Men have a 0% incidence rate, with only 8 men showing any development, let alone growth that would be considered even minimal. Females are significantly less affected than expected, despite a 16.66 percent incidence rate. Despite this, bacteriuria growth was observed in 10 of the 12 women, indicating that the vast majority are at risk of developing it. UTI-caused infections</w:t>
      </w:r>
      <w:r>
        <w:rPr>
          <w:rFonts w:asciiTheme="majorHAnsi" w:eastAsiaTheme="majorEastAsia" w:hAnsiTheme="majorHAnsi" w:cstheme="majorBidi"/>
          <w:color w:val="000000" w:themeColor="text1"/>
          <w:sz w:val="26"/>
          <w:szCs w:val="26"/>
        </w:rPr>
        <w:t>.</w:t>
      </w:r>
    </w:p>
    <w:p w:rsidR="00C95E69" w:rsidRPr="0024083F" w:rsidRDefault="00BE2C29" w:rsidP="00430AA7">
      <w:pPr>
        <w:keepNext/>
        <w:keepLines/>
        <w:bidi w:val="0"/>
        <w:spacing w:before="200" w:after="0"/>
        <w:outlineLvl w:val="1"/>
        <w:rPr>
          <w:rFonts w:asciiTheme="majorHAnsi" w:eastAsiaTheme="majorEastAsia" w:hAnsiTheme="majorHAnsi" w:cstheme="majorBidi"/>
          <w:color w:val="000000" w:themeColor="text1"/>
          <w:sz w:val="26"/>
          <w:szCs w:val="26"/>
        </w:rPr>
      </w:pPr>
      <w:r w:rsidRPr="00BE2C29">
        <w:rPr>
          <w:rFonts w:asciiTheme="majorHAnsi" w:eastAsiaTheme="majorEastAsia" w:hAnsiTheme="majorHAnsi" w:cstheme="majorBidi"/>
          <w:color w:val="000000" w:themeColor="text1"/>
          <w:sz w:val="26"/>
          <w:szCs w:val="26"/>
        </w:rPr>
        <w:t>We can reasonably conclude from this data that men are not particularly vulnerable to bacteriuria infection, which corresponds to our prior knowledge. Germs have a much more difficult time colonizing the male urethra than the female urethra due to its length and distance from the anus. Furthermore, while women are more vulnerable to bacteriuria, the risk is still low enough to be concerned, with only 16 out of every 100 women experiencing significant bacteriuria and even fewer experiencing UTIs.</w:t>
      </w:r>
      <w:r w:rsidRPr="00BE2C29">
        <w:t xml:space="preserve"> </w:t>
      </w:r>
      <w:r w:rsidRPr="00BE2C29">
        <w:rPr>
          <w:rFonts w:asciiTheme="majorHAnsi" w:eastAsiaTheme="majorEastAsia" w:hAnsiTheme="majorHAnsi" w:cstheme="majorBidi"/>
          <w:color w:val="000000" w:themeColor="text1"/>
          <w:sz w:val="26"/>
          <w:szCs w:val="26"/>
        </w:rPr>
        <w:t>The threat, however, persists and is far more prevalent among women than among men. It's intriguing that 13 of the 23 people in both the male and female groups had bacteriuria growth, even if it was minor. This could be a problem because even minor growth has the potential to develop into significant growth, which could lead to UTIs</w:t>
      </w:r>
      <w:r w:rsidR="00430AA7" w:rsidRPr="00430AA7">
        <w:rPr>
          <w:rFonts w:asciiTheme="majorHAnsi" w:eastAsiaTheme="majorEastAsia" w:hAnsiTheme="majorHAnsi" w:cstheme="majorBidi"/>
          <w:color w:val="000000" w:themeColor="text1"/>
          <w:sz w:val="26"/>
          <w:szCs w:val="26"/>
        </w:rPr>
        <w:t>. Although non-significant growth does not always indicate the presence of UTIs, this study suggests that both males and females are at risk for bacteriuria, as the growth could eventually become large and cause UTI problems.</w:t>
      </w:r>
      <w:r w:rsidR="00232D1E" w:rsidRPr="0024083F">
        <w:rPr>
          <w:rFonts w:asciiTheme="majorHAnsi" w:eastAsiaTheme="majorEastAsia" w:hAnsiTheme="majorHAnsi" w:cstheme="majorBidi"/>
          <w:color w:val="000000" w:themeColor="text1"/>
          <w:sz w:val="26"/>
          <w:szCs w:val="26"/>
        </w:rPr>
        <w:t>. The second point is</w:t>
      </w:r>
    </w:p>
    <w:p w:rsidR="00430AA7" w:rsidRPr="00430AA7" w:rsidRDefault="00430AA7" w:rsidP="00430AA7">
      <w:pPr>
        <w:pStyle w:val="2"/>
        <w:bidi w:val="0"/>
        <w:rPr>
          <w:b w:val="0"/>
          <w:bCs w:val="0"/>
          <w:color w:val="000000" w:themeColor="text1"/>
          <w:sz w:val="28"/>
          <w:szCs w:val="28"/>
        </w:rPr>
      </w:pPr>
      <w:r w:rsidRPr="00430AA7">
        <w:rPr>
          <w:b w:val="0"/>
          <w:bCs w:val="0"/>
          <w:color w:val="000000" w:themeColor="text1"/>
          <w:sz w:val="28"/>
          <w:szCs w:val="28"/>
        </w:rPr>
        <w:t>will almost never result in significant growth, and males are safe from bacteriuria. However, the situation is different for women.</w:t>
      </w:r>
    </w:p>
    <w:p w:rsidR="008B05AD" w:rsidRPr="008B05AD" w:rsidRDefault="00430AA7" w:rsidP="00430AA7">
      <w:pPr>
        <w:pStyle w:val="2"/>
        <w:bidi w:val="0"/>
        <w:rPr>
          <w:b w:val="0"/>
          <w:bCs w:val="0"/>
          <w:color w:val="000000" w:themeColor="text1"/>
          <w:sz w:val="28"/>
          <w:szCs w:val="28"/>
        </w:rPr>
      </w:pPr>
      <w:r w:rsidRPr="00430AA7">
        <w:rPr>
          <w:b w:val="0"/>
          <w:bCs w:val="0"/>
          <w:color w:val="000000" w:themeColor="text1"/>
          <w:sz w:val="28"/>
          <w:szCs w:val="28"/>
        </w:rPr>
        <w:t>While less than 10% will ever face this significantly increased risk, bacteriuria, which is still severe enough to cause problems for women due to UTI and pyelonephritis problems that could result from routine Screening, could be useful for detecting ASB before it becomes a problem.</w:t>
      </w:r>
    </w:p>
    <w:p w:rsidR="007F2BD1" w:rsidRPr="0024083F" w:rsidRDefault="007F2BD1" w:rsidP="0024083F">
      <w:pPr>
        <w:pStyle w:val="2"/>
        <w:jc w:val="right"/>
        <w:rPr>
          <w:rFonts w:asciiTheme="majorBidi" w:hAnsiTheme="majorBidi"/>
          <w:b w:val="0"/>
          <w:bCs w:val="0"/>
          <w:color w:val="000000" w:themeColor="text1"/>
          <w:sz w:val="28"/>
          <w:szCs w:val="28"/>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t>Conclusion :</w:t>
      </w:r>
    </w:p>
    <w:p w:rsidR="0024083F" w:rsidRPr="0024083F" w:rsidRDefault="00430AA7" w:rsidP="0024083F">
      <w:pPr>
        <w:pStyle w:val="2"/>
        <w:jc w:val="right"/>
        <w:rPr>
          <w:rFonts w:asciiTheme="majorBidi" w:hAnsiTheme="majorBidi"/>
          <w:b w:val="0"/>
          <w:bCs w:val="0"/>
          <w:color w:val="000000" w:themeColor="text1"/>
          <w:sz w:val="32"/>
          <w:szCs w:val="32"/>
        </w:rPr>
      </w:pPr>
      <w:r w:rsidRPr="00430AA7">
        <w:rPr>
          <w:rFonts w:asciiTheme="majorBidi" w:hAnsiTheme="majorBidi" w:cs="Times New Roman"/>
          <w:b w:val="0"/>
          <w:bCs w:val="0"/>
          <w:color w:val="000000" w:themeColor="text1"/>
          <w:sz w:val="32"/>
          <w:szCs w:val="32"/>
        </w:rPr>
        <w:t>Even though this lab was not perfect, the results showed that females were the group most at risk of ASB because it was much more common in women than in men. One of this lab's flaws was the small sample size, which was so small that the experiment could have been changed if more than 100 people had been tested for possible standard deviation caused by a few outliers. The advantages would be that sterilized urine was collected in containers where both sterilization and The urine was kept in sealed containers to prevent outside interference</w:t>
      </w:r>
      <w:r w:rsidRPr="00430AA7">
        <w:rPr>
          <w:rFonts w:asciiTheme="majorBidi" w:hAnsiTheme="majorBidi" w:cs="Times New Roman"/>
          <w:b w:val="0"/>
          <w:bCs w:val="0"/>
          <w:color w:val="000000" w:themeColor="text1"/>
          <w:sz w:val="32"/>
          <w:szCs w:val="32"/>
          <w:rtl/>
        </w:rPr>
        <w:t>.</w:t>
      </w:r>
      <w:r w:rsidR="0024083F" w:rsidRPr="0024083F">
        <w:rPr>
          <w:rFonts w:asciiTheme="majorBidi" w:hAnsiTheme="majorBidi" w:cs="Times New Roman"/>
          <w:b w:val="0"/>
          <w:bCs w:val="0"/>
          <w:color w:val="000000" w:themeColor="text1"/>
          <w:sz w:val="32"/>
          <w:szCs w:val="32"/>
          <w:rtl/>
        </w:rPr>
        <w:t>.</w:t>
      </w:r>
    </w:p>
    <w:p w:rsidR="008B05AD" w:rsidRPr="00C95E69" w:rsidRDefault="008B05AD" w:rsidP="00BB2104">
      <w:pPr>
        <w:pStyle w:val="2"/>
        <w:jc w:val="right"/>
        <w:rPr>
          <w:rFonts w:asciiTheme="majorBidi" w:hAnsiTheme="majorBidi"/>
          <w:b w:val="0"/>
          <w:bCs w:val="0"/>
          <w:color w:val="000000" w:themeColor="text1"/>
          <w:sz w:val="28"/>
          <w:szCs w:val="28"/>
        </w:rPr>
      </w:pPr>
      <w:r w:rsidRPr="00C95E69">
        <w:rPr>
          <w:rFonts w:asciiTheme="majorBidi" w:hAnsiTheme="majorBidi"/>
          <w:b w:val="0"/>
          <w:bCs w:val="0"/>
          <w:color w:val="000000" w:themeColor="text1"/>
          <w:sz w:val="28"/>
          <w:szCs w:val="28"/>
          <w:rtl/>
        </w:rPr>
        <w:t>.</w:t>
      </w:r>
    </w:p>
    <w:p w:rsidR="007F2BD1" w:rsidRPr="00430AA7" w:rsidRDefault="00430AA7" w:rsidP="007F2BD1">
      <w:pPr>
        <w:autoSpaceDE w:val="0"/>
        <w:autoSpaceDN w:val="0"/>
        <w:bidi w:val="0"/>
        <w:adjustRightInd w:val="0"/>
        <w:spacing w:after="0" w:line="240" w:lineRule="auto"/>
        <w:rPr>
          <w:rFonts w:ascii="Baskerville Old Face" w:hAnsi="Baskerville Old Face" w:cstheme="majorBidi"/>
          <w:sz w:val="32"/>
          <w:szCs w:val="32"/>
        </w:rPr>
      </w:pPr>
      <w:r w:rsidRPr="00430AA7">
        <w:rPr>
          <w:rFonts w:ascii="Baskerville Old Face" w:hAnsi="Baskerville Old Face" w:cstheme="majorBidi"/>
          <w:sz w:val="32"/>
          <w:szCs w:val="32"/>
        </w:rPr>
        <w:t>sources. But, in the grand scheme of things, what we accomplished in the outcomes makes sense and leads us to the simple fact that asymptomatic bacteriuria is an infection that primarily affects women at a rate that, while not high enough to cause widespread panic, is still high enough that most women would benefit from, at the very least, semi-regular screening to reduce the rate of UTIs and potential pyelonephritis caused by consistent ASB that can occur, and which can be</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BB2104">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r w:rsidRPr="007F2BD1">
        <w:rPr>
          <w:rFonts w:ascii="Baskerville Old Face" w:hAnsi="Baskerville Old Face" w:cstheme="majorBidi"/>
          <w:sz w:val="40"/>
          <w:szCs w:val="40"/>
        </w:rPr>
        <w:t xml:space="preserve">References : </w:t>
      </w:r>
    </w:p>
    <w:p w:rsidR="0024083F"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24083F" w:rsidRPr="007F2BD1" w:rsidRDefault="0024083F" w:rsidP="0024083F">
      <w:pPr>
        <w:autoSpaceDE w:val="0"/>
        <w:autoSpaceDN w:val="0"/>
        <w:bidi w:val="0"/>
        <w:adjustRightInd w:val="0"/>
        <w:spacing w:after="0" w:line="240" w:lineRule="auto"/>
        <w:rPr>
          <w:rFonts w:ascii="Baskerville Old Face" w:hAnsi="Baskerville Old Face" w:cstheme="majorBidi"/>
          <w:sz w:val="40"/>
          <w:szCs w:val="40"/>
        </w:rPr>
      </w:pPr>
    </w:p>
    <w:p w:rsidR="007F2BD1" w:rsidRPr="00817E0E" w:rsidRDefault="00C95E69" w:rsidP="00C95E69">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Ranjan A., Sridhar S.T.K., Matta N., Chokkakula S., Ansari R.K. Prevalence of UTI among Pregnant Women and Its Complications in Newborns. Indian J. Pharm. Pract. 2017;10:45. doi: 10.5530/ijopp.10.1.10</w:t>
      </w:r>
      <w:r w:rsidR="00817E0E" w:rsidRPr="00817E0E">
        <w:rPr>
          <w:rFonts w:asciiTheme="majorBidi" w:hAnsiTheme="majorBidi" w:cstheme="majorBidi"/>
          <w:sz w:val="28"/>
          <w:szCs w:val="28"/>
        </w:rPr>
        <w:t xml:space="preserve"> </w:t>
      </w:r>
    </w:p>
    <w:p w:rsidR="00817E0E"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Urinary Tract Infections | UTI | UTI Symptoms | MedlinePlus [Internet]. Medlineplus.gov. 2020 [cited 6 March 2020]. Available from</w:t>
      </w:r>
    </w:p>
    <w:p w:rsidR="00817E0E"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_ Sakamoto, M., et al. "Molecular analysis of bacteria in asymptomatic and symptomatic endodontic infections." </w:t>
      </w:r>
      <w:r w:rsidRPr="00817E0E">
        <w:rPr>
          <w:rFonts w:asciiTheme="majorBidi" w:hAnsiTheme="majorBidi" w:cstheme="majorBidi"/>
          <w:i/>
          <w:iCs/>
          <w:sz w:val="28"/>
          <w:szCs w:val="28"/>
        </w:rPr>
        <w:t>Oral microbiology and immunology</w:t>
      </w:r>
      <w:r w:rsidRPr="00817E0E">
        <w:rPr>
          <w:rFonts w:asciiTheme="majorBidi" w:hAnsiTheme="majorBidi" w:cstheme="majorBidi"/>
          <w:sz w:val="28"/>
          <w:szCs w:val="28"/>
        </w:rPr>
        <w:t> 21.2 (2006): 112-122</w:t>
      </w:r>
    </w:p>
    <w:p w:rsidR="00C95E69"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Moore E.E., Hawes S.E., Scholes D., Boyko E.J., Hughes J.P., Fihn S.D. Sexual intercourse and risk of symptomatic urinary tract infection in post-menopausal women. J. Gen. Intern. Med. 2008;23:595–599. doi: 10.1007/s11606-008-0535-y.</w:t>
      </w:r>
    </w:p>
    <w:p w:rsidR="00817E0E" w:rsidRPr="00817E0E" w:rsidRDefault="00817E0E" w:rsidP="00817E0E">
      <w:pPr>
        <w:pStyle w:val="a8"/>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Afoakwa P, Domfeh S, Afranie B, Owusu D, Donkor S, Sakyi K et al. Asymptomatic Bacteriuria and Anti-Microbial Susceptibility Patterns among Women of Reproductive Age. A Cross-Sectional Study in Primary Care, Ghana. National Library Of Medicine. 2022. [accessed 4 Jun 2022] Available from: https://www.ncbi.nlm.nih.gov/pmc/articles/PMC6313490/</w:t>
      </w:r>
    </w:p>
    <w:p w:rsidR="006C2CCC" w:rsidRPr="00753EF6" w:rsidRDefault="006C2CCC" w:rsidP="00753EF6">
      <w:pPr>
        <w:tabs>
          <w:tab w:val="left" w:pos="7016"/>
        </w:tabs>
        <w:bidi w:val="0"/>
        <w:rPr>
          <w:rFonts w:asciiTheme="majorBidi" w:hAnsiTheme="majorBidi" w:cstheme="majorBidi"/>
          <w:sz w:val="24"/>
          <w:szCs w:val="24"/>
          <w:rtl/>
        </w:rPr>
      </w:pPr>
    </w:p>
    <w:sectPr w:rsidR="006C2CCC" w:rsidRPr="00753EF6" w:rsidSect="003B38E9">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430E1" w:rsidRDefault="00D430E1" w:rsidP="00F93603">
      <w:pPr>
        <w:spacing w:after="0" w:line="240" w:lineRule="auto"/>
      </w:pPr>
      <w:r>
        <w:separator/>
      </w:r>
    </w:p>
  </w:endnote>
  <w:endnote w:type="continuationSeparator" w:id="0">
    <w:p w:rsidR="00D430E1" w:rsidRDefault="00D430E1"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Arial"/>
    <w:panose1 w:val="02020603050405020304"/>
    <w:charset w:val="00"/>
    <w:family w:val="roman"/>
    <w:pitch w:val="variable"/>
    <w:sig w:usb0="00000000"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altName w:val="Arial"/>
    <w:panose1 w:val="02040503050406030204"/>
    <w:charset w:val="00"/>
    <w:family w:val="roman"/>
    <w:pitch w:val="variable"/>
    <w:sig w:usb0="00000001"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skerville Old Face">
    <w:altName w:val="Noto Serif Thai"/>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0246918"/>
      <w:docPartObj>
        <w:docPartGallery w:val="Page Numbers (Bottom of Page)"/>
        <w:docPartUnique/>
      </w:docPartObj>
    </w:sdtPr>
    <w:sdtEndPr/>
    <w:sdtContent>
      <w:p w:rsidR="003B38E9" w:rsidRDefault="003B38E9">
        <w:pPr>
          <w:pStyle w:val="a6"/>
          <w:jc w:val="center"/>
        </w:pPr>
        <w:r>
          <w:fldChar w:fldCharType="begin"/>
        </w:r>
        <w:r>
          <w:instrText>PAGE   \* MERGEFORMAT</w:instrText>
        </w:r>
        <w:r>
          <w:fldChar w:fldCharType="separate"/>
        </w:r>
        <w:r w:rsidR="00430AA7" w:rsidRPr="00430AA7">
          <w:rPr>
            <w:noProof/>
            <w:rtl/>
            <w:lang w:val="ar-SA"/>
          </w:rPr>
          <w:t>1</w:t>
        </w:r>
        <w:r>
          <w:fldChar w:fldCharType="end"/>
        </w:r>
      </w:p>
    </w:sdtContent>
  </w:sdt>
  <w:p w:rsidR="003B38E9" w:rsidRDefault="003B38E9">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430E1" w:rsidRDefault="00D430E1" w:rsidP="00F93603">
      <w:pPr>
        <w:spacing w:after="0" w:line="240" w:lineRule="auto"/>
      </w:pPr>
      <w:r>
        <w:separator/>
      </w:r>
    </w:p>
  </w:footnote>
  <w:footnote w:type="continuationSeparator" w:id="0">
    <w:p w:rsidR="00D430E1" w:rsidRDefault="00D430E1" w:rsidP="00F936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1C11A12"/>
    <w:multiLevelType w:val="hybridMultilevel"/>
    <w:tmpl w:val="725CD862"/>
    <w:lvl w:ilvl="0" w:tplc="6C3005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607798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2"/>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75C5B"/>
    <w:rsid w:val="00024339"/>
    <w:rsid w:val="00056AC6"/>
    <w:rsid w:val="0008033D"/>
    <w:rsid w:val="000D338B"/>
    <w:rsid w:val="000E3258"/>
    <w:rsid w:val="00112279"/>
    <w:rsid w:val="00167B4E"/>
    <w:rsid w:val="00181E9A"/>
    <w:rsid w:val="001D1A99"/>
    <w:rsid w:val="00232D1E"/>
    <w:rsid w:val="0024083F"/>
    <w:rsid w:val="00260FF1"/>
    <w:rsid w:val="00266FDC"/>
    <w:rsid w:val="00320D51"/>
    <w:rsid w:val="00321D68"/>
    <w:rsid w:val="003871A8"/>
    <w:rsid w:val="003B38E9"/>
    <w:rsid w:val="003C0B6D"/>
    <w:rsid w:val="00430AA7"/>
    <w:rsid w:val="00501548"/>
    <w:rsid w:val="00537DD1"/>
    <w:rsid w:val="00544F90"/>
    <w:rsid w:val="00565715"/>
    <w:rsid w:val="006C2CCC"/>
    <w:rsid w:val="006E6396"/>
    <w:rsid w:val="006F0450"/>
    <w:rsid w:val="00707E0D"/>
    <w:rsid w:val="00744E1E"/>
    <w:rsid w:val="00753EF6"/>
    <w:rsid w:val="007D60A4"/>
    <w:rsid w:val="007F2BD1"/>
    <w:rsid w:val="00817E0E"/>
    <w:rsid w:val="0082196E"/>
    <w:rsid w:val="008B05AD"/>
    <w:rsid w:val="00915656"/>
    <w:rsid w:val="00985BBE"/>
    <w:rsid w:val="009C566D"/>
    <w:rsid w:val="00B32A56"/>
    <w:rsid w:val="00B80A50"/>
    <w:rsid w:val="00BA186A"/>
    <w:rsid w:val="00BB2104"/>
    <w:rsid w:val="00BE2C29"/>
    <w:rsid w:val="00BF6FF6"/>
    <w:rsid w:val="00C75C5B"/>
    <w:rsid w:val="00C900FF"/>
    <w:rsid w:val="00C95E69"/>
    <w:rsid w:val="00CB2D1C"/>
    <w:rsid w:val="00CC3B35"/>
    <w:rsid w:val="00D430E1"/>
    <w:rsid w:val="00D45B4A"/>
    <w:rsid w:val="00E83FE9"/>
    <w:rsid w:val="00EA477C"/>
    <w:rsid w:val="00F02A59"/>
    <w:rsid w:val="00F05B76"/>
    <w:rsid w:val="00F27CD1"/>
    <w:rsid w:val="00F9360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B20750B"/>
  <w15:docId w15:val="{3EB1AF0E-20D3-BD4F-A7AE-C1C7EE261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95E69"/>
    <w:pPr>
      <w:bidi/>
    </w:pPr>
  </w:style>
  <w:style w:type="paragraph" w:styleId="1">
    <w:name w:val="heading 1"/>
    <w:basedOn w:val="a"/>
    <w:next w:val="a"/>
    <w:link w:val="1Char"/>
    <w:uiPriority w:val="9"/>
    <w:qFormat/>
    <w:rsid w:val="006E63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6E63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F27CD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C2CCC"/>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6C2CCC"/>
    <w:rPr>
      <w:rFonts w:ascii="Tahoma" w:hAnsi="Tahoma" w:cs="Tahoma"/>
      <w:sz w:val="16"/>
      <w:szCs w:val="16"/>
    </w:rPr>
  </w:style>
  <w:style w:type="table" w:styleId="a4">
    <w:name w:val="Table Grid"/>
    <w:basedOn w:val="a1"/>
    <w:uiPriority w:val="59"/>
    <w:rsid w:val="006C2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Char0"/>
    <w:uiPriority w:val="99"/>
    <w:unhideWhenUsed/>
    <w:rsid w:val="00F93603"/>
    <w:pPr>
      <w:tabs>
        <w:tab w:val="center" w:pos="4153"/>
        <w:tab w:val="right" w:pos="8306"/>
      </w:tabs>
      <w:spacing w:after="0" w:line="240" w:lineRule="auto"/>
    </w:pPr>
  </w:style>
  <w:style w:type="character" w:customStyle="1" w:styleId="Char0">
    <w:name w:val="رأس الصفحة Char"/>
    <w:basedOn w:val="a0"/>
    <w:link w:val="a5"/>
    <w:uiPriority w:val="99"/>
    <w:rsid w:val="00F93603"/>
  </w:style>
  <w:style w:type="paragraph" w:styleId="a6">
    <w:name w:val="footer"/>
    <w:basedOn w:val="a"/>
    <w:link w:val="Char1"/>
    <w:uiPriority w:val="99"/>
    <w:unhideWhenUsed/>
    <w:rsid w:val="00F93603"/>
    <w:pPr>
      <w:tabs>
        <w:tab w:val="center" w:pos="4153"/>
        <w:tab w:val="right" w:pos="8306"/>
      </w:tabs>
      <w:spacing w:after="0" w:line="240" w:lineRule="auto"/>
    </w:pPr>
  </w:style>
  <w:style w:type="character" w:customStyle="1" w:styleId="Char1">
    <w:name w:val="تذييل الصفحة Char"/>
    <w:basedOn w:val="a0"/>
    <w:link w:val="a6"/>
    <w:uiPriority w:val="99"/>
    <w:rsid w:val="00F93603"/>
  </w:style>
  <w:style w:type="paragraph" w:styleId="a7">
    <w:name w:val="No Spacing"/>
    <w:uiPriority w:val="1"/>
    <w:qFormat/>
    <w:rsid w:val="006E6396"/>
    <w:pPr>
      <w:bidi/>
      <w:spacing w:after="0" w:line="240" w:lineRule="auto"/>
    </w:pPr>
  </w:style>
  <w:style w:type="character" w:customStyle="1" w:styleId="1Char">
    <w:name w:val="العنوان 1 Char"/>
    <w:basedOn w:val="a0"/>
    <w:link w:val="1"/>
    <w:uiPriority w:val="9"/>
    <w:rsid w:val="006E6396"/>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6E6396"/>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F27CD1"/>
    <w:rPr>
      <w:rFonts w:asciiTheme="majorHAnsi" w:eastAsiaTheme="majorEastAsia" w:hAnsiTheme="majorHAnsi" w:cstheme="majorBidi"/>
      <w:b/>
      <w:bCs/>
      <w:color w:val="4F81BD" w:themeColor="accent1"/>
    </w:rPr>
  </w:style>
  <w:style w:type="table" w:styleId="2-1">
    <w:name w:val="Medium List 2 Accent 1"/>
    <w:basedOn w:val="a1"/>
    <w:uiPriority w:val="66"/>
    <w:rsid w:val="00320D51"/>
    <w:pPr>
      <w:bidi/>
      <w:spacing w:after="0" w:line="240" w:lineRule="auto"/>
    </w:pPr>
    <w:rPr>
      <w:rFonts w:asciiTheme="majorHAnsi" w:eastAsiaTheme="majorEastAsia" w:hAnsiTheme="majorHAnsi" w:cstheme="majorBidi"/>
      <w:color w:val="000000" w:themeColor="text1"/>
      <w:rt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a8">
    <w:name w:val="List Paragraph"/>
    <w:basedOn w:val="a"/>
    <w:uiPriority w:val="34"/>
    <w:qFormat/>
    <w:rsid w:val="00C95E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fontTable" Target="fontTable.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footer" Target="footer1.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4.png" /><Relationship Id="rId5" Type="http://schemas.openxmlformats.org/officeDocument/2006/relationships/webSettings" Target="webSettings.xml" /><Relationship Id="rId10" Type="http://schemas.openxmlformats.org/officeDocument/2006/relationships/image" Target="media/image3.png" /><Relationship Id="rId4" Type="http://schemas.openxmlformats.org/officeDocument/2006/relationships/settings" Target="settings.xml" /><Relationship Id="rId9" Type="http://schemas.openxmlformats.org/officeDocument/2006/relationships/image" Target="media/image2.jpg" /><Relationship Id="rId1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F77084-8608-4850-B186-23D80CCFCC83}">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1402</Words>
  <Characters>7996</Characters>
  <Application>Microsoft Office Word</Application>
  <DocSecurity>0</DocSecurity>
  <Lines>66</Lines>
  <Paragraphs>18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9380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مستخدم ضيف</cp:lastModifiedBy>
  <cp:revision>2</cp:revision>
  <cp:lastPrinted>2019-02-24T10:35:00Z</cp:lastPrinted>
  <dcterms:created xsi:type="dcterms:W3CDTF">2022-06-20T21:04:00Z</dcterms:created>
  <dcterms:modified xsi:type="dcterms:W3CDTF">2022-06-20T21:04:00Z</dcterms:modified>
</cp:coreProperties>
</file>