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72CE" w:rsidRPr="00492A17" w:rsidRDefault="00D772CE" w:rsidP="00D772CE">
      <w:pPr>
        <w:jc w:val="center"/>
        <w:rPr>
          <w:rFonts w:asciiTheme="majorBidi" w:eastAsia="Times New Roman" w:hAnsiTheme="majorBidi" w:cstheme="majorBidi"/>
          <w:b/>
          <w:bCs/>
          <w:kern w:val="36"/>
          <w:sz w:val="32"/>
          <w:szCs w:val="36"/>
        </w:rPr>
      </w:pPr>
    </w:p>
    <w:p w:rsidR="00D772CE" w:rsidRDefault="00D772CE" w:rsidP="00D772CE">
      <w:pPr>
        <w:rPr>
          <w:rFonts w:ascii="Arial" w:eastAsia="Times New Roman" w:hAnsi="Arial" w:cs="Arial"/>
          <w:b/>
          <w:bCs/>
          <w:kern w:val="36"/>
          <w:sz w:val="36"/>
          <w:szCs w:val="36"/>
        </w:rPr>
      </w:pPr>
    </w:p>
    <w:p w:rsidR="00D772CE" w:rsidRDefault="00D772CE" w:rsidP="00D772CE">
      <w:pPr>
        <w:rPr>
          <w:rFonts w:ascii="Arial" w:eastAsia="Times New Roman" w:hAnsi="Arial" w:cs="Arial"/>
          <w:b/>
          <w:bCs/>
          <w:kern w:val="36"/>
          <w:sz w:val="36"/>
          <w:szCs w:val="36"/>
        </w:rPr>
      </w:pPr>
    </w:p>
    <w:p w:rsidR="00D772CE" w:rsidRDefault="00D772CE" w:rsidP="00D772CE">
      <w:pPr>
        <w:rPr>
          <w:rFonts w:ascii="Arial" w:eastAsia="Times New Roman" w:hAnsi="Arial" w:cs="Arial"/>
          <w:b/>
          <w:bCs/>
          <w:kern w:val="36"/>
          <w:sz w:val="36"/>
          <w:szCs w:val="36"/>
        </w:rPr>
      </w:pPr>
    </w:p>
    <w:p w:rsidR="00D772CE" w:rsidRPr="00492A17" w:rsidRDefault="00D772CE" w:rsidP="00D772CE">
      <w:pPr>
        <w:jc w:val="center"/>
        <w:rPr>
          <w:rFonts w:ascii="Arial" w:eastAsia="Times New Roman" w:hAnsi="Arial" w:cs="Arial"/>
          <w:b/>
          <w:bCs/>
          <w:kern w:val="36"/>
          <w:sz w:val="36"/>
          <w:szCs w:val="36"/>
        </w:rPr>
      </w:pPr>
      <w:r>
        <w:rPr>
          <w:rFonts w:ascii="Arial" w:eastAsia="Times New Roman" w:hAnsi="Arial" w:cs="Arial"/>
          <w:b/>
          <w:bCs/>
          <w:kern w:val="36"/>
          <w:sz w:val="36"/>
          <w:szCs w:val="36"/>
        </w:rPr>
        <w:t>T</w:t>
      </w:r>
      <w:r w:rsidRPr="00492A17">
        <w:rPr>
          <w:rFonts w:ascii="Arial" w:eastAsia="Times New Roman" w:hAnsi="Arial" w:cs="Arial"/>
          <w:b/>
          <w:bCs/>
          <w:kern w:val="36"/>
          <w:sz w:val="36"/>
          <w:szCs w:val="36"/>
        </w:rPr>
        <w:t xml:space="preserve">he </w:t>
      </w:r>
      <w:r>
        <w:rPr>
          <w:rFonts w:ascii="Arial" w:eastAsia="Times New Roman" w:hAnsi="Arial" w:cs="Arial"/>
          <w:b/>
          <w:bCs/>
          <w:kern w:val="36"/>
          <w:sz w:val="36"/>
          <w:szCs w:val="36"/>
        </w:rPr>
        <w:t>I</w:t>
      </w:r>
      <w:r w:rsidRPr="00492A17">
        <w:rPr>
          <w:rFonts w:ascii="Arial" w:eastAsia="Times New Roman" w:hAnsi="Arial" w:cs="Arial"/>
          <w:b/>
          <w:bCs/>
          <w:kern w:val="36"/>
          <w:sz w:val="36"/>
          <w:szCs w:val="36"/>
        </w:rPr>
        <w:t xml:space="preserve">ncidence </w:t>
      </w:r>
      <w:r>
        <w:rPr>
          <w:rFonts w:ascii="Arial" w:eastAsia="Times New Roman" w:hAnsi="Arial" w:cs="Arial"/>
          <w:b/>
          <w:bCs/>
          <w:kern w:val="36"/>
          <w:sz w:val="36"/>
          <w:szCs w:val="36"/>
        </w:rPr>
        <w:t>R</w:t>
      </w:r>
      <w:r w:rsidRPr="00492A17">
        <w:rPr>
          <w:rFonts w:ascii="Arial" w:eastAsia="Times New Roman" w:hAnsi="Arial" w:cs="Arial"/>
          <w:b/>
          <w:bCs/>
          <w:kern w:val="36"/>
          <w:sz w:val="36"/>
          <w:szCs w:val="36"/>
        </w:rPr>
        <w:t xml:space="preserve">ate </w:t>
      </w:r>
      <w:proofErr w:type="gramStart"/>
      <w:r>
        <w:rPr>
          <w:rFonts w:ascii="Arial" w:eastAsia="Times New Roman" w:hAnsi="Arial" w:cs="Arial"/>
          <w:b/>
          <w:bCs/>
          <w:kern w:val="36"/>
          <w:sz w:val="36"/>
          <w:szCs w:val="36"/>
        </w:rPr>
        <w:t>O</w:t>
      </w:r>
      <w:r w:rsidRPr="00492A17">
        <w:rPr>
          <w:rFonts w:ascii="Arial" w:eastAsia="Times New Roman" w:hAnsi="Arial" w:cs="Arial"/>
          <w:b/>
          <w:bCs/>
          <w:kern w:val="36"/>
          <w:sz w:val="36"/>
          <w:szCs w:val="36"/>
        </w:rPr>
        <w:t>f</w:t>
      </w:r>
      <w:proofErr w:type="gramEnd"/>
      <w:r w:rsidRPr="00492A17">
        <w:rPr>
          <w:rFonts w:ascii="Arial" w:eastAsia="Times New Roman" w:hAnsi="Arial" w:cs="Arial"/>
          <w:b/>
          <w:bCs/>
          <w:kern w:val="36"/>
          <w:sz w:val="36"/>
          <w:szCs w:val="36"/>
        </w:rPr>
        <w:t xml:space="preserve"> </w:t>
      </w:r>
      <w:r>
        <w:rPr>
          <w:rFonts w:ascii="Arial" w:eastAsia="Times New Roman" w:hAnsi="Arial" w:cs="Arial"/>
          <w:b/>
          <w:bCs/>
          <w:kern w:val="36"/>
          <w:sz w:val="36"/>
          <w:szCs w:val="36"/>
        </w:rPr>
        <w:t>A</w:t>
      </w:r>
      <w:r w:rsidRPr="00492A17">
        <w:rPr>
          <w:rFonts w:ascii="Arial" w:eastAsia="Times New Roman" w:hAnsi="Arial" w:cs="Arial"/>
          <w:b/>
          <w:bCs/>
          <w:kern w:val="36"/>
          <w:sz w:val="36"/>
          <w:szCs w:val="36"/>
        </w:rPr>
        <w:t xml:space="preserve">symptomatic </w:t>
      </w:r>
      <w:r>
        <w:rPr>
          <w:rFonts w:ascii="Arial" w:eastAsia="Times New Roman" w:hAnsi="Arial" w:cs="Arial"/>
          <w:b/>
          <w:bCs/>
          <w:kern w:val="36"/>
          <w:sz w:val="36"/>
          <w:szCs w:val="36"/>
        </w:rPr>
        <w:t>B</w:t>
      </w:r>
      <w:r w:rsidRPr="00492A17">
        <w:rPr>
          <w:rFonts w:ascii="Arial" w:eastAsia="Times New Roman" w:hAnsi="Arial" w:cs="Arial"/>
          <w:b/>
          <w:bCs/>
          <w:kern w:val="36"/>
          <w:sz w:val="36"/>
          <w:szCs w:val="36"/>
        </w:rPr>
        <w:t xml:space="preserve">acteriuria </w:t>
      </w:r>
      <w:r>
        <w:rPr>
          <w:rFonts w:ascii="Arial" w:eastAsia="Times New Roman" w:hAnsi="Arial" w:cs="Arial"/>
          <w:b/>
          <w:bCs/>
          <w:kern w:val="36"/>
          <w:sz w:val="36"/>
          <w:szCs w:val="36"/>
        </w:rPr>
        <w:t>A</w:t>
      </w:r>
      <w:r w:rsidRPr="00492A17">
        <w:rPr>
          <w:rFonts w:ascii="Arial" w:eastAsia="Times New Roman" w:hAnsi="Arial" w:cs="Arial"/>
          <w:b/>
          <w:bCs/>
          <w:kern w:val="36"/>
          <w:sz w:val="36"/>
          <w:szCs w:val="36"/>
        </w:rPr>
        <w:t xml:space="preserve">mong LIMU </w:t>
      </w:r>
      <w:r>
        <w:rPr>
          <w:rFonts w:ascii="Arial" w:eastAsia="Times New Roman" w:hAnsi="Arial" w:cs="Arial"/>
          <w:b/>
          <w:bCs/>
          <w:kern w:val="36"/>
          <w:sz w:val="36"/>
          <w:szCs w:val="36"/>
        </w:rPr>
        <w:t>S</w:t>
      </w:r>
      <w:r w:rsidRPr="00492A17">
        <w:rPr>
          <w:rFonts w:ascii="Arial" w:eastAsia="Times New Roman" w:hAnsi="Arial" w:cs="Arial"/>
          <w:b/>
          <w:bCs/>
          <w:kern w:val="36"/>
          <w:sz w:val="36"/>
          <w:szCs w:val="36"/>
        </w:rPr>
        <w:t>tudent</w:t>
      </w:r>
    </w:p>
    <w:p w:rsidR="00D772CE" w:rsidRDefault="00D772CE" w:rsidP="00D772CE">
      <w:pPr>
        <w:rPr>
          <w:rFonts w:asciiTheme="majorBidi" w:eastAsia="Times New Roman" w:hAnsiTheme="majorBidi" w:cstheme="majorBidi"/>
          <w:b/>
          <w:bCs/>
          <w:kern w:val="36"/>
          <w:sz w:val="36"/>
          <w:szCs w:val="36"/>
        </w:rPr>
      </w:pPr>
      <w:r w:rsidRPr="00492A17">
        <w:rPr>
          <w:rFonts w:ascii="Arial" w:eastAsia="Times New Roman" w:hAnsi="Arial" w:cs="Arial"/>
          <w:b/>
          <w:bCs/>
          <w:noProof/>
          <w:kern w:val="36"/>
          <w:sz w:val="36"/>
          <w:szCs w:val="36"/>
        </w:rPr>
        <mc:AlternateContent>
          <mc:Choice Requires="wps">
            <w:drawing>
              <wp:anchor distT="0" distB="0" distL="114300" distR="114300" simplePos="0" relativeHeight="251659264" behindDoc="0" locked="0" layoutInCell="1" allowOverlap="1" wp14:anchorId="22E587AC" wp14:editId="5A92887B">
                <wp:simplePos x="0" y="0"/>
                <wp:positionH relativeFrom="margin">
                  <wp:posOffset>1718310</wp:posOffset>
                </wp:positionH>
                <wp:positionV relativeFrom="paragraph">
                  <wp:posOffset>272415</wp:posOffset>
                </wp:positionV>
                <wp:extent cx="2773680" cy="358140"/>
                <wp:effectExtent l="0" t="0" r="7620" b="3810"/>
                <wp:wrapNone/>
                <wp:docPr id="13" name="Text Box 13"/>
                <wp:cNvGraphicFramePr/>
                <a:graphic xmlns:a="http://schemas.openxmlformats.org/drawingml/2006/main">
                  <a:graphicData uri="http://schemas.microsoft.com/office/word/2010/wordprocessingShape">
                    <wps:wsp>
                      <wps:cNvSpPr txBox="1"/>
                      <wps:spPr>
                        <a:xfrm>
                          <a:off x="0" y="0"/>
                          <a:ext cx="2773680" cy="358140"/>
                        </a:xfrm>
                        <a:prstGeom prst="rect">
                          <a:avLst/>
                        </a:prstGeom>
                        <a:solidFill>
                          <a:schemeClr val="lt1"/>
                        </a:solidFill>
                        <a:ln w="6350">
                          <a:noFill/>
                        </a:ln>
                      </wps:spPr>
                      <wps:txbx>
                        <w:txbxContent>
                          <w:p w:rsidR="00D772CE" w:rsidRDefault="00D772CE" w:rsidP="00D772CE">
                            <w:pPr>
                              <w:rPr>
                                <w:rFonts w:ascii="Times New Roman" w:hAnsi="Times New Roman" w:cs="Times New Roman"/>
                                <w:sz w:val="32"/>
                              </w:rPr>
                            </w:pPr>
                            <w:r w:rsidRPr="00492A17">
                              <w:rPr>
                                <w:rFonts w:ascii="Times New Roman" w:hAnsi="Times New Roman" w:cs="Times New Roman"/>
                                <w:sz w:val="32"/>
                              </w:rPr>
                              <w:t>By Malak Hamade</w:t>
                            </w:r>
                            <w:r>
                              <w:rPr>
                                <w:rFonts w:ascii="Times New Roman" w:hAnsi="Times New Roman" w:cs="Times New Roman"/>
                                <w:sz w:val="32"/>
                              </w:rPr>
                              <w:t xml:space="preserve"> -2777</w:t>
                            </w:r>
                          </w:p>
                          <w:p w:rsidR="00D772CE" w:rsidRPr="00492A17" w:rsidRDefault="00D772CE" w:rsidP="00D772CE">
                            <w:pPr>
                              <w:rPr>
                                <w:rFonts w:ascii="Times New Roman" w:hAnsi="Times New Roman" w:cs="Times New Roman"/>
                                <w:sz w:val="32"/>
                              </w:rPr>
                            </w:pPr>
                            <w:r w:rsidRPr="00492A17">
                              <w:rPr>
                                <w:rFonts w:ascii="Times New Roman" w:hAnsi="Times New Roman" w:cs="Times New Roman"/>
                                <w:sz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E587AC" id="_x0000_t202" coordsize="21600,21600" o:spt="202" path="m,l,21600r21600,l21600,xe">
                <v:stroke joinstyle="miter"/>
                <v:path gradientshapeok="t" o:connecttype="rect"/>
              </v:shapetype>
              <v:shape id="Text Box 13" o:spid="_x0000_s1026" type="#_x0000_t202" style="position:absolute;margin-left:135.3pt;margin-top:21.45pt;width:218.4pt;height:28.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" fillcolor="white [3201]" stroked="f" strokeweight=".5pt">
                <v:textbox>
                  <w:txbxContent>
                    <w:p w:rsidR="00D772CE" w:rsidRDefault="00D772CE" w:rsidP="00D772CE">
                      <w:pPr>
                        <w:rPr>
                          <w:rFonts w:ascii="Times New Roman" w:hAnsi="Times New Roman" w:cs="Times New Roman"/>
                          <w:sz w:val="32"/>
                        </w:rPr>
                      </w:pPr>
                      <w:r w:rsidRPr="00492A17">
                        <w:rPr>
                          <w:rFonts w:ascii="Times New Roman" w:hAnsi="Times New Roman" w:cs="Times New Roman"/>
                          <w:sz w:val="32"/>
                        </w:rPr>
                        <w:t>By Malak Hamade</w:t>
                      </w:r>
                      <w:r>
                        <w:rPr>
                          <w:rFonts w:ascii="Times New Roman" w:hAnsi="Times New Roman" w:cs="Times New Roman"/>
                          <w:sz w:val="32"/>
                        </w:rPr>
                        <w:t xml:space="preserve"> -2777</w:t>
                      </w:r>
                    </w:p>
                    <w:p w:rsidR="00D772CE" w:rsidRPr="00492A17" w:rsidRDefault="00D772CE" w:rsidP="00D772CE">
                      <w:pPr>
                        <w:rPr>
                          <w:rFonts w:ascii="Times New Roman" w:hAnsi="Times New Roman" w:cs="Times New Roman"/>
                          <w:sz w:val="32"/>
                        </w:rPr>
                      </w:pPr>
                      <w:r w:rsidRPr="00492A17">
                        <w:rPr>
                          <w:rFonts w:ascii="Times New Roman" w:hAnsi="Times New Roman" w:cs="Times New Roman"/>
                          <w:sz w:val="32"/>
                        </w:rPr>
                        <w:t xml:space="preserve"> </w:t>
                      </w:r>
                    </w:p>
                  </w:txbxContent>
                </v:textbox>
                <w10:wrap anchorx="margin"/>
              </v:shape>
            </w:pict>
          </mc:Fallback>
        </mc:AlternateContent>
      </w:r>
      <w:r>
        <w:rPr>
          <w:rFonts w:asciiTheme="majorBidi" w:eastAsia="Times New Roman" w:hAnsiTheme="majorBidi" w:cstheme="majorBidi"/>
          <w:b/>
          <w:bCs/>
          <w:noProof/>
          <w:kern w:val="36"/>
          <w:sz w:val="36"/>
          <w:szCs w:val="36"/>
        </w:rPr>
        <mc:AlternateContent>
          <mc:Choice Requires="wps">
            <w:drawing>
              <wp:anchor distT="0" distB="0" distL="114300" distR="114300" simplePos="0" relativeHeight="251660288" behindDoc="0" locked="0" layoutInCell="1" allowOverlap="1" wp14:anchorId="428AC876" wp14:editId="61393D11">
                <wp:simplePos x="0" y="0"/>
                <wp:positionH relativeFrom="margin">
                  <wp:align>center</wp:align>
                </wp:positionH>
                <wp:positionV relativeFrom="paragraph">
                  <wp:posOffset>180975</wp:posOffset>
                </wp:positionV>
                <wp:extent cx="5189220" cy="7620"/>
                <wp:effectExtent l="0" t="0" r="30480" b="30480"/>
                <wp:wrapNone/>
                <wp:docPr id="4" name="Straight Connector 4"/>
                <wp:cNvGraphicFramePr/>
                <a:graphic xmlns:a="http://schemas.openxmlformats.org/drawingml/2006/main">
                  <a:graphicData uri="http://schemas.microsoft.com/office/word/2010/wordprocessingShape">
                    <wps:wsp>
                      <wps:cNvCnPr/>
                      <wps:spPr>
                        <a:xfrm>
                          <a:off x="0" y="0"/>
                          <a:ext cx="5189220" cy="7620"/>
                        </a:xfrm>
                        <a:prstGeom prst="line">
                          <a:avLst/>
                        </a:prstGeom>
                        <a:ln w="12700">
                          <a:solidFill>
                            <a:schemeClr val="accent5">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163C50" id="Straight Connector 4"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4.25pt" to="408.6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" strokecolor="#2e74b5 [2408]" strokeweight="1pt">
                <v:stroke joinstyle="miter"/>
                <w10:wrap anchorx="margin"/>
              </v:line>
            </w:pict>
          </mc:Fallback>
        </mc:AlternateContent>
      </w:r>
    </w:p>
    <w:p w:rsidR="00D772CE" w:rsidRDefault="00D772CE" w:rsidP="00D772CE">
      <w:pPr>
        <w:rPr>
          <w:rFonts w:asciiTheme="majorBidi" w:eastAsia="Times New Roman" w:hAnsiTheme="majorBidi" w:cstheme="majorBidi"/>
          <w:b/>
          <w:bCs/>
          <w:kern w:val="36"/>
          <w:sz w:val="36"/>
          <w:szCs w:val="36"/>
        </w:rPr>
      </w:pPr>
    </w:p>
    <w:p w:rsidR="00D772CE" w:rsidRDefault="00D772CE" w:rsidP="00D772CE">
      <w:pPr>
        <w:rPr>
          <w:rFonts w:asciiTheme="majorBidi" w:eastAsia="Times New Roman" w:hAnsiTheme="majorBidi" w:cstheme="majorBidi"/>
          <w:bCs/>
          <w:kern w:val="36"/>
          <w:sz w:val="32"/>
          <w:szCs w:val="36"/>
        </w:rPr>
      </w:pPr>
    </w:p>
    <w:p w:rsidR="00D772CE" w:rsidRDefault="00D772CE" w:rsidP="00D772CE">
      <w:pPr>
        <w:rPr>
          <w:rFonts w:asciiTheme="majorBidi" w:eastAsia="Times New Roman" w:hAnsiTheme="majorBidi" w:cstheme="majorBidi"/>
          <w:bCs/>
          <w:kern w:val="36"/>
          <w:sz w:val="32"/>
          <w:szCs w:val="36"/>
        </w:rPr>
      </w:pPr>
    </w:p>
    <w:p w:rsidR="00D772CE" w:rsidRDefault="00D772CE" w:rsidP="00D772CE">
      <w:pPr>
        <w:rPr>
          <w:rFonts w:asciiTheme="majorBidi" w:eastAsia="Times New Roman" w:hAnsiTheme="majorBidi" w:cstheme="majorBidi"/>
          <w:bCs/>
          <w:kern w:val="36"/>
          <w:sz w:val="32"/>
          <w:szCs w:val="36"/>
        </w:rPr>
      </w:pPr>
    </w:p>
    <w:p w:rsidR="00D772CE" w:rsidRPr="008C343E" w:rsidRDefault="00D772CE" w:rsidP="00D772CE">
      <w:pPr>
        <w:rPr>
          <w:rFonts w:asciiTheme="majorBidi" w:eastAsia="Times New Roman" w:hAnsiTheme="majorBidi" w:cstheme="majorBidi"/>
          <w:bCs/>
          <w:kern w:val="36"/>
          <w:sz w:val="32"/>
          <w:szCs w:val="36"/>
        </w:rPr>
      </w:pPr>
      <w:r w:rsidRPr="008C343E">
        <w:rPr>
          <w:rFonts w:asciiTheme="majorBidi" w:eastAsia="Times New Roman" w:hAnsiTheme="majorBidi" w:cstheme="majorBidi"/>
          <w:bCs/>
          <w:kern w:val="36"/>
          <w:sz w:val="32"/>
          <w:szCs w:val="36"/>
        </w:rPr>
        <w:t>-Professional and Transferable Skills Course</w:t>
      </w:r>
    </w:p>
    <w:p w:rsidR="00D772CE" w:rsidRPr="008C343E" w:rsidRDefault="00D772CE" w:rsidP="00D772CE">
      <w:pPr>
        <w:rPr>
          <w:rFonts w:asciiTheme="majorBidi" w:eastAsia="Times New Roman" w:hAnsiTheme="majorBidi" w:cstheme="majorBidi"/>
          <w:bCs/>
          <w:kern w:val="36"/>
          <w:sz w:val="32"/>
          <w:szCs w:val="36"/>
        </w:rPr>
      </w:pPr>
      <w:r w:rsidRPr="008C343E">
        <w:rPr>
          <w:rFonts w:asciiTheme="majorBidi" w:eastAsia="Times New Roman" w:hAnsiTheme="majorBidi" w:cstheme="majorBidi"/>
          <w:bCs/>
          <w:kern w:val="36"/>
          <w:sz w:val="32"/>
          <w:szCs w:val="36"/>
        </w:rPr>
        <w:t>-Medical Faculty _ Second year</w:t>
      </w:r>
    </w:p>
    <w:p w:rsidR="00D772CE" w:rsidRPr="008C343E" w:rsidRDefault="00D772CE" w:rsidP="00D772CE">
      <w:pPr>
        <w:rPr>
          <w:rFonts w:asciiTheme="majorBidi" w:eastAsia="Times New Roman" w:hAnsiTheme="majorBidi" w:cstheme="majorBidi"/>
          <w:bCs/>
          <w:kern w:val="36"/>
          <w:sz w:val="32"/>
          <w:szCs w:val="36"/>
        </w:rPr>
      </w:pPr>
      <w:r w:rsidRPr="008C343E">
        <w:rPr>
          <w:rFonts w:asciiTheme="majorBidi" w:eastAsia="Times New Roman" w:hAnsiTheme="majorBidi" w:cstheme="majorBidi"/>
          <w:bCs/>
          <w:kern w:val="36"/>
          <w:sz w:val="32"/>
          <w:szCs w:val="36"/>
        </w:rPr>
        <w:t xml:space="preserve">-June </w:t>
      </w:r>
      <w:r>
        <w:rPr>
          <w:rFonts w:asciiTheme="majorBidi" w:eastAsia="Times New Roman" w:hAnsiTheme="majorBidi" w:cstheme="majorBidi"/>
          <w:bCs/>
          <w:kern w:val="36"/>
          <w:sz w:val="32"/>
          <w:szCs w:val="36"/>
        </w:rPr>
        <w:t>20</w:t>
      </w:r>
      <w:r w:rsidRPr="008C343E">
        <w:rPr>
          <w:rFonts w:asciiTheme="majorBidi" w:eastAsia="Times New Roman" w:hAnsiTheme="majorBidi" w:cstheme="majorBidi"/>
          <w:bCs/>
          <w:kern w:val="36"/>
          <w:sz w:val="32"/>
          <w:szCs w:val="36"/>
        </w:rPr>
        <w:t>, 2020</w:t>
      </w:r>
    </w:p>
    <w:p w:rsidR="00D772CE" w:rsidRDefault="00D772CE" w:rsidP="00D772CE">
      <w:pPr>
        <w:rPr>
          <w:rFonts w:asciiTheme="majorBidi" w:eastAsia="Times New Roman" w:hAnsiTheme="majorBidi" w:cstheme="majorBidi"/>
          <w:b/>
          <w:bCs/>
          <w:kern w:val="36"/>
          <w:sz w:val="36"/>
          <w:szCs w:val="36"/>
        </w:rPr>
      </w:pPr>
    </w:p>
    <w:p w:rsidR="00D772CE" w:rsidRDefault="00D772CE" w:rsidP="00D772CE">
      <w:pPr>
        <w:rPr>
          <w:rFonts w:asciiTheme="majorBidi" w:eastAsia="Times New Roman" w:hAnsiTheme="majorBidi" w:cstheme="majorBidi"/>
          <w:b/>
          <w:bCs/>
          <w:kern w:val="36"/>
          <w:sz w:val="36"/>
          <w:szCs w:val="36"/>
        </w:rPr>
      </w:pPr>
    </w:p>
    <w:p w:rsidR="00D772CE" w:rsidRDefault="00D772CE" w:rsidP="00D772CE">
      <w:pPr>
        <w:rPr>
          <w:rFonts w:asciiTheme="majorBidi" w:eastAsia="Times New Roman" w:hAnsiTheme="majorBidi" w:cstheme="majorBidi"/>
          <w:b/>
          <w:bCs/>
          <w:kern w:val="36"/>
          <w:sz w:val="36"/>
          <w:szCs w:val="36"/>
        </w:rPr>
      </w:pPr>
    </w:p>
    <w:p w:rsidR="00D772CE" w:rsidRDefault="00D772CE" w:rsidP="00D772CE">
      <w:pPr>
        <w:rPr>
          <w:rFonts w:asciiTheme="majorBidi" w:eastAsia="Times New Roman" w:hAnsiTheme="majorBidi" w:cstheme="majorBidi"/>
          <w:b/>
          <w:bCs/>
          <w:kern w:val="36"/>
          <w:sz w:val="36"/>
          <w:szCs w:val="36"/>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r w:rsidRPr="008C343E">
        <w:rPr>
          <w:rFonts w:ascii="Arial" w:eastAsia="Times New Roman" w:hAnsi="Arial" w:cs="Arial"/>
          <w:b/>
          <w:kern w:val="36"/>
          <w:sz w:val="32"/>
          <w:szCs w:val="28"/>
        </w:rPr>
        <w:t>Abstract:</w:t>
      </w:r>
    </w:p>
    <w:p w:rsidR="00D772CE" w:rsidRPr="00823C3C" w:rsidRDefault="00D772CE" w:rsidP="00D772CE">
      <w:pPr>
        <w:rPr>
          <w:rFonts w:ascii="Arial" w:eastAsia="Times New Roman" w:hAnsi="Arial" w:cs="Arial"/>
          <w:kern w:val="36"/>
          <w:sz w:val="24"/>
          <w:szCs w:val="24"/>
        </w:rPr>
      </w:pPr>
      <w:r>
        <w:rPr>
          <w:rFonts w:ascii="Arial" w:eastAsia="Times New Roman" w:hAnsi="Arial" w:cs="Arial"/>
          <w:b/>
          <w:kern w:val="36"/>
          <w:sz w:val="32"/>
          <w:szCs w:val="28"/>
        </w:rPr>
        <w:tab/>
      </w:r>
      <w:r>
        <w:rPr>
          <w:rFonts w:ascii="Arial" w:eastAsia="Times New Roman" w:hAnsi="Arial" w:cs="Arial"/>
          <w:kern w:val="36"/>
          <w:sz w:val="24"/>
          <w:szCs w:val="28"/>
        </w:rPr>
        <w:t xml:space="preserve">Asymptomatic bacteriuria is the significant presence of bacteria in the urine of an individual without symptoms. This study was carried out to determine the prevalence of asymptomatic bacteriuria among apparently healthy undergraduate students of LIMU. Consequently, </w:t>
      </w:r>
      <w:proofErr w:type="gramStart"/>
      <w:r>
        <w:rPr>
          <w:rFonts w:ascii="Arial" w:eastAsia="Times New Roman" w:hAnsi="Arial" w:cs="Arial"/>
          <w:kern w:val="36"/>
          <w:sz w:val="24"/>
          <w:szCs w:val="28"/>
        </w:rPr>
        <w:t>All</w:t>
      </w:r>
      <w:proofErr w:type="gramEnd"/>
      <w:r>
        <w:rPr>
          <w:rFonts w:ascii="Arial" w:eastAsia="Times New Roman" w:hAnsi="Arial" w:cs="Arial"/>
          <w:kern w:val="36"/>
          <w:sz w:val="24"/>
          <w:szCs w:val="28"/>
        </w:rPr>
        <w:t xml:space="preserve"> subjects were clinically identified to have no signs and symptoms. Urine samples were Mid-Stream Urine collected from 12 males and 12 females. The urine samples were examined microscopically and by cultural methods. Identification of isolates was by standard microbiological technique. The prevalence of significant asymptomatic bacteriuria was higher in females (76.9 %) than males (23.1 %). This study discussed the possible health implications of bacteriuria prevalence observed. And also emphasized the need for routine laboratory checks among university students, Particularly females.  </w:t>
      </w:r>
    </w:p>
    <w:p w:rsidR="00D772CE" w:rsidRPr="00B477D4" w:rsidRDefault="00D772CE" w:rsidP="00D772CE">
      <w:pPr>
        <w:rPr>
          <w:rFonts w:ascii="Arial" w:eastAsia="Times New Roman" w:hAnsi="Arial" w:cs="Arial"/>
          <w:b/>
          <w:kern w:val="36"/>
          <w:sz w:val="24"/>
          <w:szCs w:val="28"/>
        </w:rPr>
      </w:pPr>
      <w:r>
        <w:rPr>
          <w:rFonts w:ascii="Arial" w:eastAsia="Times New Roman" w:hAnsi="Arial" w:cs="Arial"/>
          <w:b/>
          <w:kern w:val="36"/>
          <w:sz w:val="32"/>
          <w:szCs w:val="28"/>
        </w:rPr>
        <w:tab/>
      </w: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p>
    <w:p w:rsidR="00D772CE" w:rsidRDefault="00D772CE" w:rsidP="00D772CE">
      <w:pPr>
        <w:rPr>
          <w:rFonts w:ascii="Arial" w:eastAsia="Times New Roman" w:hAnsi="Arial" w:cs="Arial"/>
          <w:b/>
          <w:kern w:val="36"/>
          <w:sz w:val="32"/>
          <w:szCs w:val="28"/>
        </w:rPr>
      </w:pPr>
      <w:r>
        <w:rPr>
          <w:rFonts w:ascii="Arial" w:eastAsia="Times New Roman" w:hAnsi="Arial" w:cs="Arial"/>
          <w:b/>
          <w:kern w:val="36"/>
          <w:sz w:val="32"/>
          <w:szCs w:val="28"/>
        </w:rPr>
        <w:t>Introduction:</w:t>
      </w:r>
    </w:p>
    <w:p w:rsidR="00D772CE" w:rsidRPr="00A07F11" w:rsidRDefault="00D772CE" w:rsidP="00D772CE">
      <w:pPr>
        <w:shd w:val="clear" w:color="auto" w:fill="FFFFFF"/>
        <w:rPr>
          <w:rFonts w:ascii="Arial" w:eastAsia="Times New Roman" w:hAnsi="Arial" w:cs="Arial"/>
          <w:color w:val="000000"/>
          <w:sz w:val="24"/>
          <w:szCs w:val="72"/>
        </w:rPr>
      </w:pPr>
      <w:r>
        <w:rPr>
          <w:rFonts w:ascii="Arial" w:eastAsia="Times New Roman" w:hAnsi="Arial" w:cs="Arial"/>
          <w:b/>
          <w:kern w:val="36"/>
          <w:sz w:val="32"/>
          <w:szCs w:val="28"/>
        </w:rPr>
        <w:tab/>
      </w:r>
      <w:r>
        <w:rPr>
          <w:rFonts w:ascii="Arial" w:eastAsia="Times New Roman" w:hAnsi="Arial" w:cs="Arial"/>
          <w:kern w:val="36"/>
          <w:sz w:val="24"/>
          <w:szCs w:val="28"/>
        </w:rPr>
        <w:t>Urinary tract infections</w:t>
      </w:r>
      <w:r w:rsidRPr="00A07F11">
        <w:rPr>
          <w:rFonts w:ascii="Arial" w:hAnsi="Arial" w:cs="Arial"/>
          <w:sz w:val="24"/>
        </w:rPr>
        <w:t xml:space="preserve"> </w:t>
      </w:r>
      <w:r>
        <w:rPr>
          <w:rFonts w:ascii="Arial" w:hAnsi="Arial" w:cs="Arial"/>
          <w:sz w:val="24"/>
        </w:rPr>
        <w:t xml:space="preserve">(UTIs) </w:t>
      </w:r>
      <w:r w:rsidRPr="00A07F11">
        <w:rPr>
          <w:rFonts w:ascii="Arial" w:hAnsi="Arial" w:cs="Arial"/>
          <w:sz w:val="24"/>
        </w:rPr>
        <w:t>are among the most common bacterial infections in human, community and hospital settings. It occurs in all age groups, genders, and usually requires urgent treatment</w:t>
      </w:r>
      <w:r>
        <w:rPr>
          <w:rFonts w:ascii="Arial" w:hAnsi="Arial" w:cs="Arial"/>
          <w:sz w:val="24"/>
        </w:rPr>
        <w:t xml:space="preserve">. </w:t>
      </w:r>
      <w:r>
        <w:rPr>
          <w:rFonts w:ascii="Arial" w:hAnsi="Arial" w:cs="Arial"/>
          <w:sz w:val="24"/>
          <w:vertAlign w:val="superscript"/>
        </w:rPr>
        <w:t xml:space="preserve">(2)  </w:t>
      </w:r>
      <w:r>
        <w:rPr>
          <w:rFonts w:ascii="Arial" w:eastAsia="Times New Roman" w:hAnsi="Arial" w:cs="Arial"/>
          <w:kern w:val="36"/>
          <w:sz w:val="24"/>
          <w:szCs w:val="28"/>
        </w:rPr>
        <w:t xml:space="preserve">Bacteriuria is defined as the presence of significant bacterial count in the urine, </w:t>
      </w:r>
      <w:r w:rsidRPr="00A07F11">
        <w:rPr>
          <w:rFonts w:ascii="Arial" w:hAnsi="Arial" w:cs="Arial"/>
          <w:sz w:val="24"/>
        </w:rPr>
        <w:t xml:space="preserve">usually </w:t>
      </w:r>
      <w:r>
        <w:rPr>
          <w:rFonts w:ascii="Arial" w:hAnsi="Arial" w:cs="Arial"/>
          <w:sz w:val="24"/>
        </w:rPr>
        <w:t>10</w:t>
      </w:r>
      <w:r>
        <w:rPr>
          <w:rFonts w:ascii="Arial" w:hAnsi="Arial" w:cs="Arial"/>
          <w:sz w:val="24"/>
          <w:vertAlign w:val="superscript"/>
        </w:rPr>
        <w:t xml:space="preserve">5 </w:t>
      </w:r>
      <w:r w:rsidRPr="00A07F11">
        <w:rPr>
          <w:rFonts w:ascii="Arial" w:hAnsi="Arial" w:cs="Arial"/>
          <w:sz w:val="24"/>
        </w:rPr>
        <w:t>CFU per ml</w:t>
      </w:r>
      <w:r>
        <w:rPr>
          <w:rFonts w:ascii="Arial" w:eastAsia="Times New Roman" w:hAnsi="Arial" w:cs="Arial"/>
          <w:kern w:val="36"/>
          <w:sz w:val="24"/>
          <w:szCs w:val="28"/>
        </w:rPr>
        <w:t>.</w:t>
      </w:r>
      <w:r>
        <w:rPr>
          <w:rFonts w:ascii="Arial" w:eastAsia="Times New Roman" w:hAnsi="Arial" w:cs="Arial"/>
          <w:kern w:val="36"/>
          <w:sz w:val="24"/>
          <w:szCs w:val="28"/>
          <w:vertAlign w:val="superscript"/>
        </w:rPr>
        <w:t xml:space="preserve"> (1) </w:t>
      </w:r>
      <w:r>
        <w:rPr>
          <w:rFonts w:ascii="Arial" w:eastAsia="Times New Roman" w:hAnsi="Arial" w:cs="Arial"/>
          <w:kern w:val="36"/>
          <w:sz w:val="24"/>
          <w:szCs w:val="28"/>
        </w:rPr>
        <w:t>However, bacteriuria can be divided into symptomatic and asymptomatic.</w:t>
      </w:r>
      <w:r>
        <w:rPr>
          <w:rFonts w:ascii="Arial" w:eastAsia="Times New Roman" w:hAnsi="Arial" w:cs="Arial"/>
          <w:kern w:val="36"/>
          <w:sz w:val="24"/>
          <w:szCs w:val="28"/>
          <w:vertAlign w:val="superscript"/>
        </w:rPr>
        <w:t xml:space="preserve">(2) </w:t>
      </w:r>
      <w:r>
        <w:rPr>
          <w:rFonts w:ascii="Arial" w:hAnsi="Arial" w:cs="Arial"/>
          <w:sz w:val="24"/>
        </w:rPr>
        <w:t>Regarding subclinical (a</w:t>
      </w:r>
      <w:r w:rsidRPr="00A07F11">
        <w:rPr>
          <w:rFonts w:ascii="Arial" w:hAnsi="Arial" w:cs="Arial"/>
          <w:sz w:val="24"/>
        </w:rPr>
        <w:t>symptomatic</w:t>
      </w:r>
      <w:r>
        <w:rPr>
          <w:rFonts w:ascii="Arial" w:hAnsi="Arial" w:cs="Arial"/>
          <w:sz w:val="24"/>
        </w:rPr>
        <w:t>)</w:t>
      </w:r>
      <w:r w:rsidRPr="00A07F11">
        <w:rPr>
          <w:rFonts w:ascii="Arial" w:hAnsi="Arial" w:cs="Arial"/>
          <w:sz w:val="24"/>
        </w:rPr>
        <w:t xml:space="preserve"> bacteriuria is defined as isolation of a specified quantitative count of bacteria from an individual without symptoms or signs of urinary tract infection.</w:t>
      </w:r>
      <w:r>
        <w:rPr>
          <w:rFonts w:ascii="Arial" w:hAnsi="Arial" w:cs="Arial"/>
          <w:sz w:val="24"/>
          <w:vertAlign w:val="superscript"/>
        </w:rPr>
        <w:t xml:space="preserve">(1) </w:t>
      </w:r>
      <w:r>
        <w:rPr>
          <w:rFonts w:ascii="Arial" w:hAnsi="Arial" w:cs="Arial"/>
          <w:sz w:val="24"/>
        </w:rPr>
        <w:t xml:space="preserve">The frequency of asymptomatic bacteriuria varies among different populations, depending on factors such as age, sex, area of residence and underlying disorders, pregnancy, obstruction of urinary flow and underlying disease. </w:t>
      </w:r>
      <w:r w:rsidRPr="00A07F11">
        <w:rPr>
          <w:rFonts w:ascii="Arial" w:eastAsia="Times New Roman" w:hAnsi="Arial" w:cs="Arial"/>
          <w:color w:val="000000"/>
          <w:sz w:val="24"/>
          <w:szCs w:val="72"/>
        </w:rPr>
        <w:t>Infection may involve single sites such as urethra</w:t>
      </w:r>
      <w:r>
        <w:rPr>
          <w:rFonts w:ascii="Arial" w:eastAsia="Times New Roman" w:hAnsi="Arial" w:cs="Arial"/>
          <w:color w:val="000000"/>
          <w:sz w:val="24"/>
          <w:szCs w:val="72"/>
        </w:rPr>
        <w:t xml:space="preserve"> </w:t>
      </w:r>
      <w:r w:rsidRPr="00A07F11">
        <w:rPr>
          <w:rFonts w:ascii="Arial" w:eastAsia="Times New Roman" w:hAnsi="Arial" w:cs="Arial"/>
          <w:color w:val="000000"/>
          <w:sz w:val="24"/>
          <w:szCs w:val="72"/>
        </w:rPr>
        <w:t xml:space="preserve">to cause urethritis, prostate to cause </w:t>
      </w:r>
      <w:r>
        <w:rPr>
          <w:rFonts w:ascii="Arial" w:eastAsia="Times New Roman" w:hAnsi="Arial" w:cs="Arial"/>
          <w:color w:val="000000"/>
          <w:sz w:val="24"/>
          <w:szCs w:val="72"/>
        </w:rPr>
        <w:t>prostatitis</w:t>
      </w:r>
      <w:r w:rsidRPr="00A07F11">
        <w:rPr>
          <w:rFonts w:ascii="Arial" w:eastAsia="Times New Roman" w:hAnsi="Arial" w:cs="Arial"/>
          <w:color w:val="000000"/>
          <w:sz w:val="24"/>
          <w:szCs w:val="72"/>
        </w:rPr>
        <w:t>,</w:t>
      </w:r>
      <w:r>
        <w:rPr>
          <w:rFonts w:ascii="Arial" w:eastAsia="Times New Roman" w:hAnsi="Arial" w:cs="Arial"/>
          <w:color w:val="000000"/>
          <w:sz w:val="24"/>
          <w:szCs w:val="72"/>
        </w:rPr>
        <w:t xml:space="preserve"> </w:t>
      </w:r>
      <w:r w:rsidRPr="00A07F11">
        <w:rPr>
          <w:rFonts w:ascii="Arial" w:eastAsia="Times New Roman" w:hAnsi="Arial" w:cs="Arial"/>
          <w:color w:val="000000"/>
          <w:sz w:val="24"/>
          <w:szCs w:val="72"/>
        </w:rPr>
        <w:t>bladder to cause cystitis, kidney to cause</w:t>
      </w:r>
      <w:r>
        <w:rPr>
          <w:rFonts w:ascii="Arial" w:eastAsia="Times New Roman" w:hAnsi="Arial" w:cs="Arial"/>
          <w:color w:val="000000"/>
          <w:sz w:val="24"/>
          <w:szCs w:val="72"/>
        </w:rPr>
        <w:t xml:space="preserve"> </w:t>
      </w:r>
      <w:r w:rsidRPr="00A07F11">
        <w:rPr>
          <w:rFonts w:ascii="Arial" w:eastAsia="Times New Roman" w:hAnsi="Arial" w:cs="Arial"/>
          <w:color w:val="000000"/>
          <w:sz w:val="24"/>
          <w:szCs w:val="72"/>
        </w:rPr>
        <w:t>pyelonephritis but the whole system is always at a</w:t>
      </w:r>
      <w:r>
        <w:rPr>
          <w:rFonts w:ascii="Arial" w:eastAsia="Times New Roman" w:hAnsi="Arial" w:cs="Arial"/>
          <w:color w:val="000000"/>
          <w:sz w:val="24"/>
          <w:szCs w:val="72"/>
        </w:rPr>
        <w:t xml:space="preserve"> </w:t>
      </w:r>
      <w:r w:rsidRPr="00A07F11">
        <w:rPr>
          <w:rFonts w:ascii="Arial" w:eastAsia="Times New Roman" w:hAnsi="Arial" w:cs="Arial"/>
          <w:color w:val="000000"/>
          <w:sz w:val="24"/>
          <w:szCs w:val="72"/>
        </w:rPr>
        <w:t>risk of invasion by bacteria once any part is</w:t>
      </w:r>
      <w:r>
        <w:rPr>
          <w:rFonts w:ascii="Arial" w:eastAsia="Times New Roman" w:hAnsi="Arial" w:cs="Arial"/>
          <w:color w:val="000000"/>
          <w:sz w:val="24"/>
          <w:szCs w:val="72"/>
        </w:rPr>
        <w:t xml:space="preserve"> </w:t>
      </w:r>
      <w:r w:rsidRPr="00A07F11">
        <w:rPr>
          <w:rFonts w:ascii="Arial" w:eastAsia="Times New Roman" w:hAnsi="Arial" w:cs="Arial"/>
          <w:color w:val="000000"/>
          <w:sz w:val="24"/>
          <w:szCs w:val="72"/>
        </w:rPr>
        <w:t>infected moreover</w:t>
      </w:r>
      <w:r>
        <w:rPr>
          <w:rFonts w:ascii="Arial" w:eastAsia="Times New Roman" w:hAnsi="Arial" w:cs="Arial"/>
          <w:color w:val="000000"/>
          <w:sz w:val="24"/>
          <w:szCs w:val="72"/>
        </w:rPr>
        <w:t>.</w:t>
      </w:r>
      <w:r>
        <w:rPr>
          <w:rFonts w:ascii="Arial" w:eastAsia="Times New Roman" w:hAnsi="Arial" w:cs="Arial"/>
          <w:color w:val="000000"/>
          <w:sz w:val="24"/>
          <w:szCs w:val="72"/>
          <w:vertAlign w:val="superscript"/>
        </w:rPr>
        <w:t xml:space="preserve"> (4)</w:t>
      </w:r>
    </w:p>
    <w:p w:rsidR="00D772CE" w:rsidRDefault="00D772CE" w:rsidP="00D772CE">
      <w:pPr>
        <w:rPr>
          <w:rFonts w:ascii="Arial" w:hAnsi="Arial" w:cs="Arial"/>
          <w:sz w:val="24"/>
          <w:vertAlign w:val="superscript"/>
        </w:rPr>
      </w:pPr>
      <w:r>
        <w:rPr>
          <w:rFonts w:ascii="Arial" w:hAnsi="Arial" w:cs="Arial"/>
          <w:sz w:val="24"/>
        </w:rPr>
        <w:t xml:space="preserve">Generally, the early detection of asymptomatic bacteriuria might result in the detection of correctable abnormalities of the urinary tract, reduce the rate of bacteriuria and prevent renal scarring, obstructive atrophy, hypertension, and renal insufficiency. </w:t>
      </w:r>
      <w:r>
        <w:rPr>
          <w:rFonts w:ascii="Arial" w:hAnsi="Arial" w:cs="Arial"/>
          <w:sz w:val="24"/>
          <w:vertAlign w:val="superscript"/>
        </w:rPr>
        <w:t xml:space="preserve">(3) </w:t>
      </w:r>
      <w:r w:rsidRPr="00A07F11">
        <w:rPr>
          <w:rFonts w:ascii="Arial" w:hAnsi="Arial" w:cs="Arial"/>
          <w:sz w:val="24"/>
        </w:rPr>
        <w:t>The prevalence and incidence of urinary tract infection or significant bacteriuria is higher in women than in men, which is likely the results of several clinical factors including hormonal effects, behavior patterns or their having a short urethra and vaginal vestibule which can easily be contaminated</w:t>
      </w:r>
      <w:r>
        <w:rPr>
          <w:rFonts w:ascii="Arial" w:hAnsi="Arial" w:cs="Arial"/>
          <w:sz w:val="24"/>
        </w:rPr>
        <w:t xml:space="preserve">. </w:t>
      </w:r>
      <w:r>
        <w:rPr>
          <w:rFonts w:ascii="Arial" w:hAnsi="Arial" w:cs="Arial"/>
          <w:sz w:val="24"/>
          <w:vertAlign w:val="superscript"/>
        </w:rPr>
        <w:t xml:space="preserve">(4) </w:t>
      </w:r>
    </w:p>
    <w:p w:rsidR="00D772CE" w:rsidRPr="00A07F11" w:rsidRDefault="00D772CE" w:rsidP="00D772CE">
      <w:pPr>
        <w:rPr>
          <w:rFonts w:ascii="Arial" w:hAnsi="Arial" w:cs="Arial"/>
          <w:sz w:val="24"/>
        </w:rPr>
      </w:pPr>
      <w:r>
        <w:rPr>
          <w:rFonts w:ascii="Arial" w:hAnsi="Arial" w:cs="Arial"/>
          <w:sz w:val="24"/>
        </w:rPr>
        <w:t>The study is aimed on determining the prevalence of asymptomatic bacteriuria among both genders’ males and females, and not aimed at isolating and identifying the bacterial etiologic agent or to identify the chief organism that causes UTI</w:t>
      </w:r>
    </w:p>
    <w:p w:rsidR="00D772CE" w:rsidRDefault="00D772CE" w:rsidP="00D772CE">
      <w:pPr>
        <w:rPr>
          <w:rFonts w:ascii="Arial" w:hAnsi="Arial" w:cs="Arial"/>
          <w:sz w:val="28"/>
        </w:rPr>
      </w:pPr>
    </w:p>
    <w:p w:rsidR="00D772CE" w:rsidRDefault="00D772CE" w:rsidP="00D772CE">
      <w:pPr>
        <w:rPr>
          <w:rFonts w:ascii="Arial" w:eastAsia="Times New Roman" w:hAnsi="Arial" w:cs="Arial"/>
          <w:b/>
          <w:kern w:val="36"/>
          <w:sz w:val="32"/>
          <w:szCs w:val="28"/>
        </w:rPr>
      </w:pPr>
      <w:r>
        <w:rPr>
          <w:rFonts w:ascii="Arial" w:eastAsia="Times New Roman" w:hAnsi="Arial" w:cs="Arial"/>
          <w:b/>
          <w:kern w:val="36"/>
          <w:sz w:val="32"/>
          <w:szCs w:val="28"/>
        </w:rPr>
        <w:t>Methods and materials:</w:t>
      </w:r>
    </w:p>
    <w:p w:rsidR="00D772CE" w:rsidRDefault="00D772CE" w:rsidP="00D772CE">
      <w:pPr>
        <w:shd w:val="clear" w:color="auto" w:fill="FFFFFF"/>
        <w:rPr>
          <w:rFonts w:ascii="Arial" w:eastAsia="Times New Roman" w:hAnsi="Arial" w:cs="Arial"/>
          <w:kern w:val="36"/>
          <w:sz w:val="24"/>
          <w:szCs w:val="24"/>
        </w:rPr>
      </w:pPr>
      <w:r>
        <w:rPr>
          <w:rFonts w:ascii="Arial" w:eastAsia="Times New Roman" w:hAnsi="Arial" w:cs="Arial"/>
          <w:b/>
          <w:kern w:val="36"/>
          <w:sz w:val="32"/>
          <w:szCs w:val="28"/>
        </w:rPr>
        <w:tab/>
      </w:r>
      <w:r>
        <w:rPr>
          <w:rFonts w:ascii="Arial" w:eastAsia="Times New Roman" w:hAnsi="Arial" w:cs="Arial"/>
          <w:kern w:val="36"/>
          <w:sz w:val="24"/>
          <w:szCs w:val="24"/>
        </w:rPr>
        <w:t xml:space="preserve">The study area was carried out in Libyan International Medical University. This study population comprised of 24 undergraduate students. 12 females and 12 males between ages of 18 to 23 years, who showed no symptoms of urinary tract infections and those who not on antibiotic therapy at the time of sample collection, or who had not </w:t>
      </w:r>
      <w:r>
        <w:rPr>
          <w:rFonts w:ascii="Arial" w:eastAsia="Times New Roman" w:hAnsi="Arial" w:cs="Arial"/>
          <w:kern w:val="36"/>
          <w:sz w:val="24"/>
          <w:szCs w:val="24"/>
        </w:rPr>
        <w:lastRenderedPageBreak/>
        <w:t xml:space="preserve">taken antibiotics within one month prior to sampling. Prior to sample collection, questionnaires were given to the student regarding the Biodata e.g. (sex, age, history of UTI). Students on medication were excluded from this study. The participating students were instructed to wash their external genital with mild toilet soap and rinse thoroughly with clean water early in the morning. Thereafter, Clean-Catch Midstream urine was to be collected into the sterile specimen bottles, provided. However, 10ml of each student were collected. Prior to culturing, samples were preserved in the refrigerator but were eventually cultured within 2hrs of collection. </w:t>
      </w:r>
    </w:p>
    <w:p w:rsidR="00D772CE" w:rsidRDefault="00D772CE" w:rsidP="00D772CE">
      <w:pPr>
        <w:shd w:val="clear" w:color="auto" w:fill="FFFFFF"/>
        <w:rPr>
          <w:rFonts w:ascii="Arial" w:eastAsia="Times New Roman" w:hAnsi="Arial" w:cs="Arial"/>
          <w:kern w:val="36"/>
          <w:sz w:val="24"/>
          <w:szCs w:val="24"/>
        </w:rPr>
      </w:pPr>
      <w:r>
        <w:rPr>
          <w:rFonts w:ascii="Arial" w:eastAsia="Times New Roman" w:hAnsi="Arial" w:cs="Arial"/>
          <w:kern w:val="36"/>
          <w:sz w:val="24"/>
          <w:szCs w:val="24"/>
        </w:rPr>
        <w:t>Firstly, the samples were examined macroscopically. Then one micro liter of uncentrifuged, uniformly mixed samples were aseptically cultured on MacConkey, Cysteine Lactose Electrolyte Deficient (CLED) agar as well as blood agar media and incubated at 37</w:t>
      </w:r>
      <w:r>
        <w:rPr>
          <w:rFonts w:ascii="Times New Roman" w:eastAsia="Times New Roman" w:hAnsi="Times New Roman" w:cs="Times New Roman"/>
          <w:kern w:val="36"/>
          <w:sz w:val="24"/>
          <w:szCs w:val="24"/>
        </w:rPr>
        <w:t>°</w:t>
      </w:r>
      <w:r>
        <w:rPr>
          <w:rFonts w:ascii="Arial" w:eastAsia="Times New Roman" w:hAnsi="Arial" w:cs="Arial"/>
          <w:kern w:val="36"/>
          <w:sz w:val="24"/>
          <w:szCs w:val="24"/>
        </w:rPr>
        <w:t xml:space="preserve">C aerobically for 24 hrs. After incubation the isolated organisms from culture plates were identified by standard laboratory technique such as colony morphology, Gram staining reaction, motility, catalase test, oxidase test, urase test, coagulase test sugar fermentation, indole production test, and the colonies were counted by colony counter. Colony counts </w:t>
      </w:r>
      <w:r w:rsidRPr="00A07F11">
        <w:rPr>
          <w:rFonts w:ascii="Arial" w:eastAsia="Times New Roman" w:hAnsi="Arial" w:cs="Arial"/>
          <w:kern w:val="36"/>
          <w:sz w:val="24"/>
          <w:szCs w:val="24"/>
        </w:rPr>
        <w:t xml:space="preserve">of </w:t>
      </w:r>
      <w:r w:rsidRPr="00A07F11">
        <w:rPr>
          <w:rFonts w:ascii="Arial" w:hAnsi="Arial" w:cs="Arial"/>
          <w:sz w:val="24"/>
          <w:szCs w:val="24"/>
        </w:rPr>
        <w:t>≥ 10</w:t>
      </w:r>
      <w:r>
        <w:rPr>
          <w:rFonts w:ascii="Arial" w:hAnsi="Arial" w:cs="Arial"/>
          <w:sz w:val="24"/>
          <w:szCs w:val="24"/>
          <w:vertAlign w:val="superscript"/>
        </w:rPr>
        <w:t>5</w:t>
      </w:r>
      <w:r w:rsidRPr="00A07F11">
        <w:rPr>
          <w:rFonts w:ascii="Arial" w:hAnsi="Arial" w:cs="Arial"/>
          <w:sz w:val="24"/>
          <w:szCs w:val="24"/>
        </w:rPr>
        <w:t xml:space="preserve"> per ml</w:t>
      </w:r>
      <w:r>
        <w:rPr>
          <w:rFonts w:ascii="Arial" w:hAnsi="Arial" w:cs="Arial"/>
          <w:sz w:val="24"/>
          <w:szCs w:val="24"/>
        </w:rPr>
        <w:t xml:space="preserve"> were considered as significant growth. </w:t>
      </w:r>
      <w:r>
        <w:rPr>
          <w:rFonts w:ascii="Arial" w:eastAsia="Times New Roman" w:hAnsi="Arial" w:cs="Arial"/>
          <w:kern w:val="36"/>
          <w:sz w:val="24"/>
          <w:szCs w:val="24"/>
        </w:rPr>
        <w:t>Statistical analysis was performed by Chi-square test. A-P value of &lt;0.05 was deemed statistically significant.</w:t>
      </w:r>
    </w:p>
    <w:p w:rsidR="00D772CE" w:rsidRDefault="00D772CE" w:rsidP="00D772CE">
      <w:pPr>
        <w:shd w:val="clear" w:color="auto" w:fill="FFFFFF"/>
        <w:rPr>
          <w:rFonts w:ascii="Arial" w:eastAsia="Times New Roman" w:hAnsi="Arial" w:cs="Arial"/>
          <w:b/>
          <w:color w:val="000000"/>
          <w:spacing w:val="2"/>
          <w:sz w:val="32"/>
          <w:szCs w:val="24"/>
        </w:rPr>
      </w:pPr>
    </w:p>
    <w:p w:rsidR="00D772CE" w:rsidRDefault="00D772CE" w:rsidP="00D772CE">
      <w:pPr>
        <w:shd w:val="clear" w:color="auto" w:fill="FFFFFF"/>
        <w:rPr>
          <w:rFonts w:ascii="Arial" w:eastAsia="Times New Roman" w:hAnsi="Arial" w:cs="Arial"/>
          <w:b/>
          <w:color w:val="000000"/>
          <w:spacing w:val="2"/>
          <w:sz w:val="32"/>
          <w:szCs w:val="24"/>
        </w:rPr>
      </w:pPr>
      <w:r>
        <w:rPr>
          <w:rFonts w:ascii="Arial" w:eastAsia="Times New Roman" w:hAnsi="Arial" w:cs="Arial"/>
          <w:b/>
          <w:color w:val="000000"/>
          <w:spacing w:val="2"/>
          <w:sz w:val="32"/>
          <w:szCs w:val="24"/>
        </w:rPr>
        <w:t>Results:</w:t>
      </w:r>
    </w:p>
    <w:p w:rsidR="00D772CE"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b/>
          <w:color w:val="000000"/>
          <w:spacing w:val="2"/>
          <w:sz w:val="32"/>
          <w:szCs w:val="24"/>
        </w:rPr>
        <w:tab/>
      </w:r>
      <w:r>
        <w:rPr>
          <w:rFonts w:ascii="Arial" w:eastAsia="Times New Roman" w:hAnsi="Arial" w:cs="Arial"/>
          <w:color w:val="000000"/>
          <w:spacing w:val="2"/>
          <w:sz w:val="24"/>
          <w:szCs w:val="24"/>
        </w:rPr>
        <w:t xml:space="preserve">Statistical analysis was carried out using Analysis of Variants (ANOVA) in the SPSS edition 25. </w:t>
      </w:r>
    </w:p>
    <w:p w:rsidR="00D772CE"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color w:val="000000"/>
          <w:spacing w:val="2"/>
          <w:sz w:val="24"/>
          <w:szCs w:val="24"/>
        </w:rPr>
        <w:t xml:space="preserve">Urine samples from twenty-four (24) LIMU students within the age of 18 to 23 years were collected and examined for the presence of bacteria using a semi qualitative method. The results obtained are presented below. The incidence of significant bacteriuria in the population examined is reported in Table 1.  13 participants had significant bacteriuria, 3 males and 10 females. However, the P- value is (0.004) (Table 1). </w:t>
      </w:r>
    </w:p>
    <w:p w:rsidR="00D772CE"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color w:val="000000"/>
          <w:spacing w:val="2"/>
          <w:sz w:val="24"/>
          <w:szCs w:val="24"/>
        </w:rPr>
        <w:t xml:space="preserve">Figure 1 showed the pie chart count of CFUcat of females, with significant growth of (83.33%), and no growth of (16.67%). The total of participants is 12, 10 showed significant growth, while only 2 showed no growth. </w:t>
      </w:r>
    </w:p>
    <w:p w:rsidR="00D772CE" w:rsidRPr="00A07F11"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color w:val="000000"/>
          <w:spacing w:val="2"/>
          <w:sz w:val="24"/>
          <w:szCs w:val="24"/>
        </w:rPr>
        <w:lastRenderedPageBreak/>
        <w:t xml:space="preserve">Figure 2 showed the pie chart count of CFUcat of males, with significant growth of (25%), and no growth of (75%). The total of participants is 12, 9 showed no growth, while only 3 showed significant growth. </w:t>
      </w:r>
    </w:p>
    <w:p w:rsidR="00D772CE" w:rsidRPr="00A07F11" w:rsidRDefault="00D772CE" w:rsidP="00D772CE">
      <w:pPr>
        <w:shd w:val="clear" w:color="auto" w:fill="FFFFFF"/>
        <w:rPr>
          <w:rFonts w:ascii="Arial" w:eastAsia="Times New Roman" w:hAnsi="Arial" w:cs="Arial"/>
          <w:color w:val="000000"/>
          <w:spacing w:val="2"/>
          <w:sz w:val="24"/>
          <w:szCs w:val="24"/>
          <w:vertAlign w:val="superscript"/>
        </w:rPr>
      </w:pPr>
      <w:r>
        <w:rPr>
          <w:rFonts w:ascii="Arial" w:eastAsia="Times New Roman" w:hAnsi="Arial" w:cs="Arial"/>
          <w:b/>
          <w:color w:val="000000"/>
          <w:spacing w:val="2"/>
          <w:sz w:val="24"/>
          <w:szCs w:val="24"/>
          <w:vertAlign w:val="superscript"/>
        </w:rPr>
        <w:t xml:space="preserve">    </w:t>
      </w:r>
    </w:p>
    <w:tbl>
      <w:tblPr>
        <w:tblpPr w:leftFromText="180" w:rightFromText="180" w:vertAnchor="text" w:horzAnchor="margin" w:tblpY="57"/>
        <w:tblW w:w="9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8"/>
        <w:gridCol w:w="2175"/>
        <w:gridCol w:w="764"/>
        <w:gridCol w:w="2674"/>
        <w:gridCol w:w="764"/>
        <w:gridCol w:w="1851"/>
      </w:tblGrid>
      <w:tr w:rsidR="00D772CE" w:rsidTr="00D772CE">
        <w:tblPrEx>
          <w:tblCellMar>
            <w:top w:w="0" w:type="dxa"/>
            <w:bottom w:w="0" w:type="dxa"/>
          </w:tblCellMar>
        </w:tblPrEx>
        <w:trPr>
          <w:trHeight w:val="980"/>
        </w:trPr>
        <w:tc>
          <w:tcPr>
            <w:tcW w:w="1228" w:type="dxa"/>
            <w:tcBorders>
              <w:top w:val="triple" w:sz="4" w:space="0" w:color="auto"/>
              <w:bottom w:val="double" w:sz="4" w:space="0" w:color="auto"/>
              <w:tl2br w:val="single" w:sz="4" w:space="0" w:color="auto"/>
            </w:tcBorders>
            <w:shd w:val="clear" w:color="auto" w:fill="auto"/>
          </w:tcPr>
          <w:p w:rsidR="00D772CE" w:rsidRDefault="00D772CE" w:rsidP="00D772CE"/>
        </w:tc>
        <w:tc>
          <w:tcPr>
            <w:tcW w:w="2175" w:type="dxa"/>
            <w:tcBorders>
              <w:top w:val="triple" w:sz="4" w:space="0" w:color="auto"/>
              <w:bottom w:val="double" w:sz="4" w:space="0" w:color="auto"/>
            </w:tcBorders>
          </w:tcPr>
          <w:p w:rsidR="00D772CE" w:rsidRPr="000D0966" w:rsidRDefault="00D772CE" w:rsidP="00D772CE">
            <w:pPr>
              <w:rPr>
                <w:b/>
                <w:color w:val="ACB9CA" w:themeColor="text2" w:themeTint="66"/>
              </w:rPr>
            </w:pPr>
            <w:r w:rsidRPr="000D0966">
              <w:rPr>
                <w:b/>
                <w:color w:val="000000" w:themeColor="text1"/>
              </w:rPr>
              <w:t xml:space="preserve">Number of subjects with significant bacteriuria </w:t>
            </w:r>
            <w:r>
              <w:rPr>
                <w:b/>
                <w:color w:val="000000" w:themeColor="text1"/>
              </w:rPr>
              <w:t>growth</w:t>
            </w:r>
          </w:p>
        </w:tc>
        <w:tc>
          <w:tcPr>
            <w:tcW w:w="764" w:type="dxa"/>
            <w:tcBorders>
              <w:top w:val="triple" w:sz="4" w:space="0" w:color="auto"/>
              <w:bottom w:val="double" w:sz="4" w:space="0" w:color="auto"/>
            </w:tcBorders>
            <w:shd w:val="clear" w:color="auto" w:fill="FFD966" w:themeFill="accent4" w:themeFillTint="99"/>
          </w:tcPr>
          <w:p w:rsidR="00D772CE" w:rsidRPr="000D0966" w:rsidRDefault="00D772CE" w:rsidP="00D772CE">
            <w:pPr>
              <w:rPr>
                <w:b/>
                <w:color w:val="000000" w:themeColor="text1"/>
              </w:rPr>
            </w:pPr>
            <w:r w:rsidRPr="000D0966">
              <w:rPr>
                <w:color w:val="000000" w:themeColor="text1"/>
              </w:rPr>
              <w:t xml:space="preserve"> </w:t>
            </w:r>
            <w:r w:rsidRPr="000D0966">
              <w:rPr>
                <w:b/>
                <w:color w:val="000000" w:themeColor="text1"/>
              </w:rPr>
              <w:t xml:space="preserve"> %</w:t>
            </w:r>
          </w:p>
        </w:tc>
        <w:tc>
          <w:tcPr>
            <w:tcW w:w="2674" w:type="dxa"/>
            <w:tcBorders>
              <w:top w:val="triple" w:sz="4" w:space="0" w:color="auto"/>
              <w:bottom w:val="double" w:sz="4" w:space="0" w:color="auto"/>
            </w:tcBorders>
          </w:tcPr>
          <w:p w:rsidR="00D772CE" w:rsidRPr="000D0966" w:rsidRDefault="00D772CE" w:rsidP="00D772CE">
            <w:pPr>
              <w:rPr>
                <w:b/>
                <w:color w:val="000000" w:themeColor="text1"/>
              </w:rPr>
            </w:pPr>
            <w:r w:rsidRPr="000D0966">
              <w:rPr>
                <w:b/>
                <w:color w:val="000000" w:themeColor="text1"/>
              </w:rPr>
              <w:t xml:space="preserve">Number of subjects with no growth </w:t>
            </w:r>
          </w:p>
        </w:tc>
        <w:tc>
          <w:tcPr>
            <w:tcW w:w="764" w:type="dxa"/>
            <w:tcBorders>
              <w:top w:val="triple" w:sz="4" w:space="0" w:color="auto"/>
              <w:bottom w:val="double" w:sz="4" w:space="0" w:color="auto"/>
            </w:tcBorders>
            <w:shd w:val="clear" w:color="auto" w:fill="FFD966" w:themeFill="accent4" w:themeFillTint="99"/>
          </w:tcPr>
          <w:p w:rsidR="00D772CE" w:rsidRDefault="00D772CE" w:rsidP="00D772CE">
            <w:pPr>
              <w:rPr>
                <w:b/>
                <w:color w:val="000000" w:themeColor="text1"/>
              </w:rPr>
            </w:pPr>
            <w:r w:rsidRPr="000D0966">
              <w:rPr>
                <w:color w:val="000000" w:themeColor="text1"/>
              </w:rPr>
              <w:t xml:space="preserve">  </w:t>
            </w:r>
            <w:r w:rsidRPr="000D0966">
              <w:rPr>
                <w:b/>
                <w:color w:val="000000" w:themeColor="text1"/>
              </w:rPr>
              <w:t>%</w:t>
            </w:r>
          </w:p>
          <w:p w:rsidR="00D772CE" w:rsidRPr="000D0966" w:rsidRDefault="00D772CE" w:rsidP="00D772CE"/>
        </w:tc>
        <w:tc>
          <w:tcPr>
            <w:tcW w:w="1851" w:type="dxa"/>
            <w:tcBorders>
              <w:top w:val="triple" w:sz="4" w:space="0" w:color="auto"/>
              <w:bottom w:val="double" w:sz="4" w:space="0" w:color="auto"/>
            </w:tcBorders>
          </w:tcPr>
          <w:p w:rsidR="00D772CE" w:rsidRPr="000D0966" w:rsidRDefault="00D772CE" w:rsidP="00D772CE">
            <w:pPr>
              <w:rPr>
                <w:b/>
                <w:color w:val="000000" w:themeColor="text1"/>
              </w:rPr>
            </w:pPr>
            <w:r w:rsidRPr="000D0966">
              <w:rPr>
                <w:b/>
                <w:color w:val="000000" w:themeColor="text1"/>
              </w:rPr>
              <w:t>The p</w:t>
            </w:r>
            <w:r>
              <w:rPr>
                <w:b/>
                <w:color w:val="000000" w:themeColor="text1"/>
              </w:rPr>
              <w:t>robability</w:t>
            </w:r>
            <w:r w:rsidRPr="000D0966">
              <w:rPr>
                <w:b/>
                <w:color w:val="000000" w:themeColor="text1"/>
              </w:rPr>
              <w:t xml:space="preserve"> value </w:t>
            </w:r>
            <w:r>
              <w:rPr>
                <w:b/>
                <w:color w:val="000000" w:themeColor="text1"/>
              </w:rPr>
              <w:t>(p)</w:t>
            </w:r>
          </w:p>
        </w:tc>
      </w:tr>
      <w:tr w:rsidR="00D772CE" w:rsidTr="00D772CE">
        <w:tblPrEx>
          <w:tblCellMar>
            <w:top w:w="0" w:type="dxa"/>
            <w:bottom w:w="0" w:type="dxa"/>
          </w:tblCellMar>
        </w:tblPrEx>
        <w:trPr>
          <w:trHeight w:val="237"/>
        </w:trPr>
        <w:tc>
          <w:tcPr>
            <w:tcW w:w="1228" w:type="dxa"/>
            <w:tcBorders>
              <w:top w:val="double" w:sz="4" w:space="0" w:color="auto"/>
              <w:bottom w:val="double" w:sz="4" w:space="0" w:color="auto"/>
            </w:tcBorders>
            <w:shd w:val="clear" w:color="auto" w:fill="FFD966" w:themeFill="accent4" w:themeFillTint="99"/>
          </w:tcPr>
          <w:p w:rsidR="00D772CE" w:rsidRPr="000D0966" w:rsidRDefault="00D772CE" w:rsidP="00D772CE">
            <w:pPr>
              <w:jc w:val="center"/>
              <w:rPr>
                <w:b/>
              </w:rPr>
            </w:pPr>
            <w:r w:rsidRPr="000D0966">
              <w:rPr>
                <w:b/>
              </w:rPr>
              <w:t>Male</w:t>
            </w:r>
          </w:p>
        </w:tc>
        <w:tc>
          <w:tcPr>
            <w:tcW w:w="2175" w:type="dxa"/>
            <w:tcBorders>
              <w:top w:val="double" w:sz="4" w:space="0" w:color="auto"/>
              <w:bottom w:val="double" w:sz="4" w:space="0" w:color="auto"/>
            </w:tcBorders>
          </w:tcPr>
          <w:p w:rsidR="00D772CE" w:rsidRPr="00CE5436" w:rsidRDefault="00D772CE" w:rsidP="00D772CE">
            <w:pPr>
              <w:jc w:val="center"/>
              <w:rPr>
                <w:color w:val="000000" w:themeColor="text1"/>
              </w:rPr>
            </w:pPr>
            <w:r w:rsidRPr="00CE5436">
              <w:rPr>
                <w:color w:val="000000" w:themeColor="text1"/>
              </w:rPr>
              <w:t>3</w:t>
            </w:r>
          </w:p>
        </w:tc>
        <w:tc>
          <w:tcPr>
            <w:tcW w:w="764" w:type="dxa"/>
            <w:tcBorders>
              <w:top w:val="double" w:sz="4" w:space="0" w:color="auto"/>
              <w:bottom w:val="double" w:sz="4" w:space="0" w:color="auto"/>
            </w:tcBorders>
            <w:shd w:val="clear" w:color="auto" w:fill="FFE599" w:themeFill="accent4" w:themeFillTint="66"/>
          </w:tcPr>
          <w:p w:rsidR="00D772CE" w:rsidRPr="00CE5436" w:rsidRDefault="00D772CE" w:rsidP="00D772CE">
            <w:pPr>
              <w:jc w:val="center"/>
              <w:rPr>
                <w:color w:val="000000" w:themeColor="text1"/>
              </w:rPr>
            </w:pPr>
            <w:r w:rsidRPr="00CE5436">
              <w:rPr>
                <w:color w:val="000000" w:themeColor="text1"/>
              </w:rPr>
              <w:t>23.1</w:t>
            </w:r>
            <w:r>
              <w:rPr>
                <w:color w:val="000000" w:themeColor="text1"/>
              </w:rPr>
              <w:t>%</w:t>
            </w:r>
          </w:p>
        </w:tc>
        <w:tc>
          <w:tcPr>
            <w:tcW w:w="2674" w:type="dxa"/>
            <w:tcBorders>
              <w:top w:val="double" w:sz="4" w:space="0" w:color="auto"/>
              <w:bottom w:val="double" w:sz="4" w:space="0" w:color="auto"/>
            </w:tcBorders>
          </w:tcPr>
          <w:p w:rsidR="00D772CE" w:rsidRPr="00CE5436" w:rsidRDefault="00D772CE" w:rsidP="00D772CE">
            <w:pPr>
              <w:jc w:val="center"/>
              <w:rPr>
                <w:color w:val="000000" w:themeColor="text1"/>
              </w:rPr>
            </w:pPr>
            <w:r w:rsidRPr="00CE5436">
              <w:rPr>
                <w:color w:val="000000" w:themeColor="text1"/>
              </w:rPr>
              <w:t>9</w:t>
            </w:r>
          </w:p>
        </w:tc>
        <w:tc>
          <w:tcPr>
            <w:tcW w:w="764" w:type="dxa"/>
            <w:tcBorders>
              <w:top w:val="double" w:sz="4" w:space="0" w:color="auto"/>
              <w:bottom w:val="double" w:sz="4" w:space="0" w:color="auto"/>
            </w:tcBorders>
            <w:shd w:val="clear" w:color="auto" w:fill="FFE599" w:themeFill="accent4" w:themeFillTint="66"/>
          </w:tcPr>
          <w:p w:rsidR="00D772CE" w:rsidRPr="00CE5436" w:rsidRDefault="00D772CE" w:rsidP="00D772CE">
            <w:pPr>
              <w:jc w:val="center"/>
              <w:rPr>
                <w:color w:val="000000" w:themeColor="text1"/>
              </w:rPr>
            </w:pPr>
            <w:r w:rsidRPr="00CE5436">
              <w:rPr>
                <w:color w:val="000000" w:themeColor="text1"/>
              </w:rPr>
              <w:t>81.8</w:t>
            </w:r>
            <w:r>
              <w:rPr>
                <w:color w:val="000000" w:themeColor="text1"/>
              </w:rPr>
              <w:t>%</w:t>
            </w:r>
          </w:p>
        </w:tc>
        <w:tc>
          <w:tcPr>
            <w:tcW w:w="1851" w:type="dxa"/>
            <w:vMerge w:val="restart"/>
            <w:tcBorders>
              <w:top w:val="double" w:sz="4" w:space="0" w:color="auto"/>
            </w:tcBorders>
          </w:tcPr>
          <w:p w:rsidR="00D772CE" w:rsidRDefault="00D772CE" w:rsidP="00D772CE">
            <w:pPr>
              <w:jc w:val="center"/>
              <w:rPr>
                <w:color w:val="000000" w:themeColor="text1"/>
              </w:rPr>
            </w:pPr>
            <w:r w:rsidRPr="00CE5436">
              <w:rPr>
                <w:color w:val="000000" w:themeColor="text1"/>
              </w:rPr>
              <w:t>0.00</w:t>
            </w:r>
            <w:r>
              <w:rPr>
                <w:color w:val="000000" w:themeColor="text1"/>
              </w:rPr>
              <w:t>4</w:t>
            </w:r>
          </w:p>
          <w:p w:rsidR="00D772CE" w:rsidRPr="00CE5436" w:rsidRDefault="00D772CE" w:rsidP="00D772CE">
            <w:pPr>
              <w:jc w:val="center"/>
              <w:rPr>
                <w:color w:val="000000" w:themeColor="text1"/>
              </w:rPr>
            </w:pPr>
            <w:r>
              <w:rPr>
                <w:color w:val="000000" w:themeColor="text1"/>
              </w:rPr>
              <w:t>P &lt; 0.0</w:t>
            </w:r>
            <w:r w:rsidRPr="00CE5436">
              <w:rPr>
                <w:color w:val="000000" w:themeColor="text1"/>
              </w:rPr>
              <w:t>5</w:t>
            </w:r>
          </w:p>
        </w:tc>
      </w:tr>
      <w:tr w:rsidR="00D772CE" w:rsidTr="00D772CE">
        <w:tblPrEx>
          <w:tblCellMar>
            <w:top w:w="0" w:type="dxa"/>
            <w:bottom w:w="0" w:type="dxa"/>
          </w:tblCellMar>
        </w:tblPrEx>
        <w:trPr>
          <w:trHeight w:val="300"/>
        </w:trPr>
        <w:tc>
          <w:tcPr>
            <w:tcW w:w="1228" w:type="dxa"/>
            <w:tcBorders>
              <w:top w:val="double" w:sz="4" w:space="0" w:color="auto"/>
              <w:bottom w:val="double" w:sz="4" w:space="0" w:color="auto"/>
            </w:tcBorders>
            <w:shd w:val="clear" w:color="auto" w:fill="FFD966" w:themeFill="accent4" w:themeFillTint="99"/>
          </w:tcPr>
          <w:p w:rsidR="00D772CE" w:rsidRPr="000D0966" w:rsidRDefault="00D772CE" w:rsidP="00D772CE">
            <w:pPr>
              <w:jc w:val="center"/>
              <w:rPr>
                <w:b/>
              </w:rPr>
            </w:pPr>
            <w:r w:rsidRPr="000D0966">
              <w:rPr>
                <w:b/>
                <w:color w:val="000000" w:themeColor="text1"/>
              </w:rPr>
              <w:t>Female</w:t>
            </w:r>
          </w:p>
        </w:tc>
        <w:tc>
          <w:tcPr>
            <w:tcW w:w="2175" w:type="dxa"/>
            <w:tcBorders>
              <w:top w:val="double" w:sz="4" w:space="0" w:color="auto"/>
              <w:bottom w:val="double" w:sz="4" w:space="0" w:color="auto"/>
            </w:tcBorders>
          </w:tcPr>
          <w:p w:rsidR="00D772CE" w:rsidRPr="00CE5436" w:rsidRDefault="00D772CE" w:rsidP="00D772CE">
            <w:pPr>
              <w:jc w:val="center"/>
              <w:rPr>
                <w:color w:val="000000" w:themeColor="text1"/>
              </w:rPr>
            </w:pPr>
            <w:r w:rsidRPr="00CE5436">
              <w:rPr>
                <w:color w:val="000000" w:themeColor="text1"/>
              </w:rPr>
              <w:t>10</w:t>
            </w:r>
          </w:p>
        </w:tc>
        <w:tc>
          <w:tcPr>
            <w:tcW w:w="764" w:type="dxa"/>
            <w:tcBorders>
              <w:top w:val="double" w:sz="4" w:space="0" w:color="auto"/>
              <w:bottom w:val="double" w:sz="4" w:space="0" w:color="auto"/>
            </w:tcBorders>
            <w:shd w:val="clear" w:color="auto" w:fill="FFE599" w:themeFill="accent4" w:themeFillTint="66"/>
          </w:tcPr>
          <w:p w:rsidR="00D772CE" w:rsidRPr="00CE5436" w:rsidRDefault="00D772CE" w:rsidP="00D772CE">
            <w:pPr>
              <w:jc w:val="center"/>
              <w:rPr>
                <w:color w:val="000000" w:themeColor="text1"/>
              </w:rPr>
            </w:pPr>
            <w:r w:rsidRPr="00CE5436">
              <w:rPr>
                <w:color w:val="000000" w:themeColor="text1"/>
              </w:rPr>
              <w:t>76.9</w:t>
            </w:r>
            <w:r>
              <w:rPr>
                <w:color w:val="000000" w:themeColor="text1"/>
              </w:rPr>
              <w:t>%</w:t>
            </w:r>
          </w:p>
        </w:tc>
        <w:tc>
          <w:tcPr>
            <w:tcW w:w="2674" w:type="dxa"/>
            <w:tcBorders>
              <w:top w:val="double" w:sz="4" w:space="0" w:color="auto"/>
              <w:bottom w:val="double" w:sz="4" w:space="0" w:color="auto"/>
            </w:tcBorders>
          </w:tcPr>
          <w:p w:rsidR="00D772CE" w:rsidRPr="00CE5436" w:rsidRDefault="00D772CE" w:rsidP="00D772CE">
            <w:pPr>
              <w:jc w:val="center"/>
              <w:rPr>
                <w:color w:val="000000" w:themeColor="text1"/>
              </w:rPr>
            </w:pPr>
            <w:r w:rsidRPr="00CE5436">
              <w:rPr>
                <w:color w:val="000000" w:themeColor="text1"/>
              </w:rPr>
              <w:t>2</w:t>
            </w:r>
          </w:p>
        </w:tc>
        <w:tc>
          <w:tcPr>
            <w:tcW w:w="764" w:type="dxa"/>
            <w:tcBorders>
              <w:top w:val="double" w:sz="4" w:space="0" w:color="auto"/>
              <w:bottom w:val="double" w:sz="4" w:space="0" w:color="auto"/>
            </w:tcBorders>
            <w:shd w:val="clear" w:color="auto" w:fill="FFE599" w:themeFill="accent4" w:themeFillTint="66"/>
          </w:tcPr>
          <w:p w:rsidR="00D772CE" w:rsidRPr="00CE5436" w:rsidRDefault="00D772CE" w:rsidP="00D772CE">
            <w:pPr>
              <w:jc w:val="center"/>
              <w:rPr>
                <w:color w:val="000000" w:themeColor="text1"/>
              </w:rPr>
            </w:pPr>
            <w:r w:rsidRPr="00CE5436">
              <w:rPr>
                <w:color w:val="000000" w:themeColor="text1"/>
              </w:rPr>
              <w:t>18.2</w:t>
            </w:r>
            <w:r>
              <w:rPr>
                <w:color w:val="000000" w:themeColor="text1"/>
              </w:rPr>
              <w:t>%</w:t>
            </w:r>
          </w:p>
        </w:tc>
        <w:tc>
          <w:tcPr>
            <w:tcW w:w="1851" w:type="dxa"/>
            <w:vMerge/>
          </w:tcPr>
          <w:p w:rsidR="00D772CE" w:rsidRPr="00CE5436" w:rsidRDefault="00D772CE" w:rsidP="00D772CE">
            <w:pPr>
              <w:jc w:val="center"/>
              <w:rPr>
                <w:color w:val="000000" w:themeColor="text1"/>
              </w:rPr>
            </w:pPr>
          </w:p>
        </w:tc>
      </w:tr>
      <w:tr w:rsidR="00D772CE" w:rsidTr="00D772CE">
        <w:tblPrEx>
          <w:tblCellMar>
            <w:top w:w="0" w:type="dxa"/>
            <w:bottom w:w="0" w:type="dxa"/>
          </w:tblCellMar>
        </w:tblPrEx>
        <w:trPr>
          <w:trHeight w:val="183"/>
        </w:trPr>
        <w:tc>
          <w:tcPr>
            <w:tcW w:w="1228" w:type="dxa"/>
            <w:tcBorders>
              <w:top w:val="double" w:sz="4" w:space="0" w:color="auto"/>
              <w:bottom w:val="triple" w:sz="4" w:space="0" w:color="auto"/>
            </w:tcBorders>
            <w:shd w:val="clear" w:color="auto" w:fill="FFD966" w:themeFill="accent4" w:themeFillTint="99"/>
          </w:tcPr>
          <w:p w:rsidR="00D772CE" w:rsidRPr="000D0966" w:rsidRDefault="00D772CE" w:rsidP="00D772CE">
            <w:pPr>
              <w:jc w:val="center"/>
              <w:rPr>
                <w:b/>
              </w:rPr>
            </w:pPr>
            <w:r>
              <w:rPr>
                <w:b/>
                <w:color w:val="000000" w:themeColor="text1"/>
              </w:rPr>
              <w:t>T</w:t>
            </w:r>
            <w:r w:rsidRPr="000D0966">
              <w:rPr>
                <w:b/>
                <w:color w:val="000000" w:themeColor="text1"/>
              </w:rPr>
              <w:t>otal</w:t>
            </w:r>
          </w:p>
        </w:tc>
        <w:tc>
          <w:tcPr>
            <w:tcW w:w="2175" w:type="dxa"/>
            <w:tcBorders>
              <w:top w:val="double" w:sz="4" w:space="0" w:color="auto"/>
              <w:bottom w:val="triple" w:sz="4" w:space="0" w:color="auto"/>
            </w:tcBorders>
          </w:tcPr>
          <w:p w:rsidR="00D772CE" w:rsidRPr="00CE5436" w:rsidRDefault="00D772CE" w:rsidP="00D772CE">
            <w:pPr>
              <w:jc w:val="center"/>
              <w:rPr>
                <w:color w:val="000000" w:themeColor="text1"/>
              </w:rPr>
            </w:pPr>
            <w:r w:rsidRPr="00CE5436">
              <w:rPr>
                <w:color w:val="000000" w:themeColor="text1"/>
              </w:rPr>
              <w:t>13</w:t>
            </w:r>
          </w:p>
        </w:tc>
        <w:tc>
          <w:tcPr>
            <w:tcW w:w="764" w:type="dxa"/>
            <w:tcBorders>
              <w:top w:val="double" w:sz="4" w:space="0" w:color="auto"/>
              <w:bottom w:val="triple" w:sz="4" w:space="0" w:color="auto"/>
            </w:tcBorders>
            <w:shd w:val="clear" w:color="auto" w:fill="FFE599" w:themeFill="accent4" w:themeFillTint="66"/>
          </w:tcPr>
          <w:p w:rsidR="00D772CE" w:rsidRPr="00CE5436" w:rsidRDefault="00D772CE" w:rsidP="00D772CE">
            <w:pPr>
              <w:jc w:val="center"/>
              <w:rPr>
                <w:color w:val="000000" w:themeColor="text1"/>
              </w:rPr>
            </w:pPr>
            <w:r w:rsidRPr="00CE5436">
              <w:rPr>
                <w:color w:val="000000" w:themeColor="text1"/>
              </w:rPr>
              <w:t>100</w:t>
            </w:r>
            <w:r>
              <w:rPr>
                <w:color w:val="000000" w:themeColor="text1"/>
              </w:rPr>
              <w:t>%</w:t>
            </w:r>
          </w:p>
        </w:tc>
        <w:tc>
          <w:tcPr>
            <w:tcW w:w="2674" w:type="dxa"/>
            <w:tcBorders>
              <w:top w:val="double" w:sz="4" w:space="0" w:color="auto"/>
              <w:bottom w:val="triple" w:sz="4" w:space="0" w:color="auto"/>
            </w:tcBorders>
          </w:tcPr>
          <w:p w:rsidR="00D772CE" w:rsidRPr="00CE5436" w:rsidRDefault="00D772CE" w:rsidP="00D772CE">
            <w:pPr>
              <w:jc w:val="center"/>
              <w:rPr>
                <w:color w:val="000000" w:themeColor="text1"/>
              </w:rPr>
            </w:pPr>
            <w:r w:rsidRPr="00CE5436">
              <w:rPr>
                <w:color w:val="000000" w:themeColor="text1"/>
              </w:rPr>
              <w:t>11</w:t>
            </w:r>
          </w:p>
        </w:tc>
        <w:tc>
          <w:tcPr>
            <w:tcW w:w="764" w:type="dxa"/>
            <w:tcBorders>
              <w:top w:val="double" w:sz="4" w:space="0" w:color="auto"/>
              <w:bottom w:val="triple" w:sz="4" w:space="0" w:color="auto"/>
            </w:tcBorders>
            <w:shd w:val="clear" w:color="auto" w:fill="FFE599" w:themeFill="accent4" w:themeFillTint="66"/>
          </w:tcPr>
          <w:p w:rsidR="00D772CE" w:rsidRPr="00CE5436" w:rsidRDefault="00D772CE" w:rsidP="00D772CE">
            <w:pPr>
              <w:jc w:val="center"/>
              <w:rPr>
                <w:color w:val="000000" w:themeColor="text1"/>
              </w:rPr>
            </w:pPr>
            <w:r w:rsidRPr="00CE5436">
              <w:rPr>
                <w:color w:val="000000" w:themeColor="text1"/>
              </w:rPr>
              <w:t>100</w:t>
            </w:r>
            <w:r>
              <w:rPr>
                <w:color w:val="000000" w:themeColor="text1"/>
              </w:rPr>
              <w:t>%</w:t>
            </w:r>
          </w:p>
        </w:tc>
        <w:tc>
          <w:tcPr>
            <w:tcW w:w="1851" w:type="dxa"/>
            <w:vMerge/>
            <w:tcBorders>
              <w:bottom w:val="triple" w:sz="4" w:space="0" w:color="auto"/>
            </w:tcBorders>
          </w:tcPr>
          <w:p w:rsidR="00D772CE" w:rsidRPr="00CE5436" w:rsidRDefault="00D772CE" w:rsidP="00D772CE">
            <w:pPr>
              <w:jc w:val="center"/>
              <w:rPr>
                <w:color w:val="000000" w:themeColor="text1"/>
              </w:rPr>
            </w:pPr>
          </w:p>
        </w:tc>
      </w:tr>
    </w:tbl>
    <w:p w:rsidR="00D772CE" w:rsidRPr="00A07F11" w:rsidRDefault="00D772CE" w:rsidP="00D772CE">
      <w:pPr>
        <w:shd w:val="clear" w:color="auto" w:fill="FFFFFF"/>
        <w:rPr>
          <w:rFonts w:ascii="Arial" w:eastAsia="Times New Roman" w:hAnsi="Arial" w:cs="Arial"/>
          <w:b/>
          <w:color w:val="000000"/>
          <w:spacing w:val="2"/>
          <w:sz w:val="44"/>
          <w:szCs w:val="24"/>
        </w:rPr>
      </w:pPr>
      <w:r>
        <w:rPr>
          <w:noProof/>
        </w:rPr>
        <w:drawing>
          <wp:anchor distT="0" distB="0" distL="114300" distR="114300" simplePos="0" relativeHeight="251661312" behindDoc="1" locked="0" layoutInCell="1" allowOverlap="1" wp14:anchorId="6BE8AC16" wp14:editId="581EABF2">
            <wp:simplePos x="0" y="0"/>
            <wp:positionH relativeFrom="margin">
              <wp:align>center</wp:align>
            </wp:positionH>
            <wp:positionV relativeFrom="bottomMargin">
              <wp:posOffset>-4053840</wp:posOffset>
            </wp:positionV>
            <wp:extent cx="6238875" cy="3495675"/>
            <wp:effectExtent l="0" t="0" r="9525" b="9525"/>
            <wp:wrapTight wrapText="bothSides">
              <wp:wrapPolygon edited="0">
                <wp:start x="0" y="0"/>
                <wp:lineTo x="0" y="21541"/>
                <wp:lineTo x="21567" y="21541"/>
                <wp:lineTo x="21567" y="0"/>
                <wp:lineTo x="0" y="0"/>
              </wp:wrapPolygon>
            </wp:wrapTight>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margin">
              <wp14:pctWidth>0</wp14:pctWidth>
            </wp14:sizeRelH>
            <wp14:sizeRelV relativeFrom="margin">
              <wp14:pctHeight>0</wp14:pctHeight>
            </wp14:sizeRelV>
          </wp:anchor>
        </w:drawing>
      </w:r>
      <w:r w:rsidRPr="00A07F11">
        <w:rPr>
          <w:rFonts w:ascii="Arial" w:eastAsia="Times New Roman" w:hAnsi="Arial" w:cs="Arial"/>
          <w:b/>
          <w:color w:val="000000"/>
          <w:spacing w:val="2"/>
          <w:sz w:val="36"/>
          <w:szCs w:val="24"/>
          <w:vertAlign w:val="superscript"/>
        </w:rPr>
        <w:t xml:space="preserve">*Table 1: </w:t>
      </w:r>
      <w:r w:rsidRPr="00A07F11">
        <w:rPr>
          <w:rFonts w:ascii="Arial" w:eastAsia="Times New Roman" w:hAnsi="Arial" w:cs="Arial"/>
          <w:color w:val="000000"/>
          <w:spacing w:val="2"/>
          <w:sz w:val="36"/>
          <w:szCs w:val="24"/>
          <w:vertAlign w:val="superscript"/>
        </w:rPr>
        <w:t>prevalence of significant bacteriuria among students</w:t>
      </w:r>
    </w:p>
    <w:p w:rsidR="00D772CE" w:rsidRPr="00A07F11" w:rsidRDefault="00D772CE" w:rsidP="00D772CE">
      <w:pPr>
        <w:shd w:val="clear" w:color="auto" w:fill="FFFFFF"/>
        <w:rPr>
          <w:rFonts w:ascii="Arial" w:eastAsia="Times New Roman" w:hAnsi="Arial" w:cs="Arial"/>
          <w:b/>
          <w:color w:val="000000"/>
          <w:spacing w:val="2"/>
          <w:sz w:val="32"/>
          <w:szCs w:val="24"/>
        </w:rPr>
      </w:pPr>
      <w:bookmarkStart w:id="0" w:name="_GoBack"/>
      <w:bookmarkEnd w:id="0"/>
      <w:r w:rsidRPr="00A07F11">
        <w:rPr>
          <w:rFonts w:ascii="Arial" w:eastAsia="Times New Roman" w:hAnsi="Arial" w:cs="Arial"/>
          <w:b/>
          <w:color w:val="000000"/>
          <w:spacing w:val="2"/>
          <w:sz w:val="36"/>
          <w:szCs w:val="24"/>
          <w:vertAlign w:val="superscript"/>
        </w:rPr>
        <w:t xml:space="preserve">*Figure 1: </w:t>
      </w:r>
      <w:r w:rsidRPr="00A07F11">
        <w:rPr>
          <w:rFonts w:ascii="Arial" w:eastAsia="Times New Roman" w:hAnsi="Arial" w:cs="Arial"/>
          <w:color w:val="000000"/>
          <w:spacing w:val="2"/>
          <w:sz w:val="36"/>
          <w:szCs w:val="24"/>
          <w:vertAlign w:val="superscript"/>
        </w:rPr>
        <w:t xml:space="preserve">pie chart count of CFUcat for </w:t>
      </w:r>
      <w:r w:rsidRPr="00A07F11">
        <w:rPr>
          <w:rFonts w:ascii="Arial" w:eastAsia="Times New Roman" w:hAnsi="Arial" w:cs="Arial"/>
          <w:b/>
          <w:color w:val="000000"/>
          <w:spacing w:val="2"/>
          <w:sz w:val="36"/>
          <w:szCs w:val="24"/>
          <w:vertAlign w:val="superscript"/>
        </w:rPr>
        <w:t>females</w:t>
      </w:r>
    </w:p>
    <w:p w:rsidR="00D772CE" w:rsidRPr="00D772CE" w:rsidRDefault="00D772CE" w:rsidP="00D772CE">
      <w:pPr>
        <w:shd w:val="clear" w:color="auto" w:fill="FFFFFF"/>
        <w:rPr>
          <w:rFonts w:ascii="Arial" w:eastAsia="Times New Roman" w:hAnsi="Arial" w:cs="Arial"/>
          <w:b/>
          <w:color w:val="000000"/>
          <w:spacing w:val="2"/>
          <w:sz w:val="32"/>
          <w:szCs w:val="24"/>
        </w:rPr>
      </w:pPr>
      <w:r w:rsidRPr="00A07F11">
        <w:rPr>
          <w:noProof/>
          <w:sz w:val="24"/>
        </w:rPr>
        <w:lastRenderedPageBreak/>
        <w:drawing>
          <wp:anchor distT="0" distB="0" distL="114300" distR="114300" simplePos="0" relativeHeight="251662336" behindDoc="0" locked="0" layoutInCell="1" allowOverlap="1" wp14:anchorId="2BB748BE" wp14:editId="316E7518">
            <wp:simplePos x="0" y="0"/>
            <wp:positionH relativeFrom="margin">
              <wp:align>left</wp:align>
            </wp:positionH>
            <wp:positionV relativeFrom="page">
              <wp:posOffset>1294130</wp:posOffset>
            </wp:positionV>
            <wp:extent cx="5905500" cy="2914650"/>
            <wp:effectExtent l="0" t="0" r="0" b="0"/>
            <wp:wrapSquare wrapText="bothSides"/>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margin">
              <wp14:pctWidth>0</wp14:pctWidth>
            </wp14:sizeRelH>
            <wp14:sizeRelV relativeFrom="margin">
              <wp14:pctHeight>0</wp14:pctHeight>
            </wp14:sizeRelV>
          </wp:anchor>
        </w:drawing>
      </w:r>
      <w:r w:rsidRPr="00A07F11">
        <w:rPr>
          <w:rFonts w:ascii="Arial" w:eastAsia="Times New Roman" w:hAnsi="Arial" w:cs="Arial"/>
          <w:b/>
          <w:color w:val="000000"/>
          <w:spacing w:val="2"/>
          <w:sz w:val="36"/>
          <w:szCs w:val="24"/>
          <w:vertAlign w:val="superscript"/>
        </w:rPr>
        <w:t xml:space="preserve">*Figure 2: </w:t>
      </w:r>
      <w:r w:rsidRPr="00A07F11">
        <w:rPr>
          <w:rFonts w:ascii="Arial" w:eastAsia="Times New Roman" w:hAnsi="Arial" w:cs="Arial"/>
          <w:color w:val="000000"/>
          <w:spacing w:val="2"/>
          <w:sz w:val="36"/>
          <w:szCs w:val="24"/>
          <w:vertAlign w:val="superscript"/>
        </w:rPr>
        <w:t xml:space="preserve">pie chart count of CFUcat for </w:t>
      </w:r>
      <w:r w:rsidRPr="00A07F11">
        <w:rPr>
          <w:rFonts w:ascii="Arial" w:eastAsia="Times New Roman" w:hAnsi="Arial" w:cs="Arial"/>
          <w:b/>
          <w:color w:val="000000"/>
          <w:spacing w:val="2"/>
          <w:sz w:val="36"/>
          <w:szCs w:val="24"/>
          <w:vertAlign w:val="superscript"/>
        </w:rPr>
        <w:t xml:space="preserve">males </w:t>
      </w:r>
    </w:p>
    <w:p w:rsidR="00D772CE" w:rsidRDefault="00D772CE" w:rsidP="00D772CE">
      <w:pPr>
        <w:shd w:val="clear" w:color="auto" w:fill="FFFFFF"/>
        <w:rPr>
          <w:rFonts w:ascii="Arial" w:eastAsia="Times New Roman" w:hAnsi="Arial" w:cs="Arial"/>
          <w:b/>
          <w:color w:val="000000"/>
          <w:spacing w:val="2"/>
          <w:sz w:val="32"/>
          <w:szCs w:val="24"/>
        </w:rPr>
      </w:pPr>
    </w:p>
    <w:p w:rsidR="00456CD6" w:rsidRDefault="00D772CE" w:rsidP="00456CD6">
      <w:pPr>
        <w:shd w:val="clear" w:color="auto" w:fill="FFFFFF"/>
        <w:rPr>
          <w:rFonts w:ascii="Arial" w:eastAsia="Times New Roman" w:hAnsi="Arial" w:cs="Arial"/>
          <w:b/>
          <w:color w:val="000000"/>
          <w:spacing w:val="2"/>
          <w:sz w:val="24"/>
          <w:szCs w:val="24"/>
        </w:rPr>
      </w:pPr>
      <w:r>
        <w:rPr>
          <w:rFonts w:ascii="Arial" w:eastAsia="Times New Roman" w:hAnsi="Arial" w:cs="Arial"/>
          <w:b/>
          <w:color w:val="000000"/>
          <w:spacing w:val="2"/>
          <w:sz w:val="32"/>
          <w:szCs w:val="24"/>
        </w:rPr>
        <w:t>Discussion:</w:t>
      </w:r>
    </w:p>
    <w:p w:rsidR="00D772CE" w:rsidRPr="00456CD6" w:rsidRDefault="00D772CE" w:rsidP="00456CD6">
      <w:pPr>
        <w:shd w:val="clear" w:color="auto" w:fill="FFFFFF"/>
        <w:ind w:firstLine="720"/>
        <w:rPr>
          <w:rFonts w:ascii="Arial" w:eastAsia="Times New Roman" w:hAnsi="Arial" w:cs="Arial"/>
          <w:b/>
          <w:color w:val="000000"/>
          <w:spacing w:val="2"/>
          <w:sz w:val="24"/>
          <w:szCs w:val="24"/>
        </w:rPr>
      </w:pPr>
      <w:r w:rsidRPr="00A07F11">
        <w:rPr>
          <w:rFonts w:ascii="Arial" w:hAnsi="Arial" w:cs="Arial"/>
          <w:sz w:val="24"/>
          <w:szCs w:val="24"/>
        </w:rPr>
        <w:t>This study was carried out to determine the presence of asymptomatic bacteriuria among 24 otherwise healthy students of LIMU.</w:t>
      </w:r>
      <w:r>
        <w:rPr>
          <w:rFonts w:ascii="Arial" w:hAnsi="Arial" w:cs="Arial"/>
          <w:sz w:val="24"/>
          <w:szCs w:val="24"/>
        </w:rPr>
        <w:t xml:space="preserve"> Have been done</w:t>
      </w:r>
      <w:r w:rsidRPr="00A07F11">
        <w:rPr>
          <w:rFonts w:ascii="Arial" w:hAnsi="Arial" w:cs="Arial"/>
          <w:sz w:val="24"/>
          <w:szCs w:val="24"/>
        </w:rPr>
        <w:t xml:space="preserve"> </w:t>
      </w:r>
      <w:r>
        <w:rPr>
          <w:rFonts w:ascii="Arial" w:hAnsi="Arial" w:cs="Arial"/>
          <w:sz w:val="24"/>
          <w:szCs w:val="24"/>
        </w:rPr>
        <w:t>by u</w:t>
      </w:r>
      <w:r w:rsidRPr="00A07F11">
        <w:rPr>
          <w:rFonts w:ascii="Arial" w:hAnsi="Arial" w:cs="Arial"/>
          <w:sz w:val="24"/>
          <w:szCs w:val="24"/>
        </w:rPr>
        <w:t>rine culture</w:t>
      </w:r>
      <w:r>
        <w:rPr>
          <w:rFonts w:ascii="Arial" w:hAnsi="Arial" w:cs="Arial"/>
          <w:sz w:val="24"/>
          <w:szCs w:val="24"/>
        </w:rPr>
        <w:t xml:space="preserve"> which </w:t>
      </w:r>
      <w:r w:rsidRPr="00A07F11">
        <w:rPr>
          <w:rFonts w:ascii="Arial" w:hAnsi="Arial" w:cs="Arial"/>
          <w:sz w:val="24"/>
          <w:szCs w:val="24"/>
        </w:rPr>
        <w:t>is regarded as the gold standard for screening of asymptomatic bacteriuria among population</w:t>
      </w:r>
      <w:r>
        <w:rPr>
          <w:rFonts w:ascii="Arial" w:hAnsi="Arial" w:cs="Arial"/>
          <w:sz w:val="24"/>
          <w:szCs w:val="24"/>
        </w:rPr>
        <w:t>.</w:t>
      </w:r>
      <w:r w:rsidRPr="00A07F11">
        <w:rPr>
          <w:rFonts w:ascii="Arial" w:hAnsi="Arial" w:cs="Arial"/>
          <w:sz w:val="24"/>
          <w:szCs w:val="24"/>
        </w:rPr>
        <w:t xml:space="preserve"> The Prevalence of asymptomatic bacteriuria was observed in 54% of the population. mathematically calculated by the multiplication of 100 by 13 (total number of male and female participants who showed significant growth, check Table 1) and dividing by 24 (the total number of male and female participants). </w:t>
      </w:r>
    </w:p>
    <w:p w:rsidR="00D772CE" w:rsidRPr="00A07F11" w:rsidRDefault="00D772CE" w:rsidP="00D772CE">
      <w:pPr>
        <w:shd w:val="clear" w:color="auto" w:fill="FFFFFF"/>
        <w:rPr>
          <w:rFonts w:ascii="Arial" w:eastAsia="Times New Roman" w:hAnsi="Arial" w:cs="Arial"/>
          <w:b/>
          <w:color w:val="000000"/>
          <w:spacing w:val="2"/>
          <w:sz w:val="24"/>
          <w:szCs w:val="24"/>
        </w:rPr>
      </w:pPr>
      <w:r>
        <w:rPr>
          <w:rFonts w:ascii="Arial" w:eastAsia="Times New Roman" w:hAnsi="Arial" w:cs="Arial"/>
          <w:color w:val="000000"/>
          <w:spacing w:val="2"/>
          <w:sz w:val="24"/>
          <w:szCs w:val="24"/>
        </w:rPr>
        <w:t xml:space="preserve">The probability (p) value is (0.004) </w:t>
      </w:r>
      <w:r w:rsidRPr="00A07F11">
        <w:rPr>
          <w:rFonts w:ascii="Arial" w:eastAsia="Times New Roman" w:hAnsi="Arial" w:cs="Arial"/>
          <w:color w:val="000000"/>
          <w:spacing w:val="2"/>
          <w:sz w:val="24"/>
          <w:szCs w:val="24"/>
        </w:rPr>
        <w:t>which is statistically significant. Less than 0.05. thus, we reject</w:t>
      </w:r>
      <w:r>
        <w:rPr>
          <w:rFonts w:ascii="Arial" w:eastAsia="Times New Roman" w:hAnsi="Arial" w:cs="Arial"/>
          <w:color w:val="000000"/>
          <w:spacing w:val="2"/>
          <w:sz w:val="24"/>
          <w:szCs w:val="24"/>
        </w:rPr>
        <w:t>ed</w:t>
      </w:r>
      <w:r w:rsidRPr="00A07F11">
        <w:rPr>
          <w:rFonts w:ascii="Arial" w:eastAsia="Times New Roman" w:hAnsi="Arial" w:cs="Arial"/>
          <w:color w:val="000000"/>
          <w:spacing w:val="2"/>
          <w:sz w:val="24"/>
          <w:szCs w:val="24"/>
        </w:rPr>
        <w:t xml:space="preserve"> the null hypothesis</w:t>
      </w:r>
      <w:r>
        <w:rPr>
          <w:rFonts w:ascii="Arial" w:eastAsia="Times New Roman" w:hAnsi="Arial" w:cs="Arial"/>
          <w:color w:val="000000"/>
          <w:spacing w:val="2"/>
          <w:sz w:val="24"/>
          <w:szCs w:val="24"/>
        </w:rPr>
        <w:t>, means it carried a wrong conjecture and therefore we have no choice than to accept the statement of the alternative hypothesis.</w:t>
      </w:r>
    </w:p>
    <w:p w:rsidR="00D772CE" w:rsidRPr="00A07F11" w:rsidRDefault="00D772CE" w:rsidP="00D772CE">
      <w:pPr>
        <w:tabs>
          <w:tab w:val="left" w:pos="2720"/>
        </w:tabs>
        <w:rPr>
          <w:rFonts w:ascii="Arial" w:hAnsi="Arial" w:cs="Arial"/>
          <w:sz w:val="24"/>
          <w:szCs w:val="24"/>
          <w:vertAlign w:val="superscript"/>
        </w:rPr>
      </w:pPr>
      <w:r>
        <w:rPr>
          <w:rFonts w:ascii="Arial" w:hAnsi="Arial" w:cs="Arial"/>
          <w:sz w:val="24"/>
          <w:szCs w:val="24"/>
        </w:rPr>
        <w:t xml:space="preserve">While </w:t>
      </w:r>
      <w:r w:rsidRPr="00A07F11">
        <w:rPr>
          <w:rFonts w:ascii="Arial" w:hAnsi="Arial" w:cs="Arial"/>
          <w:sz w:val="24"/>
          <w:szCs w:val="24"/>
        </w:rPr>
        <w:t>Mid-</w:t>
      </w:r>
      <w:r>
        <w:rPr>
          <w:rFonts w:ascii="Arial" w:hAnsi="Arial" w:cs="Arial"/>
          <w:sz w:val="24"/>
          <w:szCs w:val="24"/>
        </w:rPr>
        <w:t>S</w:t>
      </w:r>
      <w:r w:rsidRPr="00A07F11">
        <w:rPr>
          <w:rFonts w:ascii="Arial" w:hAnsi="Arial" w:cs="Arial"/>
          <w:sz w:val="24"/>
          <w:szCs w:val="24"/>
        </w:rPr>
        <w:t>tream urine samples are among the most numerous of specimens sent for microbiological analysis in order to reduce the morbidity and mortality caused by urinary tract infections.</w:t>
      </w:r>
      <w:r>
        <w:rPr>
          <w:rFonts w:ascii="Arial" w:hAnsi="Arial" w:cs="Arial"/>
          <w:sz w:val="24"/>
          <w:szCs w:val="24"/>
        </w:rPr>
        <w:t xml:space="preserve"> However,</w:t>
      </w:r>
      <w:r w:rsidRPr="00A07F11">
        <w:rPr>
          <w:rFonts w:ascii="Arial" w:hAnsi="Arial" w:cs="Arial"/>
          <w:sz w:val="24"/>
          <w:szCs w:val="24"/>
        </w:rPr>
        <w:t xml:space="preserve"> attributed the high level of asymptomatic significant bacteriuria in </w:t>
      </w:r>
      <w:r>
        <w:rPr>
          <w:rFonts w:ascii="Arial" w:hAnsi="Arial" w:cs="Arial"/>
          <w:sz w:val="24"/>
          <w:szCs w:val="24"/>
        </w:rPr>
        <w:t xml:space="preserve">this </w:t>
      </w:r>
      <w:r w:rsidRPr="00A07F11">
        <w:rPr>
          <w:rFonts w:ascii="Arial" w:hAnsi="Arial" w:cs="Arial"/>
          <w:sz w:val="24"/>
          <w:szCs w:val="24"/>
        </w:rPr>
        <w:t>study population to the use of mid-stream urine sample. Others</w:t>
      </w:r>
      <w:r>
        <w:rPr>
          <w:rFonts w:ascii="Arial" w:hAnsi="Arial" w:cs="Arial"/>
          <w:sz w:val="24"/>
          <w:szCs w:val="24"/>
        </w:rPr>
        <w:t xml:space="preserve"> (studies)</w:t>
      </w:r>
      <w:r w:rsidRPr="00A07F11">
        <w:rPr>
          <w:rFonts w:ascii="Arial" w:hAnsi="Arial" w:cs="Arial"/>
          <w:sz w:val="24"/>
          <w:szCs w:val="24"/>
        </w:rPr>
        <w:t xml:space="preserve"> argue that transabdominal bladder aspirate gives more reliable results</w:t>
      </w:r>
      <w:r>
        <w:rPr>
          <w:rFonts w:ascii="Arial" w:hAnsi="Arial" w:cs="Arial"/>
          <w:sz w:val="24"/>
          <w:szCs w:val="24"/>
        </w:rPr>
        <w:t>.</w:t>
      </w:r>
      <w:r>
        <w:rPr>
          <w:rFonts w:ascii="Arial" w:hAnsi="Arial" w:cs="Arial"/>
          <w:sz w:val="24"/>
          <w:szCs w:val="24"/>
          <w:vertAlign w:val="superscript"/>
        </w:rPr>
        <w:t xml:space="preserve"> (9), (10)</w:t>
      </w:r>
    </w:p>
    <w:p w:rsidR="00D772CE" w:rsidRPr="00A07F11" w:rsidRDefault="00D772CE" w:rsidP="00D772CE">
      <w:pPr>
        <w:shd w:val="clear" w:color="auto" w:fill="FFFFFF"/>
        <w:rPr>
          <w:rFonts w:ascii="Arial" w:hAnsi="Arial" w:cs="Arial"/>
          <w:sz w:val="24"/>
          <w:szCs w:val="24"/>
        </w:rPr>
      </w:pPr>
      <w:r>
        <w:rPr>
          <w:rFonts w:ascii="Arial" w:hAnsi="Arial" w:cs="Arial"/>
          <w:sz w:val="24"/>
          <w:szCs w:val="24"/>
        </w:rPr>
        <w:lastRenderedPageBreak/>
        <w:t xml:space="preserve">Regarding this study </w:t>
      </w:r>
      <w:r w:rsidRPr="00A07F11">
        <w:rPr>
          <w:rFonts w:ascii="Arial" w:hAnsi="Arial" w:cs="Arial"/>
          <w:sz w:val="24"/>
          <w:szCs w:val="24"/>
        </w:rPr>
        <w:t>the females had a higher prevalence (83%) than the males (25%)</w:t>
      </w:r>
      <w:r>
        <w:rPr>
          <w:rFonts w:ascii="Arial" w:hAnsi="Arial" w:cs="Arial"/>
          <w:sz w:val="24"/>
          <w:szCs w:val="24"/>
        </w:rPr>
        <w:t xml:space="preserve"> (check graph1 and graph2).</w:t>
      </w:r>
      <w:r w:rsidRPr="00A07F11">
        <w:rPr>
          <w:rFonts w:ascii="Arial" w:hAnsi="Arial" w:cs="Arial"/>
          <w:sz w:val="24"/>
          <w:szCs w:val="24"/>
        </w:rPr>
        <w:t xml:space="preserve"> This observation </w:t>
      </w:r>
      <w:proofErr w:type="gramStart"/>
      <w:r w:rsidRPr="00A07F11">
        <w:rPr>
          <w:rFonts w:ascii="Arial" w:hAnsi="Arial" w:cs="Arial"/>
          <w:sz w:val="24"/>
          <w:szCs w:val="24"/>
        </w:rPr>
        <w:t>is in agreement</w:t>
      </w:r>
      <w:proofErr w:type="gramEnd"/>
      <w:r w:rsidRPr="00A07F11">
        <w:rPr>
          <w:rFonts w:ascii="Arial" w:hAnsi="Arial" w:cs="Arial"/>
          <w:sz w:val="24"/>
          <w:szCs w:val="24"/>
        </w:rPr>
        <w:t xml:space="preserve"> with Prescott’s Microbiology book who reported that bacteriuria is more common in females and is often asymptomatic with frequent reoccurrence. </w:t>
      </w:r>
      <w:r w:rsidRPr="00A07F11">
        <w:rPr>
          <w:rFonts w:ascii="Arial" w:hAnsi="Arial" w:cs="Arial"/>
          <w:sz w:val="24"/>
          <w:szCs w:val="24"/>
          <w:vertAlign w:val="superscript"/>
        </w:rPr>
        <w:t xml:space="preserve">(5) </w:t>
      </w:r>
      <w:r w:rsidRPr="00A07F11">
        <w:rPr>
          <w:rFonts w:ascii="Arial" w:hAnsi="Arial" w:cs="Arial"/>
          <w:sz w:val="24"/>
          <w:szCs w:val="24"/>
        </w:rPr>
        <w:t>Higher prevalence of asymptomatic UTI in females than males have also been observed by other studies.</w:t>
      </w:r>
      <w:r w:rsidRPr="00A07F11">
        <w:rPr>
          <w:rFonts w:ascii="Arial" w:hAnsi="Arial" w:cs="Arial"/>
          <w:sz w:val="24"/>
          <w:szCs w:val="24"/>
          <w:vertAlign w:val="superscript"/>
        </w:rPr>
        <w:t xml:space="preserve"> (6)    </w:t>
      </w:r>
      <w:r w:rsidRPr="00A07F11">
        <w:rPr>
          <w:rFonts w:ascii="Arial" w:eastAsia="Times New Roman" w:hAnsi="Arial" w:cs="Arial"/>
          <w:color w:val="000000"/>
          <w:sz w:val="24"/>
          <w:szCs w:val="24"/>
        </w:rPr>
        <w:t xml:space="preserve">similar with previous findings in </w:t>
      </w:r>
      <w:r w:rsidRPr="00465AB0">
        <w:rPr>
          <w:rFonts w:ascii="Arial" w:eastAsia="Times New Roman" w:hAnsi="Arial" w:cs="Arial"/>
          <w:color w:val="000000"/>
          <w:sz w:val="24"/>
          <w:szCs w:val="24"/>
        </w:rPr>
        <w:t>Nigeria and some other places that have</w:t>
      </w:r>
      <w:r w:rsidRPr="00A07F11">
        <w:rPr>
          <w:rFonts w:ascii="Arial" w:eastAsia="Times New Roman" w:hAnsi="Arial" w:cs="Arial"/>
          <w:color w:val="000000"/>
          <w:sz w:val="24"/>
          <w:szCs w:val="24"/>
        </w:rPr>
        <w:t xml:space="preserve"> </w:t>
      </w:r>
      <w:r w:rsidRPr="00465AB0">
        <w:rPr>
          <w:rFonts w:ascii="Arial" w:eastAsia="Times New Roman" w:hAnsi="Arial" w:cs="Arial"/>
          <w:color w:val="000000"/>
          <w:sz w:val="24"/>
          <w:szCs w:val="24"/>
        </w:rPr>
        <w:t>demonstrated the presence of bacteria in urine</w:t>
      </w:r>
      <w:r w:rsidRPr="00A07F11">
        <w:rPr>
          <w:rFonts w:ascii="Arial" w:eastAsia="Times New Roman" w:hAnsi="Arial" w:cs="Arial"/>
          <w:color w:val="000000"/>
          <w:sz w:val="24"/>
          <w:szCs w:val="24"/>
        </w:rPr>
        <w:t xml:space="preserve"> </w:t>
      </w:r>
      <w:r w:rsidRPr="00465AB0">
        <w:rPr>
          <w:rFonts w:ascii="Arial" w:eastAsia="Times New Roman" w:hAnsi="Arial" w:cs="Arial"/>
          <w:color w:val="000000"/>
          <w:sz w:val="24"/>
          <w:szCs w:val="24"/>
        </w:rPr>
        <w:t>without the occurrence of physical symptoms of</w:t>
      </w:r>
      <w:r w:rsidRPr="00A07F11">
        <w:rPr>
          <w:rFonts w:ascii="Arial" w:eastAsia="Times New Roman" w:hAnsi="Arial" w:cs="Arial"/>
          <w:color w:val="000000"/>
          <w:sz w:val="24"/>
          <w:szCs w:val="24"/>
        </w:rPr>
        <w:t xml:space="preserve"> </w:t>
      </w:r>
      <w:r w:rsidRPr="00465AB0">
        <w:rPr>
          <w:rFonts w:ascii="Arial" w:eastAsia="Times New Roman" w:hAnsi="Arial" w:cs="Arial"/>
          <w:color w:val="000000"/>
          <w:sz w:val="24"/>
          <w:szCs w:val="24"/>
        </w:rPr>
        <w:t>UTI</w:t>
      </w:r>
      <w:r>
        <w:rPr>
          <w:rFonts w:ascii="Arial" w:eastAsia="Times New Roman" w:hAnsi="Arial" w:cs="Arial"/>
          <w:color w:val="000000"/>
          <w:sz w:val="24"/>
          <w:szCs w:val="24"/>
        </w:rPr>
        <w:t>.</w:t>
      </w:r>
      <w:r>
        <w:rPr>
          <w:rFonts w:ascii="Arial" w:eastAsia="Times New Roman" w:hAnsi="Arial" w:cs="Arial"/>
          <w:color w:val="000000"/>
          <w:sz w:val="24"/>
          <w:szCs w:val="24"/>
          <w:vertAlign w:val="superscript"/>
        </w:rPr>
        <w:t xml:space="preserve"> (7)</w:t>
      </w:r>
    </w:p>
    <w:p w:rsidR="00D772CE" w:rsidRPr="006A22D4" w:rsidRDefault="00D772CE" w:rsidP="00D772CE">
      <w:pPr>
        <w:tabs>
          <w:tab w:val="left" w:pos="2720"/>
        </w:tabs>
        <w:spacing w:after="160" w:line="259" w:lineRule="auto"/>
        <w:rPr>
          <w:rFonts w:ascii="Arial" w:hAnsi="Arial" w:cs="Arial"/>
          <w:sz w:val="24"/>
          <w:szCs w:val="24"/>
          <w:vertAlign w:val="superscript"/>
        </w:rPr>
      </w:pPr>
      <w:r w:rsidRPr="00A07F11">
        <w:rPr>
          <w:rFonts w:ascii="Arial" w:hAnsi="Arial" w:cs="Arial"/>
          <w:sz w:val="24"/>
          <w:szCs w:val="24"/>
        </w:rPr>
        <w:t>Females had the higher occurrence of asymptomatic bacteriuria than the male in this study and the higher occurrence of urinary tract infections (asymptomatic bacteriuria) in females might be as a result of a variety of factors, such as the close proximity of the female urethral meatus to the anus (female anatomic feature contributes to higher prevalence), in-coordinate voiding of urine in female is often associated with constipation and encourages infection of the urinary tract (significant bacteriuria). Also, vaginal microflora also plays a critical role in encouraging vaginal colonization with coliforms and this can lead to urinary tract infection.</w:t>
      </w:r>
      <w:r>
        <w:rPr>
          <w:rFonts w:ascii="Arial" w:hAnsi="Arial" w:cs="Arial"/>
          <w:sz w:val="24"/>
          <w:szCs w:val="24"/>
          <w:vertAlign w:val="superscript"/>
        </w:rPr>
        <w:t xml:space="preserve"> (7)</w:t>
      </w:r>
      <w:r w:rsidRPr="00A07F11">
        <w:rPr>
          <w:rFonts w:ascii="Arial" w:hAnsi="Arial" w:cs="Arial"/>
          <w:sz w:val="24"/>
          <w:szCs w:val="24"/>
        </w:rPr>
        <w:t xml:space="preserve"> </w:t>
      </w:r>
      <w:r w:rsidRPr="00A07F11">
        <w:rPr>
          <w:rFonts w:ascii="Arial" w:eastAsia="Times New Roman" w:hAnsi="Arial" w:cs="Arial"/>
          <w:color w:val="000000"/>
          <w:sz w:val="24"/>
          <w:szCs w:val="24"/>
        </w:rPr>
        <w:t xml:space="preserve">In addition to the previous factors the higher rate could be </w:t>
      </w:r>
      <w:r w:rsidRPr="006A22D4">
        <w:rPr>
          <w:rFonts w:ascii="Arial" w:eastAsia="Times New Roman" w:hAnsi="Arial" w:cs="Arial"/>
          <w:color w:val="000000"/>
          <w:sz w:val="24"/>
          <w:szCs w:val="24"/>
        </w:rPr>
        <w:t>due to the fact that female</w:t>
      </w:r>
      <w:r w:rsidRPr="00A07F11">
        <w:rPr>
          <w:rFonts w:ascii="Arial" w:eastAsia="Times New Roman" w:hAnsi="Arial" w:cs="Arial"/>
          <w:color w:val="000000"/>
          <w:sz w:val="24"/>
          <w:szCs w:val="24"/>
        </w:rPr>
        <w:t xml:space="preserve"> students within this age</w:t>
      </w:r>
      <w:r w:rsidRPr="006A22D4">
        <w:rPr>
          <w:rFonts w:ascii="Arial" w:eastAsia="Times New Roman" w:hAnsi="Arial" w:cs="Arial"/>
          <w:color w:val="000000"/>
          <w:sz w:val="24"/>
          <w:szCs w:val="24"/>
        </w:rPr>
        <w:t xml:space="preserve"> range of sample</w:t>
      </w:r>
      <w:r w:rsidRPr="00A07F11">
        <w:rPr>
          <w:rFonts w:ascii="Arial" w:hAnsi="Arial" w:cs="Arial"/>
          <w:sz w:val="24"/>
          <w:szCs w:val="24"/>
        </w:rPr>
        <w:t xml:space="preserve"> </w:t>
      </w:r>
      <w:r w:rsidRPr="006A22D4">
        <w:rPr>
          <w:rFonts w:ascii="Arial" w:eastAsia="Times New Roman" w:hAnsi="Arial" w:cs="Arial"/>
          <w:color w:val="000000"/>
          <w:sz w:val="24"/>
          <w:szCs w:val="24"/>
        </w:rPr>
        <w:t>collection (</w:t>
      </w:r>
      <w:r w:rsidRPr="00A07F11">
        <w:rPr>
          <w:rFonts w:ascii="Arial" w:eastAsia="Times New Roman" w:hAnsi="Arial" w:cs="Arial"/>
          <w:color w:val="000000"/>
          <w:sz w:val="24"/>
          <w:szCs w:val="24"/>
        </w:rPr>
        <w:t>18</w:t>
      </w:r>
      <w:r>
        <w:rPr>
          <w:rFonts w:ascii="Arial" w:eastAsia="Times New Roman" w:hAnsi="Arial" w:cs="Arial"/>
          <w:color w:val="000000"/>
          <w:sz w:val="24"/>
          <w:szCs w:val="24"/>
        </w:rPr>
        <w:t xml:space="preserve"> to </w:t>
      </w:r>
      <w:r w:rsidRPr="00A07F11">
        <w:rPr>
          <w:rFonts w:ascii="Arial" w:eastAsia="Times New Roman" w:hAnsi="Arial" w:cs="Arial"/>
          <w:color w:val="000000"/>
          <w:sz w:val="24"/>
          <w:szCs w:val="24"/>
        </w:rPr>
        <w:t>23) could be</w:t>
      </w:r>
      <w:r w:rsidRPr="006A22D4">
        <w:rPr>
          <w:rFonts w:ascii="Arial" w:eastAsia="Times New Roman" w:hAnsi="Arial" w:cs="Arial"/>
          <w:color w:val="000000"/>
          <w:sz w:val="24"/>
          <w:szCs w:val="24"/>
        </w:rPr>
        <w:t xml:space="preserve"> </w:t>
      </w:r>
      <w:r w:rsidRPr="00A07F11">
        <w:rPr>
          <w:rFonts w:ascii="Arial" w:eastAsia="Times New Roman" w:hAnsi="Arial" w:cs="Arial"/>
          <w:color w:val="000000"/>
          <w:sz w:val="24"/>
          <w:szCs w:val="24"/>
        </w:rPr>
        <w:t xml:space="preserve">sexually active </w:t>
      </w:r>
      <w:r w:rsidRPr="006A22D4">
        <w:rPr>
          <w:rFonts w:ascii="Arial" w:eastAsia="Times New Roman" w:hAnsi="Arial" w:cs="Arial"/>
          <w:color w:val="000000"/>
          <w:sz w:val="24"/>
          <w:szCs w:val="24"/>
        </w:rPr>
        <w:t xml:space="preserve">which may </w:t>
      </w:r>
      <w:r w:rsidRPr="00A07F11">
        <w:rPr>
          <w:rFonts w:ascii="Arial" w:eastAsia="Times New Roman" w:hAnsi="Arial" w:cs="Arial"/>
          <w:color w:val="000000"/>
          <w:sz w:val="24"/>
          <w:szCs w:val="24"/>
        </w:rPr>
        <w:t>predispose them to</w:t>
      </w:r>
      <w:r w:rsidRPr="006A22D4">
        <w:rPr>
          <w:rFonts w:ascii="Arial" w:eastAsia="Times New Roman" w:hAnsi="Arial" w:cs="Arial"/>
          <w:color w:val="000000"/>
          <w:sz w:val="24"/>
          <w:szCs w:val="24"/>
        </w:rPr>
        <w:t xml:space="preserve"> UTI.  </w:t>
      </w:r>
      <w:r w:rsidRPr="00A07F11">
        <w:rPr>
          <w:rFonts w:ascii="Arial" w:eastAsia="Times New Roman" w:hAnsi="Arial" w:cs="Arial"/>
          <w:color w:val="000000"/>
          <w:sz w:val="24"/>
          <w:szCs w:val="24"/>
        </w:rPr>
        <w:t xml:space="preserve">This also explains why unmarried </w:t>
      </w:r>
      <w:r>
        <w:rPr>
          <w:rFonts w:ascii="Arial" w:eastAsia="Times New Roman" w:hAnsi="Arial" w:cs="Arial"/>
          <w:color w:val="000000"/>
          <w:sz w:val="24"/>
          <w:szCs w:val="24"/>
        </w:rPr>
        <w:t>females</w:t>
      </w:r>
      <w:r w:rsidRPr="00A07F11">
        <w:rPr>
          <w:rFonts w:ascii="Arial" w:eastAsia="Times New Roman" w:hAnsi="Arial" w:cs="Arial"/>
          <w:color w:val="000000"/>
          <w:sz w:val="24"/>
          <w:szCs w:val="24"/>
        </w:rPr>
        <w:t xml:space="preserve"> had higher prevalence rate than the</w:t>
      </w:r>
      <w:r w:rsidRPr="006A22D4">
        <w:rPr>
          <w:rFonts w:ascii="Arial" w:eastAsia="Times New Roman" w:hAnsi="Arial" w:cs="Arial"/>
          <w:color w:val="000000"/>
          <w:sz w:val="24"/>
          <w:szCs w:val="24"/>
        </w:rPr>
        <w:t xml:space="preserve"> married.  Another </w:t>
      </w:r>
      <w:r w:rsidRPr="00A07F11">
        <w:rPr>
          <w:rFonts w:ascii="Arial" w:eastAsia="Times New Roman" w:hAnsi="Arial" w:cs="Arial"/>
          <w:color w:val="000000"/>
          <w:sz w:val="24"/>
          <w:szCs w:val="24"/>
        </w:rPr>
        <w:t>reason could</w:t>
      </w:r>
      <w:r w:rsidRPr="006A22D4">
        <w:rPr>
          <w:rFonts w:ascii="Arial" w:eastAsia="Times New Roman" w:hAnsi="Arial" w:cs="Arial"/>
          <w:color w:val="000000"/>
          <w:sz w:val="24"/>
          <w:szCs w:val="24"/>
        </w:rPr>
        <w:t xml:space="preserve"> </w:t>
      </w:r>
      <w:r w:rsidRPr="00A07F11">
        <w:rPr>
          <w:rFonts w:ascii="Arial" w:eastAsia="Times New Roman" w:hAnsi="Arial" w:cs="Arial"/>
          <w:color w:val="000000"/>
          <w:sz w:val="24"/>
          <w:szCs w:val="24"/>
        </w:rPr>
        <w:t>be as</w:t>
      </w:r>
      <w:r w:rsidRPr="006A22D4">
        <w:rPr>
          <w:rFonts w:ascii="Arial" w:eastAsia="Times New Roman" w:hAnsi="Arial" w:cs="Arial"/>
          <w:color w:val="000000"/>
          <w:sz w:val="24"/>
          <w:szCs w:val="24"/>
        </w:rPr>
        <w:t xml:space="preserve"> a</w:t>
      </w:r>
      <w:r w:rsidRPr="00A07F11">
        <w:rPr>
          <w:rFonts w:ascii="Arial" w:eastAsia="Times New Roman" w:hAnsi="Arial" w:cs="Arial"/>
          <w:color w:val="000000"/>
          <w:sz w:val="24"/>
          <w:szCs w:val="24"/>
        </w:rPr>
        <w:t xml:space="preserve"> </w:t>
      </w:r>
      <w:r w:rsidRPr="006A22D4">
        <w:rPr>
          <w:rFonts w:ascii="Arial" w:eastAsia="Times New Roman" w:hAnsi="Arial" w:cs="Arial"/>
          <w:color w:val="000000"/>
          <w:sz w:val="24"/>
          <w:szCs w:val="24"/>
        </w:rPr>
        <w:t>result of poor genital hygienic practices by female</w:t>
      </w:r>
      <w:r w:rsidRPr="00A07F11">
        <w:rPr>
          <w:rFonts w:ascii="Arial" w:eastAsia="Times New Roman" w:hAnsi="Arial" w:cs="Arial"/>
          <w:color w:val="000000"/>
          <w:sz w:val="24"/>
          <w:szCs w:val="24"/>
        </w:rPr>
        <w:t xml:space="preserve"> </w:t>
      </w:r>
      <w:r w:rsidRPr="006A22D4">
        <w:rPr>
          <w:rFonts w:ascii="Arial" w:eastAsia="Times New Roman" w:hAnsi="Arial" w:cs="Arial"/>
          <w:color w:val="000000"/>
          <w:sz w:val="24"/>
          <w:szCs w:val="24"/>
        </w:rPr>
        <w:t xml:space="preserve">students </w:t>
      </w:r>
      <w:r w:rsidRPr="00A07F11">
        <w:rPr>
          <w:rFonts w:ascii="Arial" w:eastAsia="Times New Roman" w:hAnsi="Arial" w:cs="Arial"/>
          <w:color w:val="000000"/>
          <w:sz w:val="24"/>
          <w:szCs w:val="24"/>
        </w:rPr>
        <w:t>who may</w:t>
      </w:r>
      <w:r w:rsidRPr="006A22D4">
        <w:rPr>
          <w:rFonts w:ascii="Arial" w:eastAsia="Times New Roman" w:hAnsi="Arial" w:cs="Arial"/>
          <w:color w:val="000000"/>
          <w:sz w:val="24"/>
          <w:szCs w:val="24"/>
        </w:rPr>
        <w:t xml:space="preserve"> </w:t>
      </w:r>
      <w:r w:rsidRPr="00A07F11">
        <w:rPr>
          <w:rFonts w:ascii="Arial" w:eastAsia="Times New Roman" w:hAnsi="Arial" w:cs="Arial"/>
          <w:color w:val="000000"/>
          <w:sz w:val="24"/>
          <w:szCs w:val="24"/>
        </w:rPr>
        <w:t>find it</w:t>
      </w:r>
      <w:r w:rsidRPr="006A22D4">
        <w:rPr>
          <w:rFonts w:ascii="Arial" w:eastAsia="Times New Roman" w:hAnsi="Arial" w:cs="Arial"/>
          <w:color w:val="000000"/>
          <w:sz w:val="24"/>
          <w:szCs w:val="24"/>
        </w:rPr>
        <w:t xml:space="preserve"> </w:t>
      </w:r>
      <w:r w:rsidRPr="00A07F11">
        <w:rPr>
          <w:rFonts w:ascii="Arial" w:eastAsia="Times New Roman" w:hAnsi="Arial" w:cs="Arial"/>
          <w:color w:val="000000"/>
          <w:sz w:val="24"/>
          <w:szCs w:val="24"/>
        </w:rPr>
        <w:t>difficult to</w:t>
      </w:r>
      <w:r w:rsidRPr="006A22D4">
        <w:rPr>
          <w:rFonts w:ascii="Arial" w:eastAsia="Times New Roman" w:hAnsi="Arial" w:cs="Arial"/>
          <w:color w:val="000000"/>
          <w:sz w:val="24"/>
          <w:szCs w:val="24"/>
        </w:rPr>
        <w:t xml:space="preserve"> </w:t>
      </w:r>
      <w:r w:rsidRPr="00A07F11">
        <w:rPr>
          <w:rFonts w:ascii="Arial" w:eastAsia="Times New Roman" w:hAnsi="Arial" w:cs="Arial"/>
          <w:color w:val="000000"/>
          <w:sz w:val="24"/>
          <w:szCs w:val="24"/>
        </w:rPr>
        <w:t xml:space="preserve">clean their </w:t>
      </w:r>
      <w:r w:rsidRPr="006A22D4">
        <w:rPr>
          <w:rFonts w:ascii="Arial" w:eastAsia="Times New Roman" w:hAnsi="Arial" w:cs="Arial"/>
          <w:color w:val="000000"/>
          <w:sz w:val="24"/>
          <w:szCs w:val="24"/>
        </w:rPr>
        <w:t xml:space="preserve">anus </w:t>
      </w:r>
      <w:r w:rsidRPr="00A07F11">
        <w:rPr>
          <w:rFonts w:ascii="Arial" w:eastAsia="Times New Roman" w:hAnsi="Arial" w:cs="Arial"/>
          <w:color w:val="000000"/>
          <w:sz w:val="24"/>
          <w:szCs w:val="24"/>
        </w:rPr>
        <w:t>properly after</w:t>
      </w:r>
      <w:r w:rsidRPr="006A22D4">
        <w:rPr>
          <w:rFonts w:ascii="Arial" w:eastAsia="Times New Roman" w:hAnsi="Arial" w:cs="Arial"/>
          <w:color w:val="000000"/>
          <w:sz w:val="24"/>
          <w:szCs w:val="24"/>
        </w:rPr>
        <w:t xml:space="preserve"> defecating (front to back) or</w:t>
      </w:r>
      <w:r w:rsidRPr="00A07F11">
        <w:rPr>
          <w:rFonts w:ascii="Arial" w:eastAsia="Times New Roman" w:hAnsi="Arial" w:cs="Arial"/>
          <w:color w:val="000000"/>
          <w:sz w:val="24"/>
          <w:szCs w:val="24"/>
        </w:rPr>
        <w:t xml:space="preserve"> </w:t>
      </w:r>
      <w:r w:rsidRPr="006A22D4">
        <w:rPr>
          <w:rFonts w:ascii="Arial" w:eastAsia="Times New Roman" w:hAnsi="Arial" w:cs="Arial"/>
          <w:color w:val="000000"/>
          <w:sz w:val="24"/>
          <w:szCs w:val="24"/>
        </w:rPr>
        <w:t>clean their genital after passing urine</w:t>
      </w:r>
      <w:r w:rsidRPr="00A07F11">
        <w:rPr>
          <w:rFonts w:ascii="Arial" w:eastAsia="Times New Roman" w:hAnsi="Arial" w:cs="Arial"/>
          <w:color w:val="000000"/>
          <w:sz w:val="24"/>
          <w:szCs w:val="24"/>
        </w:rPr>
        <w:t>.</w:t>
      </w:r>
      <w:r>
        <w:rPr>
          <w:rFonts w:ascii="Arial" w:eastAsia="Times New Roman" w:hAnsi="Arial" w:cs="Arial"/>
          <w:color w:val="000000"/>
          <w:sz w:val="24"/>
          <w:szCs w:val="24"/>
          <w:vertAlign w:val="superscript"/>
        </w:rPr>
        <w:t xml:space="preserve"> (7)</w:t>
      </w:r>
    </w:p>
    <w:p w:rsidR="00D772CE" w:rsidRDefault="00D772CE" w:rsidP="00D772CE">
      <w:pPr>
        <w:shd w:val="clear" w:color="auto" w:fill="FFFFFF"/>
        <w:spacing w:after="160" w:line="259" w:lineRule="auto"/>
        <w:rPr>
          <w:rFonts w:ascii="Arial" w:eastAsia="Times New Roman" w:hAnsi="Arial" w:cs="Arial"/>
          <w:color w:val="000000"/>
          <w:sz w:val="24"/>
          <w:szCs w:val="24"/>
        </w:rPr>
      </w:pPr>
      <w:r>
        <w:rPr>
          <w:rFonts w:ascii="Arial" w:hAnsi="Arial" w:cs="Arial"/>
          <w:sz w:val="24"/>
          <w:szCs w:val="24"/>
        </w:rPr>
        <w:t>Finally, i</w:t>
      </w:r>
      <w:r w:rsidRPr="00A07F11">
        <w:rPr>
          <w:rFonts w:ascii="Arial" w:hAnsi="Arial" w:cs="Arial"/>
          <w:sz w:val="24"/>
          <w:szCs w:val="24"/>
        </w:rPr>
        <w:t xml:space="preserve">t is our opinion that asymptomatic bacteriuria investigation be included as part of the health requirement for admission in Universities. In addition to periodic detection. As we have discovered that they could be incubating asymptomatic infection and ordinarily would not go to see a doctor. </w:t>
      </w:r>
      <w:r w:rsidRPr="00A07F11">
        <w:rPr>
          <w:rFonts w:ascii="Arial" w:eastAsia="Times New Roman" w:hAnsi="Arial" w:cs="Arial"/>
          <w:color w:val="000000"/>
          <w:sz w:val="24"/>
          <w:szCs w:val="24"/>
        </w:rPr>
        <w:t xml:space="preserve">It is also important to note </w:t>
      </w:r>
      <w:r w:rsidRPr="0061233B">
        <w:rPr>
          <w:rFonts w:ascii="Arial" w:eastAsia="Times New Roman" w:hAnsi="Arial" w:cs="Arial"/>
          <w:color w:val="000000"/>
          <w:sz w:val="24"/>
          <w:szCs w:val="24"/>
        </w:rPr>
        <w:t>that if this routine check is not done those that are</w:t>
      </w:r>
      <w:r w:rsidRPr="00A07F11">
        <w:rPr>
          <w:rFonts w:ascii="Arial" w:eastAsia="Times New Roman" w:hAnsi="Arial" w:cs="Arial"/>
          <w:color w:val="000000"/>
          <w:sz w:val="24"/>
          <w:szCs w:val="24"/>
        </w:rPr>
        <w:t xml:space="preserve"> </w:t>
      </w:r>
      <w:r w:rsidRPr="0061233B">
        <w:rPr>
          <w:rFonts w:ascii="Arial" w:eastAsia="Times New Roman" w:hAnsi="Arial" w:cs="Arial"/>
          <w:color w:val="000000"/>
          <w:sz w:val="24"/>
          <w:szCs w:val="24"/>
        </w:rPr>
        <w:t>asymptomatic today could be symptomatic</w:t>
      </w:r>
      <w:r w:rsidRPr="00A07F11">
        <w:rPr>
          <w:rFonts w:ascii="Arial" w:eastAsia="Times New Roman" w:hAnsi="Arial" w:cs="Arial"/>
          <w:color w:val="000000"/>
          <w:sz w:val="24"/>
          <w:szCs w:val="24"/>
        </w:rPr>
        <w:t xml:space="preserve"> </w:t>
      </w:r>
      <w:r w:rsidRPr="0061233B">
        <w:rPr>
          <w:rFonts w:ascii="Arial" w:eastAsia="Times New Roman" w:hAnsi="Arial" w:cs="Arial"/>
          <w:color w:val="000000"/>
          <w:sz w:val="24"/>
          <w:szCs w:val="24"/>
        </w:rPr>
        <w:t>tomorrow depending on the immune status of the</w:t>
      </w:r>
      <w:r w:rsidRPr="00A07F11">
        <w:rPr>
          <w:rFonts w:ascii="Arial" w:eastAsia="Times New Roman" w:hAnsi="Arial" w:cs="Arial"/>
          <w:color w:val="000000"/>
          <w:sz w:val="24"/>
          <w:szCs w:val="24"/>
        </w:rPr>
        <w:t xml:space="preserve"> </w:t>
      </w:r>
      <w:r w:rsidRPr="0061233B">
        <w:rPr>
          <w:rFonts w:ascii="Arial" w:eastAsia="Times New Roman" w:hAnsi="Arial" w:cs="Arial"/>
          <w:color w:val="000000"/>
          <w:sz w:val="24"/>
          <w:szCs w:val="24"/>
        </w:rPr>
        <w:t xml:space="preserve">student.  </w:t>
      </w:r>
      <w:r w:rsidRPr="00A07F11">
        <w:rPr>
          <w:rFonts w:ascii="Arial" w:eastAsia="Times New Roman" w:hAnsi="Arial" w:cs="Arial"/>
          <w:color w:val="000000"/>
          <w:sz w:val="24"/>
          <w:szCs w:val="24"/>
        </w:rPr>
        <w:t>If adequate</w:t>
      </w:r>
      <w:r w:rsidRPr="0061233B">
        <w:rPr>
          <w:rFonts w:ascii="Arial" w:eastAsia="Times New Roman" w:hAnsi="Arial" w:cs="Arial"/>
          <w:color w:val="000000"/>
          <w:sz w:val="24"/>
          <w:szCs w:val="24"/>
        </w:rPr>
        <w:t xml:space="preserve"> diagnosis and treatment are</w:t>
      </w:r>
      <w:r w:rsidRPr="00A07F11">
        <w:rPr>
          <w:rFonts w:ascii="Arial" w:eastAsia="Times New Roman" w:hAnsi="Arial" w:cs="Arial"/>
          <w:color w:val="000000"/>
          <w:sz w:val="24"/>
          <w:szCs w:val="24"/>
        </w:rPr>
        <w:t xml:space="preserve"> </w:t>
      </w:r>
      <w:r w:rsidRPr="0061233B">
        <w:rPr>
          <w:rFonts w:ascii="Arial" w:eastAsia="Times New Roman" w:hAnsi="Arial" w:cs="Arial"/>
          <w:color w:val="000000"/>
          <w:sz w:val="24"/>
          <w:szCs w:val="24"/>
        </w:rPr>
        <w:t>not done on time, the students could also act as a</w:t>
      </w:r>
      <w:r w:rsidRPr="00A07F11">
        <w:rPr>
          <w:rFonts w:ascii="Arial" w:eastAsia="Times New Roman" w:hAnsi="Arial" w:cs="Arial"/>
          <w:color w:val="000000"/>
          <w:sz w:val="24"/>
          <w:szCs w:val="24"/>
        </w:rPr>
        <w:t xml:space="preserve"> </w:t>
      </w:r>
      <w:r w:rsidRPr="0061233B">
        <w:rPr>
          <w:rFonts w:ascii="Arial" w:eastAsia="Times New Roman" w:hAnsi="Arial" w:cs="Arial"/>
          <w:color w:val="000000"/>
          <w:sz w:val="24"/>
          <w:szCs w:val="24"/>
        </w:rPr>
        <w:t>reservoir host and has the capacity of infecting</w:t>
      </w:r>
      <w:r w:rsidRPr="00A07F11">
        <w:rPr>
          <w:rFonts w:ascii="Arial" w:eastAsia="Times New Roman" w:hAnsi="Arial" w:cs="Arial"/>
          <w:color w:val="000000"/>
          <w:sz w:val="24"/>
          <w:szCs w:val="24"/>
        </w:rPr>
        <w:t xml:space="preserve"> </w:t>
      </w:r>
      <w:r w:rsidRPr="0061233B">
        <w:rPr>
          <w:rFonts w:ascii="Arial" w:eastAsia="Times New Roman" w:hAnsi="Arial" w:cs="Arial"/>
          <w:color w:val="000000"/>
          <w:sz w:val="24"/>
          <w:szCs w:val="24"/>
        </w:rPr>
        <w:t>others, whether male or female that may come</w:t>
      </w:r>
      <w:r w:rsidRPr="00A07F11">
        <w:rPr>
          <w:rFonts w:ascii="Arial" w:eastAsia="Times New Roman" w:hAnsi="Arial" w:cs="Arial"/>
          <w:color w:val="000000"/>
          <w:sz w:val="24"/>
          <w:szCs w:val="24"/>
        </w:rPr>
        <w:t xml:space="preserve"> in contact</w:t>
      </w:r>
      <w:r w:rsidRPr="0061233B">
        <w:rPr>
          <w:rFonts w:ascii="Arial" w:eastAsia="Times New Roman" w:hAnsi="Arial" w:cs="Arial"/>
          <w:color w:val="000000"/>
          <w:sz w:val="24"/>
          <w:szCs w:val="24"/>
        </w:rPr>
        <w:t xml:space="preserve"> with them.</w:t>
      </w:r>
      <w:r w:rsidRPr="00A07F11">
        <w:rPr>
          <w:rFonts w:ascii="Arial" w:eastAsia="Times New Roman" w:hAnsi="Arial" w:cs="Arial"/>
          <w:color w:val="000000"/>
          <w:sz w:val="24"/>
          <w:szCs w:val="24"/>
        </w:rPr>
        <w:t xml:space="preserve"> </w:t>
      </w:r>
    </w:p>
    <w:p w:rsidR="00456CD6" w:rsidRDefault="00456CD6" w:rsidP="00D772CE">
      <w:pPr>
        <w:shd w:val="clear" w:color="auto" w:fill="FFFFFF"/>
        <w:spacing w:after="160" w:line="259" w:lineRule="auto"/>
        <w:rPr>
          <w:rFonts w:ascii="Arial" w:eastAsia="Times New Roman" w:hAnsi="Arial" w:cs="Arial"/>
          <w:b/>
          <w:color w:val="000000"/>
          <w:spacing w:val="2"/>
          <w:sz w:val="32"/>
          <w:szCs w:val="24"/>
        </w:rPr>
      </w:pPr>
    </w:p>
    <w:p w:rsidR="00D772CE" w:rsidRPr="00A07F11" w:rsidRDefault="00D772CE" w:rsidP="00D772CE">
      <w:pPr>
        <w:shd w:val="clear" w:color="auto" w:fill="FFFFFF"/>
        <w:spacing w:after="160" w:line="259" w:lineRule="auto"/>
        <w:rPr>
          <w:rFonts w:ascii="Arial" w:eastAsia="Times New Roman" w:hAnsi="Arial" w:cs="Arial"/>
          <w:color w:val="000000"/>
          <w:sz w:val="24"/>
          <w:szCs w:val="24"/>
        </w:rPr>
      </w:pPr>
      <w:r>
        <w:rPr>
          <w:rFonts w:ascii="Arial" w:eastAsia="Times New Roman" w:hAnsi="Arial" w:cs="Arial"/>
          <w:b/>
          <w:color w:val="000000"/>
          <w:spacing w:val="2"/>
          <w:sz w:val="32"/>
          <w:szCs w:val="24"/>
        </w:rPr>
        <w:t xml:space="preserve">Conclusion: </w:t>
      </w:r>
    </w:p>
    <w:p w:rsidR="00D772CE" w:rsidRPr="00A07F11"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b/>
          <w:color w:val="000000"/>
          <w:spacing w:val="2"/>
          <w:sz w:val="32"/>
          <w:szCs w:val="24"/>
        </w:rPr>
        <w:tab/>
      </w:r>
      <w:r>
        <w:rPr>
          <w:rFonts w:ascii="Arial" w:eastAsia="Times New Roman" w:hAnsi="Arial" w:cs="Arial"/>
          <w:color w:val="000000"/>
          <w:spacing w:val="2"/>
          <w:sz w:val="24"/>
          <w:szCs w:val="24"/>
        </w:rPr>
        <w:t xml:space="preserve">Asymptomatic bacteriuria remains an important problem among elderly and university students in particular, and was observed in this study to be higher in females than in males. Hence, routine laboratory checkups are essential and very </w:t>
      </w:r>
      <w:r>
        <w:rPr>
          <w:rFonts w:ascii="Arial" w:eastAsia="Times New Roman" w:hAnsi="Arial" w:cs="Arial"/>
          <w:color w:val="000000"/>
          <w:spacing w:val="2"/>
          <w:sz w:val="24"/>
          <w:szCs w:val="24"/>
        </w:rPr>
        <w:lastRenderedPageBreak/>
        <w:t>much recommended in order to prevent unnecessary morbidity and mortality. As well as, early diagnosis would also help to reduce risk of renal scarring and chronic renal insufficiency. Also, inclusion of assessments of asymptomatic bacteria as parts of the medical examination for students especially new entrants. Thus, education and awareness on the need for proper personal hygiene should be encouraged.</w:t>
      </w:r>
    </w:p>
    <w:p w:rsidR="00D772CE" w:rsidRPr="00A07F11"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b/>
          <w:color w:val="000000"/>
          <w:spacing w:val="2"/>
          <w:sz w:val="32"/>
          <w:szCs w:val="24"/>
        </w:rPr>
        <w:tab/>
      </w:r>
    </w:p>
    <w:p w:rsidR="00D772CE" w:rsidRDefault="00D772CE" w:rsidP="00D772CE">
      <w:pPr>
        <w:shd w:val="clear" w:color="auto" w:fill="FFFFFF"/>
        <w:rPr>
          <w:rFonts w:ascii="Arial" w:eastAsia="Times New Roman" w:hAnsi="Arial" w:cs="Arial"/>
          <w:b/>
          <w:color w:val="000000"/>
          <w:spacing w:val="2"/>
          <w:sz w:val="32"/>
          <w:szCs w:val="24"/>
        </w:rPr>
      </w:pPr>
      <w:r>
        <w:rPr>
          <w:rFonts w:ascii="Arial" w:eastAsia="Times New Roman" w:hAnsi="Arial" w:cs="Arial"/>
          <w:b/>
          <w:color w:val="000000"/>
          <w:spacing w:val="2"/>
          <w:sz w:val="32"/>
          <w:szCs w:val="24"/>
        </w:rPr>
        <w:t>Reference:</w:t>
      </w:r>
    </w:p>
    <w:p w:rsidR="00D772CE" w:rsidRPr="00456CD6" w:rsidRDefault="00D772CE" w:rsidP="00D772CE">
      <w:pPr>
        <w:ind w:firstLine="720"/>
        <w:rPr>
          <w:rFonts w:ascii="Arial" w:eastAsia="Times New Roman" w:hAnsi="Arial" w:cs="Arial"/>
          <w:color w:val="000000" w:themeColor="text1"/>
          <w:sz w:val="24"/>
          <w:szCs w:val="24"/>
        </w:rPr>
      </w:pPr>
      <w:r w:rsidRPr="00456CD6">
        <w:rPr>
          <w:rFonts w:ascii="Arial" w:eastAsia="Times New Roman" w:hAnsi="Arial" w:cs="Arial"/>
          <w:color w:val="000000" w:themeColor="text1"/>
          <w:sz w:val="24"/>
          <w:szCs w:val="24"/>
        </w:rPr>
        <w:t xml:space="preserve">1-Jha BK, Singh YI. Prevalence of asymptomatic bacteriuria in school going children in Pokhara valley. </w:t>
      </w:r>
      <w:r w:rsidRPr="00456CD6">
        <w:rPr>
          <w:rFonts w:ascii="Arial" w:eastAsia="Times New Roman" w:hAnsi="Arial" w:cs="Arial"/>
          <w:i/>
          <w:iCs/>
          <w:color w:val="000000" w:themeColor="text1"/>
          <w:sz w:val="24"/>
          <w:szCs w:val="24"/>
        </w:rPr>
        <w:t>Kathmandu University medical journal (KUMJ)</w:t>
      </w:r>
      <w:r w:rsidRPr="00456CD6">
        <w:rPr>
          <w:rFonts w:ascii="Arial" w:eastAsia="Times New Roman" w:hAnsi="Arial" w:cs="Arial"/>
          <w:color w:val="000000" w:themeColor="text1"/>
          <w:sz w:val="24"/>
          <w:szCs w:val="24"/>
        </w:rPr>
        <w:t>. 2007;5(1):81-84. Accessed June 19, 2022. https://pubmed.ncbi.nlm.nih.gov/18603991/.</w:t>
      </w:r>
    </w:p>
    <w:p w:rsidR="00D772CE" w:rsidRPr="00456CD6" w:rsidRDefault="00D772CE" w:rsidP="00D772CE">
      <w:pPr>
        <w:rPr>
          <w:rFonts w:ascii="Arial" w:hAnsi="Arial" w:cs="Arial"/>
          <w:color w:val="000000" w:themeColor="text1"/>
          <w:sz w:val="24"/>
          <w:szCs w:val="24"/>
          <w:shd w:val="clear" w:color="auto" w:fill="FEF1C4"/>
        </w:rPr>
      </w:pPr>
      <w:r w:rsidRPr="00456CD6">
        <w:rPr>
          <w:rFonts w:ascii="Arial" w:hAnsi="Arial" w:cs="Arial"/>
          <w:color w:val="000000" w:themeColor="text1"/>
          <w:sz w:val="24"/>
          <w:szCs w:val="24"/>
        </w:rPr>
        <w:t xml:space="preserve">2- </w:t>
      </w:r>
      <w:proofErr w:type="spellStart"/>
      <w:r w:rsidRPr="00456CD6">
        <w:rPr>
          <w:rFonts w:ascii="Arial" w:hAnsi="Arial" w:cs="Arial"/>
          <w:color w:val="000000" w:themeColor="text1"/>
          <w:sz w:val="24"/>
          <w:szCs w:val="24"/>
          <w:shd w:val="clear" w:color="auto" w:fill="FFFFFF" w:themeFill="background1"/>
        </w:rPr>
        <w:t>Orrett</w:t>
      </w:r>
      <w:proofErr w:type="spellEnd"/>
      <w:r w:rsidRPr="00456CD6">
        <w:rPr>
          <w:rFonts w:ascii="Arial" w:hAnsi="Arial" w:cs="Arial"/>
          <w:color w:val="000000" w:themeColor="text1"/>
          <w:sz w:val="24"/>
          <w:szCs w:val="24"/>
          <w:shd w:val="clear" w:color="auto" w:fill="FFFFFF" w:themeFill="background1"/>
        </w:rPr>
        <w:t xml:space="preserve"> F, Davis G. A comparison of antimicrobial susceptibility profile of urinary pathogens for the years, 1999 and 2003. </w:t>
      </w:r>
      <w:r w:rsidRPr="00456CD6">
        <w:rPr>
          <w:rFonts w:ascii="Arial" w:hAnsi="Arial" w:cs="Arial"/>
          <w:i/>
          <w:iCs/>
          <w:color w:val="000000" w:themeColor="text1"/>
          <w:sz w:val="24"/>
          <w:szCs w:val="24"/>
          <w:shd w:val="clear" w:color="auto" w:fill="FFFFFF" w:themeFill="background1"/>
        </w:rPr>
        <w:t>West Indian Medical Journal</w:t>
      </w:r>
      <w:r w:rsidRPr="00456CD6">
        <w:rPr>
          <w:rFonts w:ascii="Arial" w:hAnsi="Arial" w:cs="Arial"/>
          <w:color w:val="000000" w:themeColor="text1"/>
          <w:sz w:val="24"/>
          <w:szCs w:val="24"/>
          <w:shd w:val="clear" w:color="auto" w:fill="FFFFFF" w:themeFill="background1"/>
        </w:rPr>
        <w:t>. 2006;55(2). doi:10.1590/s0043-31442006000200006.</w:t>
      </w:r>
    </w:p>
    <w:p w:rsidR="00D772CE" w:rsidRPr="00456CD6" w:rsidRDefault="00D772CE" w:rsidP="00D772CE">
      <w:pPr>
        <w:rPr>
          <w:rFonts w:ascii="Arial" w:hAnsi="Arial" w:cs="Arial"/>
          <w:color w:val="000000" w:themeColor="text1"/>
          <w:sz w:val="24"/>
          <w:szCs w:val="24"/>
        </w:rPr>
      </w:pPr>
      <w:r w:rsidRPr="00456CD6">
        <w:rPr>
          <w:rFonts w:ascii="Arial" w:hAnsi="Arial" w:cs="Arial"/>
          <w:color w:val="000000" w:themeColor="text1"/>
          <w:sz w:val="24"/>
          <w:szCs w:val="24"/>
        </w:rPr>
        <w:t xml:space="preserve">3- </w:t>
      </w:r>
      <w:proofErr w:type="spellStart"/>
      <w:r w:rsidRPr="00456CD6">
        <w:rPr>
          <w:rFonts w:ascii="Arial" w:hAnsi="Arial" w:cs="Arial"/>
          <w:color w:val="000000" w:themeColor="text1"/>
          <w:sz w:val="24"/>
          <w:szCs w:val="24"/>
          <w:shd w:val="clear" w:color="auto" w:fill="FFFFFF" w:themeFill="background1"/>
        </w:rPr>
        <w:t>Desforges</w:t>
      </w:r>
      <w:proofErr w:type="spellEnd"/>
      <w:r w:rsidRPr="00456CD6">
        <w:rPr>
          <w:rFonts w:ascii="Arial" w:hAnsi="Arial" w:cs="Arial"/>
          <w:color w:val="000000" w:themeColor="text1"/>
          <w:sz w:val="24"/>
          <w:szCs w:val="24"/>
          <w:shd w:val="clear" w:color="auto" w:fill="FFFFFF" w:themeFill="background1"/>
        </w:rPr>
        <w:t xml:space="preserve"> JF, </w:t>
      </w:r>
      <w:proofErr w:type="spellStart"/>
      <w:r w:rsidRPr="00456CD6">
        <w:rPr>
          <w:rFonts w:ascii="Arial" w:hAnsi="Arial" w:cs="Arial"/>
          <w:color w:val="000000" w:themeColor="text1"/>
          <w:sz w:val="24"/>
          <w:szCs w:val="24"/>
          <w:shd w:val="clear" w:color="auto" w:fill="FFFFFF" w:themeFill="background1"/>
        </w:rPr>
        <w:t>Stamm</w:t>
      </w:r>
      <w:proofErr w:type="spellEnd"/>
      <w:r w:rsidRPr="00456CD6">
        <w:rPr>
          <w:rFonts w:ascii="Arial" w:hAnsi="Arial" w:cs="Arial"/>
          <w:color w:val="000000" w:themeColor="text1"/>
          <w:sz w:val="24"/>
          <w:szCs w:val="24"/>
          <w:shd w:val="clear" w:color="auto" w:fill="FFFFFF" w:themeFill="background1"/>
        </w:rPr>
        <w:t xml:space="preserve"> WE, Hooton TM. Management of Urinary Tract Infections in Adults. </w:t>
      </w:r>
      <w:r w:rsidRPr="00456CD6">
        <w:rPr>
          <w:rFonts w:ascii="Arial" w:hAnsi="Arial" w:cs="Arial"/>
          <w:i/>
          <w:iCs/>
          <w:color w:val="000000" w:themeColor="text1"/>
          <w:sz w:val="24"/>
          <w:szCs w:val="24"/>
          <w:shd w:val="clear" w:color="auto" w:fill="FFFFFF" w:themeFill="background1"/>
        </w:rPr>
        <w:t>New England Journal of Medicine</w:t>
      </w:r>
      <w:r w:rsidRPr="00456CD6">
        <w:rPr>
          <w:rFonts w:ascii="Arial" w:hAnsi="Arial" w:cs="Arial"/>
          <w:color w:val="000000" w:themeColor="text1"/>
          <w:sz w:val="24"/>
          <w:szCs w:val="24"/>
          <w:shd w:val="clear" w:color="auto" w:fill="FFFFFF" w:themeFill="background1"/>
        </w:rPr>
        <w:t>. 1993;329(18):1328-1334. doi:10.1056/nejm199310283291808.</w:t>
      </w:r>
    </w:p>
    <w:p w:rsidR="00D772CE" w:rsidRPr="00456CD6" w:rsidRDefault="00D772CE" w:rsidP="00D772CE">
      <w:pPr>
        <w:rPr>
          <w:rFonts w:ascii="Arial" w:hAnsi="Arial" w:cs="Arial"/>
          <w:color w:val="000000" w:themeColor="text1"/>
          <w:sz w:val="24"/>
          <w:szCs w:val="24"/>
        </w:rPr>
      </w:pPr>
      <w:r w:rsidRPr="00456CD6">
        <w:rPr>
          <w:rFonts w:ascii="Arial" w:hAnsi="Arial" w:cs="Arial"/>
          <w:color w:val="000000" w:themeColor="text1"/>
          <w:sz w:val="24"/>
          <w:szCs w:val="24"/>
        </w:rPr>
        <w:t>4-</w:t>
      </w:r>
      <w:r w:rsidRPr="00456CD6">
        <w:rPr>
          <w:rFonts w:ascii="Arial" w:hAnsi="Arial" w:cs="Arial"/>
          <w:color w:val="000000" w:themeColor="text1"/>
          <w:sz w:val="24"/>
          <w:szCs w:val="24"/>
          <w:shd w:val="clear" w:color="auto" w:fill="FFFFFF" w:themeFill="background1"/>
        </w:rPr>
        <w:t>Harding GKM, Ronald AR. The management of urinary infections; what have we learned in the past decade? </w:t>
      </w:r>
      <w:r w:rsidRPr="00456CD6">
        <w:rPr>
          <w:rFonts w:ascii="Arial" w:hAnsi="Arial" w:cs="Arial"/>
          <w:i/>
          <w:iCs/>
          <w:color w:val="000000" w:themeColor="text1"/>
          <w:sz w:val="24"/>
          <w:szCs w:val="24"/>
          <w:shd w:val="clear" w:color="auto" w:fill="FFFFFF" w:themeFill="background1"/>
        </w:rPr>
        <w:t>International Journal of Antimicrobial Agents</w:t>
      </w:r>
      <w:r w:rsidRPr="00456CD6">
        <w:rPr>
          <w:rFonts w:ascii="Arial" w:hAnsi="Arial" w:cs="Arial"/>
          <w:color w:val="000000" w:themeColor="text1"/>
          <w:sz w:val="24"/>
          <w:szCs w:val="24"/>
          <w:shd w:val="clear" w:color="auto" w:fill="FFFFFF" w:themeFill="background1"/>
        </w:rPr>
        <w:t>. 1994;4(2):83-88. doi:10.1016/0924-8579(94)90038-8.</w:t>
      </w:r>
    </w:p>
    <w:p w:rsidR="00D772CE" w:rsidRPr="00456CD6" w:rsidRDefault="00D772CE" w:rsidP="00D772CE">
      <w:pPr>
        <w:rPr>
          <w:rFonts w:ascii="Arial" w:hAnsi="Arial" w:cs="Arial"/>
          <w:color w:val="000000" w:themeColor="text1"/>
          <w:sz w:val="24"/>
          <w:szCs w:val="24"/>
          <w:shd w:val="clear" w:color="auto" w:fill="FEF1C4"/>
        </w:rPr>
      </w:pPr>
      <w:r w:rsidRPr="00456CD6">
        <w:rPr>
          <w:rFonts w:ascii="Arial" w:hAnsi="Arial" w:cs="Arial"/>
          <w:color w:val="000000" w:themeColor="text1"/>
          <w:sz w:val="24"/>
          <w:szCs w:val="24"/>
        </w:rPr>
        <w:t xml:space="preserve">5- </w:t>
      </w:r>
      <w:r w:rsidRPr="00456CD6">
        <w:rPr>
          <w:rFonts w:ascii="Arial" w:hAnsi="Arial" w:cs="Arial"/>
          <w:color w:val="000000" w:themeColor="text1"/>
          <w:sz w:val="24"/>
          <w:szCs w:val="24"/>
          <w:shd w:val="clear" w:color="auto" w:fill="FFFFFF" w:themeFill="background1"/>
        </w:rPr>
        <w:t>Prescott, L.M., Harley, J.P. and Klein, D.N. (1999) Microbiology. 4th Edition, The McGraw-Hill Companies, Inc., New York, 685. - References - Scientific Research Publishing. Scirp.org. Published 2017.</w:t>
      </w:r>
    </w:p>
    <w:p w:rsidR="00D772CE" w:rsidRPr="00456CD6" w:rsidRDefault="00D772CE" w:rsidP="00D772CE">
      <w:pPr>
        <w:rPr>
          <w:rFonts w:ascii="Arial" w:hAnsi="Arial" w:cs="Arial"/>
          <w:color w:val="000000" w:themeColor="text1"/>
          <w:sz w:val="24"/>
          <w:szCs w:val="24"/>
          <w:shd w:val="clear" w:color="auto" w:fill="FEF1C4"/>
        </w:rPr>
      </w:pPr>
      <w:hyperlink r:id="rId8" w:history="1">
        <w:r w:rsidRPr="00456CD6">
          <w:rPr>
            <w:rStyle w:val="Hyperlink"/>
            <w:rFonts w:ascii="Arial" w:hAnsi="Arial" w:cs="Arial"/>
            <w:color w:val="000000" w:themeColor="text1"/>
            <w:sz w:val="24"/>
            <w:szCs w:val="24"/>
            <w:shd w:val="clear" w:color="auto" w:fill="FFFFFF" w:themeFill="background1"/>
          </w:rPr>
          <w:t>https://www.scirp.org/(S(351jmbntvnsjt1aadkposzje))/reference/ReferencesPapers.aspx?ReferenceID=2017378</w:t>
        </w:r>
      </w:hyperlink>
      <w:r w:rsidRPr="00456CD6">
        <w:rPr>
          <w:rFonts w:ascii="Arial" w:hAnsi="Arial" w:cs="Arial"/>
          <w:color w:val="000000" w:themeColor="text1"/>
          <w:sz w:val="24"/>
          <w:szCs w:val="24"/>
          <w:shd w:val="clear" w:color="auto" w:fill="FEF1C4"/>
        </w:rPr>
        <w:t xml:space="preserve"> </w:t>
      </w:r>
    </w:p>
    <w:p w:rsidR="00D772CE" w:rsidRPr="006E6621" w:rsidRDefault="00D772CE" w:rsidP="00D772CE">
      <w:pPr>
        <w:spacing w:after="160" w:line="259" w:lineRule="auto"/>
        <w:rPr>
          <w:rFonts w:ascii="Arial" w:eastAsia="Times New Roman" w:hAnsi="Arial" w:cs="Arial"/>
          <w:color w:val="000000" w:themeColor="text1"/>
          <w:sz w:val="24"/>
          <w:szCs w:val="24"/>
        </w:rPr>
      </w:pPr>
      <w:r w:rsidRPr="00456CD6">
        <w:rPr>
          <w:rFonts w:ascii="Arial" w:hAnsi="Arial" w:cs="Arial"/>
          <w:color w:val="000000" w:themeColor="text1"/>
          <w:sz w:val="24"/>
          <w:szCs w:val="24"/>
        </w:rPr>
        <w:t xml:space="preserve">6- </w:t>
      </w:r>
      <w:r w:rsidRPr="006E6621">
        <w:rPr>
          <w:rFonts w:ascii="Arial" w:eastAsia="Times New Roman" w:hAnsi="Arial" w:cs="Arial"/>
          <w:color w:val="000000" w:themeColor="text1"/>
          <w:sz w:val="24"/>
          <w:szCs w:val="24"/>
        </w:rPr>
        <w:t xml:space="preserve">Modarres S, </w:t>
      </w:r>
      <w:proofErr w:type="spellStart"/>
      <w:r w:rsidRPr="006E6621">
        <w:rPr>
          <w:rFonts w:ascii="Arial" w:eastAsia="Times New Roman" w:hAnsi="Arial" w:cs="Arial"/>
          <w:color w:val="000000" w:themeColor="text1"/>
          <w:sz w:val="24"/>
          <w:szCs w:val="24"/>
        </w:rPr>
        <w:t>Oskoii</w:t>
      </w:r>
      <w:proofErr w:type="spellEnd"/>
      <w:r w:rsidRPr="006E6621">
        <w:rPr>
          <w:rFonts w:ascii="Arial" w:eastAsia="Times New Roman" w:hAnsi="Arial" w:cs="Arial"/>
          <w:color w:val="000000" w:themeColor="text1"/>
          <w:sz w:val="24"/>
          <w:szCs w:val="24"/>
        </w:rPr>
        <w:t xml:space="preserve"> NN. Bacterial etiologic agents of urinary tract infection in children in the Islamic Republic of Iran. </w:t>
      </w:r>
      <w:r w:rsidRPr="006E6621">
        <w:rPr>
          <w:rFonts w:ascii="Arial" w:eastAsia="Times New Roman" w:hAnsi="Arial" w:cs="Arial"/>
          <w:i/>
          <w:iCs/>
          <w:color w:val="000000" w:themeColor="text1"/>
          <w:sz w:val="24"/>
          <w:szCs w:val="24"/>
        </w:rPr>
        <w:t>EMHJ - Eastern Mediterranean Health Journal, 3 (2), 290-295, 1997</w:t>
      </w:r>
      <w:r w:rsidRPr="006E6621">
        <w:rPr>
          <w:rFonts w:ascii="Arial" w:eastAsia="Times New Roman" w:hAnsi="Arial" w:cs="Arial"/>
          <w:color w:val="000000" w:themeColor="text1"/>
          <w:sz w:val="24"/>
          <w:szCs w:val="24"/>
        </w:rPr>
        <w:t>. Published online 1997. https://apps.who.int/iris/handle/10665/117351</w:t>
      </w:r>
      <w:r w:rsidRPr="00456CD6">
        <w:rPr>
          <w:rFonts w:ascii="Arial" w:eastAsia="Times New Roman" w:hAnsi="Arial" w:cs="Arial"/>
          <w:color w:val="000000" w:themeColor="text1"/>
          <w:sz w:val="24"/>
          <w:szCs w:val="24"/>
        </w:rPr>
        <w:t>.</w:t>
      </w:r>
    </w:p>
    <w:p w:rsidR="00D772CE" w:rsidRPr="00456CD6" w:rsidRDefault="00D772CE" w:rsidP="00D772CE">
      <w:pPr>
        <w:spacing w:before="100" w:beforeAutospacing="1" w:after="100" w:afterAutospacing="1" w:line="240" w:lineRule="auto"/>
        <w:rPr>
          <w:rFonts w:ascii="Arial" w:eastAsia="Times New Roman" w:hAnsi="Arial" w:cs="Arial"/>
          <w:color w:val="000000" w:themeColor="text1"/>
          <w:sz w:val="24"/>
          <w:szCs w:val="24"/>
        </w:rPr>
      </w:pPr>
      <w:r w:rsidRPr="006E6621">
        <w:rPr>
          <w:rFonts w:ascii="Arial" w:eastAsia="Times New Roman" w:hAnsi="Arial" w:cs="Arial"/>
          <w:color w:val="000000" w:themeColor="text1"/>
          <w:sz w:val="24"/>
          <w:szCs w:val="24"/>
        </w:rPr>
        <w:t>‌</w:t>
      </w:r>
      <w:r w:rsidRPr="00456CD6">
        <w:rPr>
          <w:rFonts w:ascii="Arial" w:hAnsi="Arial" w:cs="Arial"/>
          <w:color w:val="000000" w:themeColor="text1"/>
          <w:sz w:val="24"/>
          <w:szCs w:val="24"/>
        </w:rPr>
        <w:t xml:space="preserve">7_ </w:t>
      </w:r>
      <w:r w:rsidRPr="00456CD6">
        <w:rPr>
          <w:rFonts w:ascii="Arial" w:hAnsi="Arial" w:cs="Arial"/>
          <w:color w:val="000000" w:themeColor="text1"/>
          <w:sz w:val="24"/>
          <w:szCs w:val="24"/>
          <w:shd w:val="clear" w:color="auto" w:fill="FFFFFF" w:themeFill="background1"/>
        </w:rPr>
        <w:t>Frank-</w:t>
      </w:r>
      <w:proofErr w:type="spellStart"/>
      <w:r w:rsidRPr="00456CD6">
        <w:rPr>
          <w:rFonts w:ascii="Arial" w:hAnsi="Arial" w:cs="Arial"/>
          <w:color w:val="000000" w:themeColor="text1"/>
          <w:sz w:val="24"/>
          <w:szCs w:val="24"/>
          <w:shd w:val="clear" w:color="auto" w:fill="FFFFFF" w:themeFill="background1"/>
        </w:rPr>
        <w:t>Peterside</w:t>
      </w:r>
      <w:proofErr w:type="spellEnd"/>
      <w:r w:rsidRPr="00456CD6">
        <w:rPr>
          <w:rFonts w:ascii="Arial" w:hAnsi="Arial" w:cs="Arial"/>
          <w:color w:val="000000" w:themeColor="text1"/>
          <w:sz w:val="24"/>
          <w:szCs w:val="24"/>
          <w:shd w:val="clear" w:color="auto" w:fill="FFFFFF" w:themeFill="background1"/>
        </w:rPr>
        <w:t xml:space="preserve"> N, </w:t>
      </w:r>
      <w:proofErr w:type="spellStart"/>
      <w:r w:rsidRPr="00456CD6">
        <w:rPr>
          <w:rFonts w:ascii="Arial" w:hAnsi="Arial" w:cs="Arial"/>
          <w:color w:val="000000" w:themeColor="text1"/>
          <w:sz w:val="24"/>
          <w:szCs w:val="24"/>
          <w:shd w:val="clear" w:color="auto" w:fill="FFFFFF" w:themeFill="background1"/>
        </w:rPr>
        <w:t>Wokoma</w:t>
      </w:r>
      <w:proofErr w:type="spellEnd"/>
      <w:r w:rsidRPr="00456CD6">
        <w:rPr>
          <w:rFonts w:ascii="Arial" w:hAnsi="Arial" w:cs="Arial"/>
          <w:color w:val="000000" w:themeColor="text1"/>
          <w:sz w:val="24"/>
          <w:szCs w:val="24"/>
          <w:shd w:val="clear" w:color="auto" w:fill="FFFFFF" w:themeFill="background1"/>
        </w:rPr>
        <w:t xml:space="preserve"> E. Prevalence of asymptomatic bacteriuria in students of University of Port Harcourt Demonstration Secondary School. </w:t>
      </w:r>
      <w:r w:rsidRPr="00456CD6">
        <w:rPr>
          <w:rFonts w:ascii="Arial" w:hAnsi="Arial" w:cs="Arial"/>
          <w:i/>
          <w:iCs/>
          <w:color w:val="000000" w:themeColor="text1"/>
          <w:sz w:val="24"/>
          <w:szCs w:val="24"/>
          <w:shd w:val="clear" w:color="auto" w:fill="FFFFFF" w:themeFill="background1"/>
        </w:rPr>
        <w:t>Journal of Applied Sciences and Environmental Management</w:t>
      </w:r>
      <w:r w:rsidRPr="00456CD6">
        <w:rPr>
          <w:rFonts w:ascii="Arial" w:hAnsi="Arial" w:cs="Arial"/>
          <w:color w:val="000000" w:themeColor="text1"/>
          <w:sz w:val="24"/>
          <w:szCs w:val="24"/>
          <w:shd w:val="clear" w:color="auto" w:fill="FFFFFF" w:themeFill="background1"/>
        </w:rPr>
        <w:t>. 2010;13(2). doi:10.4314/</w:t>
      </w:r>
      <w:proofErr w:type="gramStart"/>
      <w:r w:rsidRPr="00456CD6">
        <w:rPr>
          <w:rFonts w:ascii="Arial" w:hAnsi="Arial" w:cs="Arial"/>
          <w:color w:val="000000" w:themeColor="text1"/>
          <w:sz w:val="24"/>
          <w:szCs w:val="24"/>
          <w:shd w:val="clear" w:color="auto" w:fill="FFFFFF" w:themeFill="background1"/>
        </w:rPr>
        <w:t>jasem.v</w:t>
      </w:r>
      <w:proofErr w:type="gramEnd"/>
      <w:r w:rsidRPr="00456CD6">
        <w:rPr>
          <w:rFonts w:ascii="Arial" w:hAnsi="Arial" w:cs="Arial"/>
          <w:color w:val="000000" w:themeColor="text1"/>
          <w:sz w:val="24"/>
          <w:szCs w:val="24"/>
          <w:shd w:val="clear" w:color="auto" w:fill="FFFFFF" w:themeFill="background1"/>
        </w:rPr>
        <w:t>13i2.55312.</w:t>
      </w:r>
    </w:p>
    <w:p w:rsidR="00D772CE" w:rsidRPr="00456CD6" w:rsidRDefault="00D772CE" w:rsidP="00D772CE">
      <w:pPr>
        <w:shd w:val="clear" w:color="auto" w:fill="FFFFFF"/>
        <w:rPr>
          <w:rFonts w:ascii="Arial" w:hAnsi="Arial" w:cs="Arial"/>
          <w:color w:val="000000" w:themeColor="text1"/>
          <w:sz w:val="24"/>
          <w:szCs w:val="24"/>
          <w:shd w:val="clear" w:color="auto" w:fill="FEF1C4"/>
        </w:rPr>
      </w:pPr>
      <w:r w:rsidRPr="00456CD6">
        <w:rPr>
          <w:rFonts w:ascii="Arial" w:hAnsi="Arial" w:cs="Arial"/>
          <w:color w:val="000000" w:themeColor="text1"/>
          <w:sz w:val="24"/>
          <w:szCs w:val="24"/>
        </w:rPr>
        <w:lastRenderedPageBreak/>
        <w:t xml:space="preserve">8- </w:t>
      </w:r>
      <w:proofErr w:type="spellStart"/>
      <w:r w:rsidRPr="00456CD6">
        <w:rPr>
          <w:rFonts w:ascii="Arial" w:hAnsi="Arial" w:cs="Arial"/>
          <w:color w:val="000000" w:themeColor="text1"/>
          <w:sz w:val="24"/>
          <w:szCs w:val="24"/>
          <w:shd w:val="clear" w:color="auto" w:fill="FFFFFF" w:themeFill="background1"/>
        </w:rPr>
        <w:t>Nurullaev</w:t>
      </w:r>
      <w:proofErr w:type="spellEnd"/>
      <w:r w:rsidRPr="00456CD6">
        <w:rPr>
          <w:rFonts w:ascii="Arial" w:hAnsi="Arial" w:cs="Arial"/>
          <w:color w:val="000000" w:themeColor="text1"/>
          <w:sz w:val="24"/>
          <w:szCs w:val="24"/>
          <w:shd w:val="clear" w:color="auto" w:fill="FFFFFF" w:themeFill="background1"/>
        </w:rPr>
        <w:t xml:space="preserve"> RB. [The role of asymptomatic bacteriuria in epidemiologic study of the urinary tract infection]. </w:t>
      </w:r>
      <w:proofErr w:type="spellStart"/>
      <w:r w:rsidRPr="00456CD6">
        <w:rPr>
          <w:rFonts w:ascii="Arial" w:hAnsi="Arial" w:cs="Arial"/>
          <w:i/>
          <w:iCs/>
          <w:color w:val="000000" w:themeColor="text1"/>
          <w:sz w:val="24"/>
          <w:szCs w:val="24"/>
          <w:shd w:val="clear" w:color="auto" w:fill="FFFFFF" w:themeFill="background1"/>
        </w:rPr>
        <w:t>Likars’ka</w:t>
      </w:r>
      <w:proofErr w:type="spellEnd"/>
      <w:r w:rsidRPr="00456CD6">
        <w:rPr>
          <w:rFonts w:ascii="Arial" w:hAnsi="Arial" w:cs="Arial"/>
          <w:i/>
          <w:iCs/>
          <w:color w:val="000000" w:themeColor="text1"/>
          <w:sz w:val="24"/>
          <w:szCs w:val="24"/>
          <w:shd w:val="clear" w:color="auto" w:fill="FFFFFF" w:themeFill="background1"/>
        </w:rPr>
        <w:t xml:space="preserve"> </w:t>
      </w:r>
      <w:proofErr w:type="spellStart"/>
      <w:r w:rsidRPr="00456CD6">
        <w:rPr>
          <w:rFonts w:ascii="Arial" w:hAnsi="Arial" w:cs="Arial"/>
          <w:i/>
          <w:iCs/>
          <w:color w:val="000000" w:themeColor="text1"/>
          <w:sz w:val="24"/>
          <w:szCs w:val="24"/>
          <w:shd w:val="clear" w:color="auto" w:fill="FFFFFF" w:themeFill="background1"/>
        </w:rPr>
        <w:t>Sprava</w:t>
      </w:r>
      <w:proofErr w:type="spellEnd"/>
      <w:r w:rsidRPr="00456CD6">
        <w:rPr>
          <w:rFonts w:ascii="Arial" w:hAnsi="Arial" w:cs="Arial"/>
          <w:color w:val="000000" w:themeColor="text1"/>
          <w:sz w:val="24"/>
          <w:szCs w:val="24"/>
          <w:shd w:val="clear" w:color="auto" w:fill="FFFFFF" w:themeFill="background1"/>
        </w:rPr>
        <w:t xml:space="preserve">. 2004;(7):23-25. Accessed June 19, 2022. </w:t>
      </w:r>
      <w:hyperlink r:id="rId9" w:history="1">
        <w:r w:rsidRPr="00456CD6">
          <w:rPr>
            <w:rStyle w:val="Hyperlink"/>
            <w:rFonts w:ascii="Arial" w:hAnsi="Arial" w:cs="Arial"/>
            <w:color w:val="000000" w:themeColor="text1"/>
            <w:sz w:val="24"/>
            <w:szCs w:val="24"/>
            <w:shd w:val="clear" w:color="auto" w:fill="FFFFFF" w:themeFill="background1"/>
          </w:rPr>
          <w:t>https://pubmed.ncbi.nlm.nih.gov/15724605</w:t>
        </w:r>
      </w:hyperlink>
      <w:r w:rsidRPr="00456CD6">
        <w:rPr>
          <w:rFonts w:ascii="Arial" w:hAnsi="Arial" w:cs="Arial"/>
          <w:color w:val="000000" w:themeColor="text1"/>
          <w:sz w:val="24"/>
          <w:szCs w:val="24"/>
          <w:shd w:val="clear" w:color="auto" w:fill="FEF1C4"/>
        </w:rPr>
        <w:t xml:space="preserve"> </w:t>
      </w:r>
    </w:p>
    <w:p w:rsidR="00D772CE" w:rsidRPr="00456CD6" w:rsidRDefault="00D772CE" w:rsidP="00D772CE">
      <w:pPr>
        <w:shd w:val="clear" w:color="auto" w:fill="FFFFFF" w:themeFill="background1"/>
        <w:rPr>
          <w:rFonts w:ascii="Arial" w:hAnsi="Arial" w:cs="Arial"/>
          <w:color w:val="000000" w:themeColor="text1"/>
          <w:sz w:val="24"/>
          <w:szCs w:val="24"/>
        </w:rPr>
      </w:pPr>
      <w:r w:rsidRPr="00456CD6">
        <w:rPr>
          <w:rFonts w:ascii="Arial" w:eastAsia="Times New Roman" w:hAnsi="Arial" w:cs="Arial"/>
          <w:color w:val="000000" w:themeColor="text1"/>
          <w:sz w:val="24"/>
          <w:szCs w:val="24"/>
        </w:rPr>
        <w:t xml:space="preserve">9- </w:t>
      </w:r>
      <w:proofErr w:type="spellStart"/>
      <w:r w:rsidRPr="00456CD6">
        <w:rPr>
          <w:rFonts w:ascii="Arial" w:hAnsi="Arial" w:cs="Arial"/>
          <w:color w:val="000000" w:themeColor="text1"/>
          <w:sz w:val="24"/>
          <w:szCs w:val="24"/>
          <w:shd w:val="clear" w:color="auto" w:fill="FFFFFF" w:themeFill="background1"/>
        </w:rPr>
        <w:t>Lennette</w:t>
      </w:r>
      <w:proofErr w:type="spellEnd"/>
      <w:r w:rsidRPr="00456CD6">
        <w:rPr>
          <w:rFonts w:ascii="Arial" w:hAnsi="Arial" w:cs="Arial"/>
          <w:color w:val="000000" w:themeColor="text1"/>
          <w:sz w:val="24"/>
          <w:szCs w:val="24"/>
          <w:shd w:val="clear" w:color="auto" w:fill="FFFFFF" w:themeFill="background1"/>
        </w:rPr>
        <w:t xml:space="preserve"> EH, American Society </w:t>
      </w:r>
      <w:proofErr w:type="gramStart"/>
      <w:r w:rsidRPr="00456CD6">
        <w:rPr>
          <w:rFonts w:ascii="Arial" w:hAnsi="Arial" w:cs="Arial"/>
          <w:color w:val="000000" w:themeColor="text1"/>
          <w:sz w:val="24"/>
          <w:szCs w:val="24"/>
          <w:shd w:val="clear" w:color="auto" w:fill="FFFFFF" w:themeFill="background1"/>
        </w:rPr>
        <w:t>For</w:t>
      </w:r>
      <w:proofErr w:type="gramEnd"/>
      <w:r w:rsidRPr="00456CD6">
        <w:rPr>
          <w:rFonts w:ascii="Arial" w:hAnsi="Arial" w:cs="Arial"/>
          <w:color w:val="000000" w:themeColor="text1"/>
          <w:sz w:val="24"/>
          <w:szCs w:val="24"/>
          <w:shd w:val="clear" w:color="auto" w:fill="FFFFFF" w:themeFill="background1"/>
        </w:rPr>
        <w:t xml:space="preserve"> Microbiology. </w:t>
      </w:r>
      <w:r w:rsidRPr="00456CD6">
        <w:rPr>
          <w:rFonts w:ascii="Arial" w:hAnsi="Arial" w:cs="Arial"/>
          <w:i/>
          <w:iCs/>
          <w:color w:val="000000" w:themeColor="text1"/>
          <w:sz w:val="24"/>
          <w:szCs w:val="24"/>
          <w:shd w:val="clear" w:color="auto" w:fill="FFFFFF" w:themeFill="background1"/>
        </w:rPr>
        <w:t>Manual of Clinical Microbiology</w:t>
      </w:r>
      <w:r w:rsidRPr="00456CD6">
        <w:rPr>
          <w:rFonts w:ascii="Arial" w:hAnsi="Arial" w:cs="Arial"/>
          <w:color w:val="000000" w:themeColor="text1"/>
          <w:sz w:val="24"/>
          <w:szCs w:val="24"/>
          <w:shd w:val="clear" w:color="auto" w:fill="FFFFFF" w:themeFill="background1"/>
        </w:rPr>
        <w:t xml:space="preserve">. American Society </w:t>
      </w:r>
      <w:proofErr w:type="gramStart"/>
      <w:r w:rsidRPr="00456CD6">
        <w:rPr>
          <w:rFonts w:ascii="Arial" w:hAnsi="Arial" w:cs="Arial"/>
          <w:color w:val="000000" w:themeColor="text1"/>
          <w:sz w:val="24"/>
          <w:szCs w:val="24"/>
          <w:shd w:val="clear" w:color="auto" w:fill="FFFFFF" w:themeFill="background1"/>
        </w:rPr>
        <w:t>For</w:t>
      </w:r>
      <w:proofErr w:type="gramEnd"/>
      <w:r w:rsidRPr="00456CD6">
        <w:rPr>
          <w:rFonts w:ascii="Arial" w:hAnsi="Arial" w:cs="Arial"/>
          <w:color w:val="000000" w:themeColor="text1"/>
          <w:sz w:val="24"/>
          <w:szCs w:val="24"/>
          <w:shd w:val="clear" w:color="auto" w:fill="FFFFFF" w:themeFill="background1"/>
        </w:rPr>
        <w:t xml:space="preserve"> Microbiology; 1980.</w:t>
      </w:r>
    </w:p>
    <w:p w:rsidR="00D772CE" w:rsidRPr="00456CD6" w:rsidRDefault="00D772CE" w:rsidP="00D772CE">
      <w:pPr>
        <w:shd w:val="clear" w:color="auto" w:fill="FFFFFF" w:themeFill="background1"/>
        <w:tabs>
          <w:tab w:val="left" w:pos="2720"/>
        </w:tabs>
        <w:rPr>
          <w:rFonts w:ascii="Arial" w:hAnsi="Arial" w:cs="Arial"/>
          <w:color w:val="000000" w:themeColor="text1"/>
          <w:sz w:val="24"/>
          <w:szCs w:val="24"/>
        </w:rPr>
      </w:pPr>
      <w:r w:rsidRPr="00456CD6">
        <w:rPr>
          <w:rFonts w:ascii="Arial" w:eastAsia="Times New Roman" w:hAnsi="Arial" w:cs="Arial"/>
          <w:color w:val="000000" w:themeColor="text1"/>
          <w:sz w:val="24"/>
          <w:szCs w:val="24"/>
        </w:rPr>
        <w:t xml:space="preserve">10- </w:t>
      </w:r>
      <w:proofErr w:type="spellStart"/>
      <w:r w:rsidRPr="00456CD6">
        <w:rPr>
          <w:rFonts w:ascii="Arial" w:hAnsi="Arial" w:cs="Arial"/>
          <w:color w:val="000000" w:themeColor="text1"/>
          <w:sz w:val="24"/>
          <w:szCs w:val="24"/>
          <w:shd w:val="clear" w:color="auto" w:fill="FFFFFF" w:themeFill="background1"/>
        </w:rPr>
        <w:t>McGeachie</w:t>
      </w:r>
      <w:proofErr w:type="spellEnd"/>
      <w:r w:rsidRPr="00456CD6">
        <w:rPr>
          <w:rFonts w:ascii="Arial" w:hAnsi="Arial" w:cs="Arial"/>
          <w:color w:val="000000" w:themeColor="text1"/>
          <w:sz w:val="24"/>
          <w:szCs w:val="24"/>
          <w:shd w:val="clear" w:color="auto" w:fill="FFFFFF" w:themeFill="background1"/>
        </w:rPr>
        <w:t xml:space="preserve"> J, Kennedy AC. Simplified quantitative methods for bacteriuria and pyuria. </w:t>
      </w:r>
      <w:r w:rsidRPr="00456CD6">
        <w:rPr>
          <w:rFonts w:ascii="Arial" w:hAnsi="Arial" w:cs="Arial"/>
          <w:i/>
          <w:iCs/>
          <w:color w:val="000000" w:themeColor="text1"/>
          <w:sz w:val="24"/>
          <w:szCs w:val="24"/>
          <w:shd w:val="clear" w:color="auto" w:fill="FFFFFF" w:themeFill="background1"/>
        </w:rPr>
        <w:t>Journal of Clinical Pathology</w:t>
      </w:r>
      <w:r w:rsidRPr="00456CD6">
        <w:rPr>
          <w:rFonts w:ascii="Arial" w:hAnsi="Arial" w:cs="Arial"/>
          <w:color w:val="000000" w:themeColor="text1"/>
          <w:sz w:val="24"/>
          <w:szCs w:val="24"/>
          <w:shd w:val="clear" w:color="auto" w:fill="FFFFFF" w:themeFill="background1"/>
        </w:rPr>
        <w:t>. 1963;16(1):32-38. doi:10.1136/jcp.16.1.32.</w:t>
      </w:r>
    </w:p>
    <w:p w:rsidR="00D772CE" w:rsidRPr="00103A42" w:rsidRDefault="00D772CE" w:rsidP="00D772CE">
      <w:pPr>
        <w:shd w:val="clear" w:color="auto" w:fill="FFFFFF"/>
        <w:spacing w:after="160" w:line="259" w:lineRule="auto"/>
        <w:rPr>
          <w:rFonts w:asciiTheme="majorHAnsi" w:eastAsia="Times New Roman" w:hAnsiTheme="majorHAnsi" w:cs="Times New Roman"/>
          <w:color w:val="000000" w:themeColor="text1"/>
          <w:szCs w:val="72"/>
        </w:rPr>
      </w:pPr>
    </w:p>
    <w:p w:rsidR="00D772CE" w:rsidRPr="00456CD6" w:rsidRDefault="00D772CE" w:rsidP="00D772CE">
      <w:pPr>
        <w:shd w:val="clear" w:color="auto" w:fill="FFFFFF"/>
        <w:rPr>
          <w:rFonts w:ascii="Arial" w:eastAsia="Times New Roman" w:hAnsi="Arial" w:cs="Arial"/>
          <w:b/>
          <w:color w:val="000000" w:themeColor="text1"/>
          <w:spacing w:val="2"/>
          <w:sz w:val="32"/>
          <w:szCs w:val="24"/>
        </w:rPr>
      </w:pPr>
    </w:p>
    <w:p w:rsidR="00D772CE" w:rsidRDefault="00D772CE" w:rsidP="00D772CE">
      <w:pPr>
        <w:shd w:val="clear" w:color="auto" w:fill="FFFFFF"/>
        <w:rPr>
          <w:rFonts w:ascii="Arial" w:eastAsia="Times New Roman" w:hAnsi="Arial" w:cs="Arial"/>
          <w:b/>
          <w:color w:val="000000"/>
          <w:spacing w:val="2"/>
          <w:sz w:val="32"/>
          <w:szCs w:val="24"/>
        </w:rPr>
      </w:pPr>
    </w:p>
    <w:p w:rsidR="00D772CE" w:rsidRPr="00D327A1"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b/>
          <w:color w:val="000000"/>
          <w:spacing w:val="2"/>
          <w:sz w:val="32"/>
          <w:szCs w:val="24"/>
        </w:rPr>
        <w:tab/>
      </w:r>
    </w:p>
    <w:p w:rsidR="00D772CE" w:rsidRPr="00844DE6" w:rsidRDefault="00D772CE" w:rsidP="00D772CE">
      <w:pPr>
        <w:shd w:val="clear" w:color="auto" w:fill="FFFFFF"/>
        <w:rPr>
          <w:rFonts w:ascii="Arial" w:eastAsia="Times New Roman" w:hAnsi="Arial" w:cs="Arial"/>
          <w:color w:val="000000"/>
          <w:spacing w:val="2"/>
          <w:sz w:val="24"/>
          <w:szCs w:val="24"/>
        </w:rPr>
      </w:pPr>
      <w:r>
        <w:rPr>
          <w:rFonts w:ascii="Arial" w:eastAsia="Times New Roman" w:hAnsi="Arial" w:cs="Arial"/>
          <w:b/>
          <w:color w:val="000000"/>
          <w:spacing w:val="2"/>
          <w:sz w:val="32"/>
          <w:szCs w:val="24"/>
        </w:rPr>
        <w:tab/>
      </w:r>
    </w:p>
    <w:p w:rsidR="00D772CE" w:rsidRPr="00844DE6" w:rsidRDefault="00D772CE" w:rsidP="00D772CE">
      <w:pPr>
        <w:shd w:val="clear" w:color="auto" w:fill="FFFFFF"/>
        <w:rPr>
          <w:rFonts w:ascii="ff1" w:eastAsia="Times New Roman" w:hAnsi="ff1" w:cs="Times New Roman"/>
          <w:color w:val="000000"/>
          <w:sz w:val="39"/>
          <w:szCs w:val="39"/>
        </w:rPr>
      </w:pPr>
    </w:p>
    <w:p w:rsidR="009E683F" w:rsidRDefault="009E683F"/>
    <w:sectPr w:rsidR="009E683F">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5AF1" w:rsidRDefault="00675AF1" w:rsidP="00D772CE">
      <w:pPr>
        <w:spacing w:after="0" w:line="240" w:lineRule="auto"/>
      </w:pPr>
      <w:r>
        <w:separator/>
      </w:r>
    </w:p>
  </w:endnote>
  <w:endnote w:type="continuationSeparator" w:id="0">
    <w:p w:rsidR="00675AF1" w:rsidRDefault="00675AF1" w:rsidP="00D77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ff1">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2003886"/>
      <w:docPartObj>
        <w:docPartGallery w:val="Page Numbers (Bottom of Page)"/>
        <w:docPartUnique/>
      </w:docPartObj>
    </w:sdtPr>
    <w:sdtEndPr>
      <w:rPr>
        <w:noProof/>
      </w:rPr>
    </w:sdtEndPr>
    <w:sdtContent>
      <w:p w:rsidR="00D772CE" w:rsidRDefault="00D772C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D772CE" w:rsidRDefault="00D772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5AF1" w:rsidRDefault="00675AF1" w:rsidP="00D772CE">
      <w:pPr>
        <w:spacing w:after="0" w:line="240" w:lineRule="auto"/>
      </w:pPr>
      <w:r>
        <w:separator/>
      </w:r>
    </w:p>
  </w:footnote>
  <w:footnote w:type="continuationSeparator" w:id="0">
    <w:p w:rsidR="00675AF1" w:rsidRDefault="00675AF1" w:rsidP="00D772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72CE" w:rsidRDefault="00D772CE">
    <w:pPr>
      <w:pStyle w:val="Header"/>
    </w:pPr>
    <w:r w:rsidRPr="00BE079E">
      <w:rPr>
        <w:noProof/>
      </w:rPr>
      <w:drawing>
        <wp:anchor distT="0" distB="0" distL="114300" distR="114300" simplePos="0" relativeHeight="251659264" behindDoc="0" locked="0" layoutInCell="1" allowOverlap="1" wp14:anchorId="3F16E28A" wp14:editId="6BFD911C">
          <wp:simplePos x="0" y="0"/>
          <wp:positionH relativeFrom="page">
            <wp:posOffset>175260</wp:posOffset>
          </wp:positionH>
          <wp:positionV relativeFrom="paragraph">
            <wp:posOffset>-457200</wp:posOffset>
          </wp:positionV>
          <wp:extent cx="1300480" cy="1294130"/>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0480" cy="1294130"/>
                  </a:xfrm>
                  <a:prstGeom prst="rect">
                    <a:avLst/>
                  </a:prstGeom>
                  <a:noFill/>
                  <a:ln>
                    <a:noFill/>
                  </a:ln>
                </pic:spPr>
              </pic:pic>
            </a:graphicData>
          </a:graphic>
        </wp:anchor>
      </w:drawing>
    </w:r>
    <w:r w:rsidRPr="00BE079E">
      <w:rPr>
        <w:noProof/>
      </w:rPr>
      <w:drawing>
        <wp:anchor distT="0" distB="0" distL="114300" distR="114300" simplePos="0" relativeHeight="251661312" behindDoc="0" locked="0" layoutInCell="1" allowOverlap="1" wp14:anchorId="3A3F6E62" wp14:editId="2E7A6C69">
          <wp:simplePos x="0" y="0"/>
          <wp:positionH relativeFrom="column">
            <wp:posOffset>5387340</wp:posOffset>
          </wp:positionH>
          <wp:positionV relativeFrom="paragraph">
            <wp:posOffset>-588645</wp:posOffset>
          </wp:positionV>
          <wp:extent cx="1662430" cy="1570355"/>
          <wp:effectExtent l="0" t="0" r="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62430" cy="1570355"/>
                  </a:xfrm>
                  <a:prstGeom prst="rect">
                    <a:avLst/>
                  </a:prstGeom>
                  <a:noFill/>
                  <a:ln>
                    <a:noFill/>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2CE"/>
    <w:rsid w:val="00100792"/>
    <w:rsid w:val="00456CD6"/>
    <w:rsid w:val="004C167D"/>
    <w:rsid w:val="00514528"/>
    <w:rsid w:val="00675AF1"/>
    <w:rsid w:val="009E683F"/>
    <w:rsid w:val="00D772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725A2F"/>
  <w15:chartTrackingRefBased/>
  <w15:docId w15:val="{141B2B90-148E-4FA5-ADD3-BC4A5EB17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72C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72CE"/>
    <w:rPr>
      <w:color w:val="0563C1" w:themeColor="hyperlink"/>
      <w:u w:val="single"/>
    </w:rPr>
  </w:style>
  <w:style w:type="paragraph" w:styleId="Header">
    <w:name w:val="header"/>
    <w:basedOn w:val="Normal"/>
    <w:link w:val="HeaderChar"/>
    <w:uiPriority w:val="99"/>
    <w:unhideWhenUsed/>
    <w:rsid w:val="00D772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72CE"/>
  </w:style>
  <w:style w:type="paragraph" w:styleId="Footer">
    <w:name w:val="footer"/>
    <w:basedOn w:val="Normal"/>
    <w:link w:val="FooterChar"/>
    <w:uiPriority w:val="99"/>
    <w:unhideWhenUsed/>
    <w:rsid w:val="00D772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72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rp.org/(S(351jmbntvnsjt1aadkposzje))/reference/ReferencesPapers.aspx?ReferenceID=2017378"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chart" Target="charts/chart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pubmed.ncbi.nlm.nih.gov/15724605"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rgbClr val="7030A0"/>
                </a:solidFill>
              </a:rPr>
              <a:t>pie chart count of CFUcat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pie chart count of CFUcat</c:v>
                </c:pt>
              </c:strCache>
            </c:strRef>
          </c:tx>
          <c:explosion val="28"/>
          <c:dPt>
            <c:idx val="0"/>
            <c:bubble3D val="0"/>
            <c:spPr>
              <a:solidFill>
                <a:srgbClr val="A821AF"/>
              </a:solidFill>
              <a:ln w="19050">
                <a:solidFill>
                  <a:schemeClr val="lt1"/>
                </a:solidFill>
              </a:ln>
              <a:effectLst/>
            </c:spPr>
            <c:extLst>
              <c:ext xmlns:c16="http://schemas.microsoft.com/office/drawing/2014/chart" uri="{C3380CC4-5D6E-409C-BE32-E72D297353CC}">
                <c16:uniqueId val="{00000001-5B9B-4682-B402-27ADDC81B33B}"/>
              </c:ext>
            </c:extLst>
          </c:dPt>
          <c:dPt>
            <c:idx val="1"/>
            <c:bubble3D val="0"/>
            <c:explosion val="0"/>
            <c:spPr>
              <a:solidFill>
                <a:srgbClr val="09DEE9"/>
              </a:solidFill>
              <a:ln w="19050">
                <a:solidFill>
                  <a:schemeClr val="lt1"/>
                </a:solidFill>
              </a:ln>
              <a:effectLst/>
            </c:spPr>
            <c:extLst>
              <c:ext xmlns:c16="http://schemas.microsoft.com/office/drawing/2014/chart" uri="{C3380CC4-5D6E-409C-BE32-E72D297353CC}">
                <c16:uniqueId val="{00000003-5B9B-4682-B402-27ADDC81B33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B9B-4682-B402-27ADDC81B33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B9B-4682-B402-27ADDC81B33B}"/>
              </c:ext>
            </c:extLst>
          </c:dPt>
          <c:dLbls>
            <c:dLbl>
              <c:idx val="0"/>
              <c:dLblPos val="outEnd"/>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B9B-4682-B402-27ADDC81B33B}"/>
                </c:ext>
              </c:extLst>
            </c:dLbl>
            <c:dLbl>
              <c:idx val="1"/>
              <c:dLblPos val="outEnd"/>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B9B-4682-B402-27ADDC81B33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2"/>
                <c:pt idx="0">
                  <c:v>Growth</c:v>
                </c:pt>
                <c:pt idx="1">
                  <c:v>No growth</c:v>
                </c:pt>
              </c:strCache>
            </c:strRef>
          </c:cat>
          <c:val>
            <c:numRef>
              <c:f>Sheet1!$B$2:$B$5</c:f>
              <c:numCache>
                <c:formatCode>0.00%</c:formatCode>
                <c:ptCount val="4"/>
                <c:pt idx="0">
                  <c:v>0.83330000000000004</c:v>
                </c:pt>
                <c:pt idx="1">
                  <c:v>0.16669999999999999</c:v>
                </c:pt>
              </c:numCache>
            </c:numRef>
          </c:val>
          <c:extLst>
            <c:ext xmlns:c16="http://schemas.microsoft.com/office/drawing/2014/chart" uri="{C3380CC4-5D6E-409C-BE32-E72D297353CC}">
              <c16:uniqueId val="{00000008-5B9B-4682-B402-27ADDC81B33B}"/>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9046897783610381"/>
          <c:y val="0.20670634920634925"/>
          <c:w val="0.38434000437445309"/>
          <c:h val="0.65886857892763395"/>
        </c:manualLayout>
      </c:layout>
      <c:pieChart>
        <c:varyColors val="1"/>
        <c:ser>
          <c:idx val="0"/>
          <c:order val="0"/>
          <c:tx>
            <c:strRef>
              <c:f>Sheet1!$B$1</c:f>
              <c:strCache>
                <c:ptCount val="1"/>
                <c:pt idx="0">
                  <c:v>pie chart count of CFUcat</c:v>
                </c:pt>
              </c:strCache>
            </c:strRef>
          </c:tx>
          <c:dPt>
            <c:idx val="0"/>
            <c:bubble3D val="0"/>
            <c:spPr>
              <a:solidFill>
                <a:srgbClr val="09DEE9"/>
              </a:solidFill>
              <a:ln w="19050">
                <a:solidFill>
                  <a:schemeClr val="lt1"/>
                </a:solidFill>
              </a:ln>
              <a:effectLst/>
            </c:spPr>
            <c:extLst>
              <c:ext xmlns:c16="http://schemas.microsoft.com/office/drawing/2014/chart" uri="{C3380CC4-5D6E-409C-BE32-E72D297353CC}">
                <c16:uniqueId val="{00000001-E82E-4F46-9CA1-DB585A1BE65A}"/>
              </c:ext>
            </c:extLst>
          </c:dPt>
          <c:dPt>
            <c:idx val="1"/>
            <c:bubble3D val="0"/>
            <c:explosion val="22"/>
            <c:spPr>
              <a:solidFill>
                <a:srgbClr val="A821AF"/>
              </a:solidFill>
              <a:ln w="19050">
                <a:solidFill>
                  <a:schemeClr val="lt1"/>
                </a:solidFill>
              </a:ln>
              <a:effectLst/>
            </c:spPr>
            <c:extLst>
              <c:ext xmlns:c16="http://schemas.microsoft.com/office/drawing/2014/chart" uri="{C3380CC4-5D6E-409C-BE32-E72D297353CC}">
                <c16:uniqueId val="{00000003-E82E-4F46-9CA1-DB585A1BE65A}"/>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Sheet1!$A$2:$A$3</c:f>
              <c:strCache>
                <c:ptCount val="2"/>
                <c:pt idx="0">
                  <c:v>No growth</c:v>
                </c:pt>
                <c:pt idx="1">
                  <c:v> growth</c:v>
                </c:pt>
              </c:strCache>
            </c:strRef>
          </c:cat>
          <c:val>
            <c:numRef>
              <c:f>Sheet1!$B$2:$B$3</c:f>
              <c:numCache>
                <c:formatCode>0%</c:formatCode>
                <c:ptCount val="2"/>
                <c:pt idx="0">
                  <c:v>0.75</c:v>
                </c:pt>
                <c:pt idx="1">
                  <c:v>0.25</c:v>
                </c:pt>
              </c:numCache>
            </c:numRef>
          </c:val>
          <c:extLst>
            <c:ext xmlns:c16="http://schemas.microsoft.com/office/drawing/2014/chart" uri="{C3380CC4-5D6E-409C-BE32-E72D297353CC}">
              <c16:uniqueId val="{00000004-E82E-4F46-9CA1-DB585A1BE65A}"/>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1910</Words>
  <Characters>10893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malak hamade</dc:creator>
  <cp:keywords/>
  <dc:description/>
  <cp:lastModifiedBy>malak hamade</cp:lastModifiedBy>
  <cp:revision>2</cp:revision>
  <dcterms:created xsi:type="dcterms:W3CDTF">2022-06-20T09:44:00Z</dcterms:created>
  <dcterms:modified xsi:type="dcterms:W3CDTF">2022-06-20T09:44:00Z</dcterms:modified>
</cp:coreProperties>
</file>