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media/image1.jpeg" ContentType="image/jpeg"/>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media/image2.jpeg" ContentType="image/jpeg"/>
  <Override PartName="/word/media/image3.jpeg" ContentType="image/jpeg"/>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Title"/>
        <w:jc w:val="right"/>
        <w:rPr>
          <w:rFonts w:ascii="Arial" w:hAnsi="Arial"/>
          <w:sz w:val="36"/>
          <w:szCs w:val="36"/>
        </w:rPr>
      </w:pPr>
      <w:r>
        <w:rPr>
          <w:rFonts w:ascii="Arial" w:hAnsi="Arial"/>
          <w:sz w:val="36"/>
          <w:szCs w:val="36"/>
        </w:rPr>
        <w:drawing xmlns:a="http://schemas.openxmlformats.org/drawingml/2006/main">
          <wp:anchor distT="152400" distB="152400" distL="152400" distR="152400" simplePos="0" relativeHeight="251662336" behindDoc="0" locked="0" layoutInCell="1" allowOverlap="1">
            <wp:simplePos x="0" y="0"/>
            <wp:positionH relativeFrom="page">
              <wp:posOffset>2769870</wp:posOffset>
            </wp:positionH>
            <wp:positionV relativeFrom="page">
              <wp:posOffset>1080135</wp:posOffset>
            </wp:positionV>
            <wp:extent cx="2184400" cy="812800"/>
            <wp:effectExtent l="0" t="0" r="0" b="0"/>
            <wp:wrapTopAndBottom distT="152400" distB="152400"/>
            <wp:docPr id="1073741825" name="officeArt object" descr="Image"/>
            <wp:cNvGraphicFramePr/>
            <a:graphic xmlns:a="http://schemas.openxmlformats.org/drawingml/2006/main">
              <a:graphicData uri="http://schemas.openxmlformats.org/drawingml/2006/picture">
                <pic:pic xmlns:pic="http://schemas.openxmlformats.org/drawingml/2006/picture">
                  <pic:nvPicPr>
                    <pic:cNvPr id="1073741825" name="Image" descr="Image"/>
                    <pic:cNvPicPr>
                      <a:picLocks noChangeAspect="1"/>
                    </pic:cNvPicPr>
                  </pic:nvPicPr>
                  <pic:blipFill>
                    <a:blip r:embed="rId4">
                      <a:extLst/>
                    </a:blip>
                    <a:stretch>
                      <a:fillRect/>
                    </a:stretch>
                  </pic:blipFill>
                  <pic:spPr>
                    <a:xfrm>
                      <a:off x="0" y="0"/>
                      <a:ext cx="2184400" cy="812800"/>
                    </a:xfrm>
                    <a:prstGeom prst="rect">
                      <a:avLst/>
                    </a:prstGeom>
                    <a:ln w="12700" cap="flat">
                      <a:noFill/>
                      <a:miter lim="400000"/>
                    </a:ln>
                    <a:effectLst/>
                  </pic:spPr>
                </pic:pic>
              </a:graphicData>
            </a:graphic>
          </wp:anchor>
        </w:drawing>
      </w:r>
    </w:p>
    <w:p>
      <w:pPr>
        <w:pStyle w:val="Title"/>
        <w:jc w:val="center"/>
        <w:rPr>
          <w:rFonts w:ascii="Arial" w:hAnsi="Arial"/>
          <w:sz w:val="36"/>
          <w:szCs w:val="36"/>
        </w:rPr>
      </w:pPr>
    </w:p>
    <w:p>
      <w:pPr>
        <w:pStyle w:val="Title"/>
        <w:jc w:val="center"/>
        <w:rPr>
          <w:sz w:val="36"/>
          <w:szCs w:val="36"/>
        </w:rPr>
      </w:pPr>
    </w:p>
    <w:p>
      <w:pPr>
        <w:pStyle w:val="Title"/>
        <w:spacing w:line="360" w:lineRule="auto"/>
        <w:jc w:val="center"/>
        <w:rPr>
          <w:rFonts w:ascii="Times New Roman" w:cs="Times New Roman" w:hAnsi="Times New Roman" w:eastAsia="Times New Roman"/>
          <w:sz w:val="36"/>
          <w:szCs w:val="36"/>
        </w:rPr>
      </w:pPr>
      <w:r>
        <w:rPr>
          <w:rFonts w:ascii="Times New Roman" w:hAnsi="Times New Roman"/>
          <w:sz w:val="36"/>
          <w:szCs w:val="36"/>
          <w:rtl w:val="0"/>
          <w:lang w:val="en-US"/>
        </w:rPr>
        <w:t>Prevalence of</w:t>
      </w:r>
      <w:r>
        <w:rPr>
          <w:rFonts w:ascii="Arial" w:hAnsi="Arial"/>
          <w:sz w:val="36"/>
          <w:szCs w:val="36"/>
          <w:rtl w:val="0"/>
          <w:lang w:val="en-US"/>
        </w:rPr>
        <w:t xml:space="preserve"> </w:t>
      </w:r>
      <w:r>
        <w:rPr>
          <w:rFonts w:ascii="Times New Roman" w:hAnsi="Times New Roman"/>
          <w:sz w:val="36"/>
          <w:szCs w:val="36"/>
          <w:rtl w:val="0"/>
          <w:lang w:val="en-US"/>
        </w:rPr>
        <w:t>asymptomatic bacteriuria in LIMU males and females.</w:t>
      </w:r>
    </w:p>
    <w:p>
      <w:pPr>
        <w:pStyle w:val="Body A"/>
        <w:spacing w:line="360" w:lineRule="auto"/>
        <w:jc w:val="center"/>
        <w:rPr>
          <w:b w:val="1"/>
          <w:bCs w:val="1"/>
          <w:sz w:val="36"/>
          <w:szCs w:val="36"/>
        </w:rPr>
      </w:pPr>
    </w:p>
    <w:p>
      <w:pPr>
        <w:pStyle w:val="Body A"/>
        <w:spacing w:line="360" w:lineRule="auto"/>
        <w:rPr>
          <w:rFonts w:ascii="Arial" w:cs="Arial" w:hAnsi="Arial" w:eastAsia="Arial"/>
          <w:sz w:val="32"/>
          <w:szCs w:val="32"/>
        </w:rPr>
      </w:pPr>
    </w:p>
    <w:p>
      <w:pPr>
        <w:pStyle w:val="Body A"/>
        <w:spacing w:line="360" w:lineRule="auto"/>
        <w:jc w:val="center"/>
        <w:rPr>
          <w:rFonts w:ascii="Arial" w:cs="Arial" w:hAnsi="Arial" w:eastAsia="Arial"/>
          <w:sz w:val="32"/>
          <w:szCs w:val="32"/>
        </w:rPr>
      </w:pPr>
    </w:p>
    <w:p>
      <w:pPr>
        <w:pStyle w:val="Body A"/>
        <w:spacing w:line="360" w:lineRule="auto"/>
        <w:jc w:val="center"/>
        <w:rPr>
          <w:rFonts w:ascii="Arial" w:cs="Arial" w:hAnsi="Arial" w:eastAsia="Arial"/>
          <w:sz w:val="32"/>
          <w:szCs w:val="32"/>
        </w:rPr>
      </w:pPr>
    </w:p>
    <w:p>
      <w:pPr>
        <w:pStyle w:val="Body A"/>
        <w:spacing w:line="360" w:lineRule="auto"/>
        <w:rPr>
          <w:rFonts w:ascii="Times New Roman" w:cs="Times New Roman" w:hAnsi="Times New Roman" w:eastAsia="Times New Roman"/>
          <w:sz w:val="32"/>
          <w:szCs w:val="32"/>
        </w:rPr>
      </w:pPr>
      <w:r>
        <w:rPr>
          <w:rFonts w:ascii="Times New Roman" w:hAnsi="Times New Roman"/>
          <w:sz w:val="32"/>
          <w:szCs w:val="32"/>
          <w:rtl w:val="0"/>
          <w:lang w:val="en-US"/>
        </w:rPr>
        <w:t>Student name: Muna Hassan Elzeadani.</w:t>
      </w:r>
    </w:p>
    <w:p>
      <w:pPr>
        <w:pStyle w:val="Body A"/>
        <w:spacing w:line="360" w:lineRule="auto"/>
        <w:rPr>
          <w:rFonts w:ascii="Times New Roman" w:cs="Times New Roman" w:hAnsi="Times New Roman" w:eastAsia="Times New Roman"/>
          <w:sz w:val="32"/>
          <w:szCs w:val="32"/>
        </w:rPr>
      </w:pPr>
      <w:r>
        <w:rPr>
          <w:rFonts w:ascii="Times New Roman" w:hAnsi="Times New Roman"/>
          <w:sz w:val="32"/>
          <w:szCs w:val="32"/>
          <w:rtl w:val="0"/>
          <w:lang w:val="en-US"/>
        </w:rPr>
        <w:t>Student number: 2842</w:t>
      </w:r>
    </w:p>
    <w:p>
      <w:pPr>
        <w:pStyle w:val="Body A"/>
        <w:spacing w:line="360" w:lineRule="auto"/>
        <w:rPr>
          <w:rFonts w:ascii="Times New Roman" w:cs="Times New Roman" w:hAnsi="Times New Roman" w:eastAsia="Times New Roman"/>
          <w:sz w:val="32"/>
          <w:szCs w:val="32"/>
        </w:rPr>
      </w:pPr>
      <w:r>
        <w:rPr>
          <w:rFonts w:ascii="Times New Roman" w:hAnsi="Times New Roman"/>
          <w:sz w:val="32"/>
          <w:szCs w:val="32"/>
          <w:rtl w:val="0"/>
          <w:lang w:val="en-US"/>
        </w:rPr>
        <w:t>Instructor: Dr. Naji Alhomry</w:t>
      </w:r>
      <w:r>
        <w:rPr>
          <w:rFonts w:ascii="Times New Roman" w:hAnsi="Times New Roman"/>
          <w:sz w:val="32"/>
          <w:szCs w:val="32"/>
          <w:rtl w:val="0"/>
          <w:lang w:val="en-US"/>
        </w:rPr>
        <w:t xml:space="preserve"> and Dr. Asma</w:t>
      </w:r>
      <w:r>
        <w:rPr>
          <w:rFonts w:ascii="Times New Roman" w:hAnsi="Times New Roman"/>
          <w:sz w:val="32"/>
          <w:szCs w:val="32"/>
          <w:rtl w:val="0"/>
          <w:lang w:val="en-US"/>
        </w:rPr>
        <w:t>.</w:t>
      </w:r>
    </w:p>
    <w:p>
      <w:pPr>
        <w:pStyle w:val="Body A"/>
        <w:spacing w:line="360" w:lineRule="auto"/>
        <w:rPr>
          <w:rFonts w:ascii="Times New Roman" w:cs="Times New Roman" w:hAnsi="Times New Roman" w:eastAsia="Times New Roman"/>
          <w:sz w:val="32"/>
          <w:szCs w:val="32"/>
        </w:rPr>
      </w:pPr>
      <w:r>
        <w:rPr>
          <w:rFonts w:ascii="Times New Roman" w:hAnsi="Times New Roman"/>
          <w:sz w:val="32"/>
          <w:szCs w:val="32"/>
          <w:rtl w:val="0"/>
          <w:lang w:val="en-US"/>
        </w:rPr>
        <w:t>Course title: PTS.</w:t>
      </w:r>
    </w:p>
    <w:p>
      <w:pPr>
        <w:pStyle w:val="Body A"/>
        <w:spacing w:line="360" w:lineRule="auto"/>
        <w:rPr>
          <w:rFonts w:ascii="Times New Roman" w:cs="Times New Roman" w:hAnsi="Times New Roman" w:eastAsia="Times New Roman"/>
          <w:sz w:val="32"/>
          <w:szCs w:val="32"/>
        </w:rPr>
      </w:pPr>
      <w:r>
        <w:rPr>
          <w:rFonts w:ascii="Times New Roman" w:hAnsi="Times New Roman"/>
          <w:sz w:val="32"/>
          <w:szCs w:val="32"/>
          <w:rtl w:val="0"/>
          <w:lang w:val="en-US"/>
        </w:rPr>
        <w:t>Due date: 4</w:t>
      </w:r>
      <w:r>
        <w:rPr>
          <w:rFonts w:ascii="Times New Roman" w:hAnsi="Times New Roman"/>
          <w:sz w:val="32"/>
          <w:szCs w:val="32"/>
          <w:vertAlign w:val="superscript"/>
          <w:rtl w:val="0"/>
          <w:lang w:val="en-US"/>
        </w:rPr>
        <w:t xml:space="preserve">th </w:t>
      </w:r>
      <w:r>
        <w:rPr>
          <w:rFonts w:ascii="Times New Roman" w:hAnsi="Times New Roman"/>
          <w:sz w:val="32"/>
          <w:szCs w:val="32"/>
          <w:rtl w:val="0"/>
          <w:lang w:val="en-US"/>
        </w:rPr>
        <w:t>/ June /2022</w:t>
      </w:r>
    </w:p>
    <w:p>
      <w:pPr>
        <w:pStyle w:val="Body A"/>
        <w:spacing w:line="360" w:lineRule="auto"/>
        <w:rPr>
          <w:rFonts w:ascii="Times New Roman" w:cs="Times New Roman" w:hAnsi="Times New Roman" w:eastAsia="Times New Roman"/>
          <w:sz w:val="32"/>
          <w:szCs w:val="32"/>
        </w:rPr>
      </w:pPr>
    </w:p>
    <w:p>
      <w:pPr>
        <w:pStyle w:val="Body A"/>
        <w:spacing w:line="360" w:lineRule="auto"/>
        <w:rPr>
          <w:rFonts w:ascii="Times New Roman" w:cs="Times New Roman" w:hAnsi="Times New Roman" w:eastAsia="Times New Roman"/>
          <w:sz w:val="32"/>
          <w:szCs w:val="32"/>
        </w:rPr>
      </w:pPr>
    </w:p>
    <w:p>
      <w:pPr>
        <w:pStyle w:val="Body A"/>
        <w:spacing w:line="360" w:lineRule="auto"/>
        <w:rPr>
          <w:rFonts w:ascii="Times New Roman" w:cs="Times New Roman" w:hAnsi="Times New Roman" w:eastAsia="Times New Roman"/>
          <w:sz w:val="32"/>
          <w:szCs w:val="32"/>
        </w:rPr>
      </w:pPr>
    </w:p>
    <w:p>
      <w:pPr>
        <w:pStyle w:val="Body A"/>
        <w:spacing w:line="360" w:lineRule="auto"/>
        <w:rPr>
          <w:rFonts w:ascii="Times New Roman" w:cs="Times New Roman" w:hAnsi="Times New Roman" w:eastAsia="Times New Roman"/>
          <w:sz w:val="32"/>
          <w:szCs w:val="32"/>
        </w:rPr>
      </w:pPr>
    </w:p>
    <w:p>
      <w:pPr>
        <w:pStyle w:val="Body A"/>
        <w:spacing w:line="360" w:lineRule="auto"/>
        <w:rPr>
          <w:rFonts w:ascii="Times New Roman" w:cs="Times New Roman" w:hAnsi="Times New Roman" w:eastAsia="Times New Roman"/>
          <w:sz w:val="32"/>
          <w:szCs w:val="32"/>
        </w:rPr>
      </w:pPr>
    </w:p>
    <w:p>
      <w:pPr>
        <w:pStyle w:val="Body A"/>
        <w:spacing w:line="360" w:lineRule="auto"/>
        <w:rPr>
          <w:rFonts w:ascii="Times New Roman" w:cs="Times New Roman" w:hAnsi="Times New Roman" w:eastAsia="Times New Roman"/>
          <w:sz w:val="32"/>
          <w:szCs w:val="32"/>
        </w:rPr>
      </w:pPr>
    </w:p>
    <w:p>
      <w:pPr>
        <w:pStyle w:val="Body A"/>
        <w:spacing w:line="360" w:lineRule="auto"/>
        <w:rPr>
          <w:rFonts w:ascii="Times New Roman" w:cs="Times New Roman" w:hAnsi="Times New Roman" w:eastAsia="Times New Roman"/>
          <w:sz w:val="32"/>
          <w:szCs w:val="32"/>
        </w:rPr>
      </w:pPr>
    </w:p>
    <w:p>
      <w:pPr>
        <w:pStyle w:val="Body A"/>
        <w:spacing w:line="360" w:lineRule="auto"/>
        <w:rPr>
          <w:rFonts w:ascii="Times New Roman" w:cs="Times New Roman" w:hAnsi="Times New Roman" w:eastAsia="Times New Roman"/>
          <w:sz w:val="32"/>
          <w:szCs w:val="32"/>
        </w:rPr>
      </w:pPr>
    </w:p>
    <w:p>
      <w:pPr>
        <w:pStyle w:val="Heading"/>
        <w:spacing w:line="360" w:lineRule="auto"/>
        <w:sectPr>
          <w:headerReference w:type="default" r:id="rId5"/>
          <w:headerReference w:type="first" r:id="rId6"/>
          <w:footerReference w:type="default" r:id="rId7"/>
          <w:footerReference w:type="first" r:id="rId8"/>
          <w:pgSz w:w="11900" w:h="16840" w:orient="portrait"/>
          <w:pgMar w:top="1417" w:right="1701" w:bottom="1417" w:left="1701" w:header="567" w:footer="850"/>
          <w:pgNumType w:start="1"/>
          <w:titlePg w:val="1"/>
          <w:bidi w:val="0"/>
        </w:sectPr>
      </w:pPr>
    </w:p>
    <w:p>
      <w:pPr>
        <w:pStyle w:val="Heading"/>
        <w:spacing w:line="360" w:lineRule="auto"/>
      </w:pPr>
      <w:r>
        <w:rPr>
          <w:rtl w:val="0"/>
          <w:lang w:val="en-US"/>
        </w:rPr>
        <w:t>Abstract:</w:t>
      </w:r>
    </w:p>
    <w:p>
      <w:pPr>
        <w:pStyle w:val="Default"/>
        <w:spacing w:before="0" w:after="326" w:line="360" w:lineRule="auto"/>
        <w:rPr>
          <w:rFonts w:ascii="Times New Roman" w:cs="Times New Roman" w:hAnsi="Times New Roman" w:eastAsia="Times New Roman"/>
        </w:rPr>
      </w:pPr>
      <w:r>
        <w:rPr>
          <w:rFonts w:ascii="Times New Roman" w:hAnsi="Times New Roman"/>
          <w:rtl w:val="0"/>
          <w:lang w:val="en-US"/>
        </w:rPr>
        <w:t>Asymptomatic bacteriuria is a very common clinical condition, having an incidence of 15% or greater in females and males in the age group of 65 to 80, and higher with 40% to 50% after the age of 80 [3]. Urinary tract infections (UTIs) are responsible for an estimated 7 million office visits, 1 million emergency room visits, and 100,000 hospitalizations each year, and account for 25% of all infections in elderly patients [</w:t>
      </w:r>
      <w:r>
        <w:rPr>
          <w:rFonts w:ascii="Times New Roman" w:hAnsi="Times New Roman"/>
          <w:outline w:val="0"/>
          <w:color w:val="2f4a8b"/>
          <w:u w:color="2f4a8b"/>
          <w:rtl w:val="0"/>
          <w:lang w:val="en-US"/>
          <w14:textFill>
            <w14:solidFill>
              <w14:srgbClr w14:val="2F4A8B"/>
            </w14:solidFill>
          </w14:textFill>
        </w:rPr>
        <w:t>1</w:t>
      </w:r>
      <w:r>
        <w:rPr>
          <w:rFonts w:ascii="Times New Roman" w:hAnsi="Times New Roman"/>
          <w:rtl w:val="0"/>
          <w:lang w:val="pt-PT"/>
        </w:rPr>
        <w:t>]</w:t>
      </w:r>
      <w:r>
        <w:rPr>
          <w:rFonts w:ascii="Times New Roman" w:hAnsi="Times New Roman"/>
          <w:rtl w:val="0"/>
          <w:lang w:val="en-US"/>
        </w:rPr>
        <w:t>.</w:t>
      </w:r>
    </w:p>
    <w:p>
      <w:pPr>
        <w:pStyle w:val="Default"/>
        <w:spacing w:before="0" w:after="326" w:line="360" w:lineRule="auto"/>
        <w:rPr>
          <w:rFonts w:ascii="Times New Roman" w:cs="Times New Roman" w:hAnsi="Times New Roman" w:eastAsia="Times New Roman"/>
        </w:rPr>
      </w:pPr>
      <w:r>
        <w:rPr>
          <w:rFonts w:ascii="Times New Roman" w:hAnsi="Times New Roman"/>
          <w:rtl w:val="0"/>
          <w:lang w:val="en-US"/>
        </w:rPr>
        <w:t>This study has tested the prevalence of asymptomatic bacteriuria on 24 students, 12 males and 12 females, 22 of the students had a healthy urinary tract, whereas 2 females had significant bacterial growth with E.coli. This study also supported that asymptomatic bacteriuria is more common in females due to several reasons discussed later.</w:t>
      </w:r>
    </w:p>
    <w:p>
      <w:pPr>
        <w:pStyle w:val="Default"/>
        <w:spacing w:before="0" w:after="326" w:line="360" w:lineRule="auto"/>
        <w:rPr>
          <w:rFonts w:ascii="Times New Roman" w:cs="Times New Roman" w:hAnsi="Times New Roman" w:eastAsia="Times New Roman"/>
        </w:rPr>
      </w:pPr>
      <w:r>
        <w:rPr>
          <w:rFonts w:ascii="Times New Roman" w:hAnsi="Times New Roman"/>
          <w:rtl w:val="0"/>
          <w:lang w:val="en-US"/>
        </w:rPr>
        <w:t xml:space="preserve">In this report, </w:t>
      </w:r>
      <w:r>
        <w:rPr>
          <w:rFonts w:ascii="Times New Roman" w:hAnsi="Times New Roman"/>
          <w:rtl w:val="0"/>
          <w:lang w:val="en-US"/>
        </w:rPr>
        <w:t>we</w:t>
      </w:r>
      <w:r>
        <w:rPr>
          <w:rFonts w:ascii="Times New Roman" w:hAnsi="Times New Roman"/>
          <w:rtl w:val="0"/>
          <w:lang w:val="en-US"/>
        </w:rPr>
        <w:t xml:space="preserve"> will </w:t>
      </w:r>
      <w:r>
        <w:rPr>
          <w:rFonts w:ascii="Times New Roman" w:hAnsi="Times New Roman"/>
          <w:rtl w:val="0"/>
          <w:lang w:val="en-US"/>
        </w:rPr>
        <w:t xml:space="preserve">show </w:t>
      </w:r>
      <w:r>
        <w:rPr>
          <w:rFonts w:ascii="Times New Roman" w:hAnsi="Times New Roman"/>
          <w:rtl w:val="0"/>
          <w:lang w:val="en-US"/>
        </w:rPr>
        <w:t>the difference between asymptomatic bacteriuria and urinary tract infections</w:t>
      </w:r>
      <w:r>
        <w:rPr>
          <w:rFonts w:ascii="Times New Roman" w:hAnsi="Times New Roman"/>
          <w:rtl w:val="0"/>
          <w:lang w:val="en-US"/>
        </w:rPr>
        <w:t xml:space="preserve"> to help </w:t>
      </w:r>
      <w:r>
        <w:rPr>
          <w:rFonts w:ascii="Times New Roman" w:hAnsi="Times New Roman"/>
          <w:rtl w:val="0"/>
          <w:lang w:val="en-US"/>
        </w:rPr>
        <w:t xml:space="preserve">understand the risk factors associated with both asymptomatic bacteriuria and UTIs, </w:t>
      </w:r>
      <w:r>
        <w:rPr>
          <w:rFonts w:ascii="Times New Roman" w:hAnsi="Times New Roman"/>
          <w:rtl w:val="0"/>
          <w:lang w:val="en-US"/>
        </w:rPr>
        <w:t>as this</w:t>
      </w:r>
      <w:r>
        <w:rPr>
          <w:rFonts w:ascii="Times New Roman" w:hAnsi="Times New Roman"/>
          <w:rtl w:val="0"/>
          <w:lang w:val="en-US"/>
        </w:rPr>
        <w:t xml:space="preserve"> will help in improving the quality of life. </w:t>
      </w:r>
      <w:r>
        <w:rPr>
          <w:rFonts w:ascii="Times New Roman" w:hAnsi="Times New Roman"/>
          <w:rtl w:val="0"/>
          <w:lang w:val="en-US"/>
        </w:rPr>
        <w:t xml:space="preserve">We will also be able to </w:t>
      </w:r>
      <w:r>
        <w:rPr>
          <w:rFonts w:ascii="Times New Roman" w:hAnsi="Times New Roman"/>
          <w:rtl w:val="0"/>
          <w:lang w:val="en-US"/>
        </w:rPr>
        <w:t xml:space="preserve">learn the right methods to diagnose asymptomatic bacteriuria, therefore preventing confusion between both asymptomatic bacteriuria and UTI. </w:t>
        <w:tab/>
      </w:r>
    </w:p>
    <w:p>
      <w:pPr>
        <w:pStyle w:val="Default"/>
        <w:spacing w:before="0" w:after="326" w:line="360" w:lineRule="auto"/>
        <w:rPr>
          <w:rFonts w:ascii="Times New Roman" w:cs="Times New Roman" w:hAnsi="Times New Roman" w:eastAsia="Times New Roman"/>
        </w:rPr>
      </w:pPr>
    </w:p>
    <w:p>
      <w:pPr>
        <w:pStyle w:val="Body B"/>
        <w:spacing w:line="360" w:lineRule="auto"/>
      </w:pPr>
    </w:p>
    <w:p>
      <w:pPr>
        <w:pStyle w:val="Body B"/>
        <w:spacing w:line="360" w:lineRule="auto"/>
      </w:pPr>
    </w:p>
    <w:p>
      <w:pPr>
        <w:pStyle w:val="Body B"/>
        <w:bidi w:val="1"/>
        <w:spacing w:line="360" w:lineRule="auto"/>
        <w:ind w:left="0" w:right="0" w:firstLine="0"/>
        <w:jc w:val="left"/>
        <w:rPr>
          <w:rFonts w:ascii="Arial Unicode MS" w:cs="Arial Unicode MS" w:hAnsi="Arial Unicode MS" w:eastAsia="Arial Unicode MS"/>
          <w:rtl w:val="1"/>
          <w:lang w:val="ar-SA" w:bidi="ar-SA"/>
        </w:rPr>
      </w:pPr>
    </w:p>
    <w:p>
      <w:pPr>
        <w:pStyle w:val="Body B"/>
        <w:spacing w:line="360" w:lineRule="auto"/>
      </w:pPr>
    </w:p>
    <w:p>
      <w:pPr>
        <w:pStyle w:val="Body B"/>
        <w:spacing w:line="360" w:lineRule="auto"/>
      </w:pPr>
    </w:p>
    <w:p>
      <w:pPr>
        <w:pStyle w:val="Body B"/>
        <w:spacing w:line="360" w:lineRule="auto"/>
      </w:pPr>
    </w:p>
    <w:p>
      <w:pPr>
        <w:pStyle w:val="Body B"/>
        <w:spacing w:line="360" w:lineRule="auto"/>
      </w:pPr>
    </w:p>
    <w:p>
      <w:pPr>
        <w:pStyle w:val="Body B"/>
        <w:spacing w:line="360" w:lineRule="auto"/>
      </w:pPr>
    </w:p>
    <w:p>
      <w:pPr>
        <w:pStyle w:val="Body B"/>
        <w:spacing w:line="360" w:lineRule="auto"/>
      </w:pPr>
    </w:p>
    <w:p>
      <w:pPr>
        <w:pStyle w:val="Body B"/>
        <w:spacing w:line="360" w:lineRule="auto"/>
      </w:pPr>
    </w:p>
    <w:p>
      <w:pPr>
        <w:pStyle w:val="Heading"/>
        <w:spacing w:line="360" w:lineRule="auto"/>
        <w:rPr>
          <w:lang w:val="fr-FR"/>
        </w:rPr>
      </w:pPr>
      <w:r>
        <w:rPr>
          <w:rtl w:val="0"/>
          <w:lang w:val="fr-FR"/>
        </w:rPr>
        <w:t>Introduction:</w:t>
      </w:r>
    </w:p>
    <w:p>
      <w:pPr>
        <w:pStyle w:val="Body B"/>
        <w:spacing w:line="360" w:lineRule="auto"/>
      </w:pPr>
      <w:r>
        <w:rPr>
          <w:outline w:val="0"/>
          <w:color w:val="0d0d0d"/>
          <w:u w:color="0d0d0d"/>
          <w:rtl w:val="0"/>
          <w:lang w:val="en-US"/>
          <w14:textFill>
            <w14:solidFill>
              <w14:srgbClr w14:val="0D0D0D"/>
            </w14:solidFill>
          </w14:textFill>
        </w:rPr>
        <w:t xml:space="preserve">The urinary system is divided into upper and lower urinary tract; the upper part involving the kidneys and ureters, and lower part involving the bladder and urethra. Urinary tract infections (UTIs) are defined as an inflammatory response to a bacterial infection at the level of the urothelium; infection to the upper part is called pyelonephritis, while to the lower part cystitis [4]. </w:t>
      </w:r>
      <w:r>
        <w:rPr>
          <w:rtl w:val="0"/>
          <w:lang w:val="en-US"/>
        </w:rPr>
        <w:t>Asymptomatic bacteriuria (ASB) is the presence of bacteria in the urine (positive urine culture) without having any symptoms.</w:t>
      </w:r>
    </w:p>
    <w:p>
      <w:pPr>
        <w:pStyle w:val="Body B"/>
        <w:spacing w:line="360" w:lineRule="auto"/>
      </w:pPr>
    </w:p>
    <w:p>
      <w:pPr>
        <w:pStyle w:val="Body B"/>
        <w:spacing w:line="360" w:lineRule="auto"/>
      </w:pPr>
      <w:r>
        <w:rPr>
          <w:rtl w:val="0"/>
          <w:lang w:val="en-US"/>
        </w:rPr>
        <w:t xml:space="preserve">Anatomical difference of the genital tract between females and males, specifically the length of the urethra contributes in developing a UTI. Females urethra is 1-2 inches compared to a 6 inches longer urethra in males; a very common theory for inoculation is the ascending route, in which enteric bacteria colonize the perineum and ascend into the urethra and bladder [4]. Furthermore, the location of the urethra being closer to the rectum in females, which carries the waste and bacteria as </w:t>
      </w:r>
      <w:r>
        <w:rPr>
          <w:i w:val="1"/>
          <w:iCs w:val="1"/>
          <w:rtl w:val="0"/>
          <w:lang w:val="en-US"/>
        </w:rPr>
        <w:t>E.coli</w:t>
      </w:r>
      <w:r>
        <w:rPr>
          <w:rtl w:val="0"/>
          <w:lang w:val="en-US"/>
        </w:rPr>
        <w:t>, also contributes in developing a UTI.</w:t>
      </w:r>
    </w:p>
    <w:p>
      <w:pPr>
        <w:pStyle w:val="Body B"/>
        <w:spacing w:line="360" w:lineRule="auto"/>
      </w:pPr>
    </w:p>
    <w:p>
      <w:pPr>
        <w:pStyle w:val="Body B"/>
        <w:spacing w:line="360" w:lineRule="auto"/>
      </w:pPr>
      <w:r>
        <w:rPr>
          <w:rtl w:val="0"/>
          <w:lang w:val="en-US"/>
        </w:rPr>
        <w:t xml:space="preserve">Both MacConkey agar (MAC) and 5% sheep blood agar were used in this experiment, MAC is a selective and differentiating agar that only grows gram negative bacterial species and furthermore, can differentiate between them based on their lactose metabolism. Examples of Lactose fermenting species which turn the pH indicator to pink are: </w:t>
      </w:r>
      <w:r>
        <w:rPr>
          <w:i w:val="1"/>
          <w:iCs w:val="1"/>
          <w:rtl w:val="0"/>
          <w:lang w:val="it-IT"/>
        </w:rPr>
        <w:t xml:space="preserve">Escherichia coli, Enterobacteria, </w:t>
      </w:r>
      <w:r>
        <w:rPr>
          <w:rtl w:val="0"/>
          <w:lang w:val="en-US"/>
        </w:rPr>
        <w:t>and</w:t>
      </w:r>
      <w:r>
        <w:rPr>
          <w:i w:val="1"/>
          <w:iCs w:val="1"/>
          <w:rtl w:val="0"/>
          <w:lang w:val="en-US"/>
        </w:rPr>
        <w:t xml:space="preserve"> Klebsiella. </w:t>
      </w:r>
      <w:r>
        <w:rPr>
          <w:rtl w:val="0"/>
          <w:lang w:val="en-US"/>
        </w:rPr>
        <w:t>Non-lactose fermenting will produce white colonies</w:t>
      </w:r>
      <w:r>
        <w:rPr>
          <w:rtl w:val="0"/>
          <w:lang w:val="en-US"/>
        </w:rPr>
        <w:t xml:space="preserve"> are</w:t>
      </w:r>
      <w:r>
        <w:rPr>
          <w:rtl w:val="0"/>
          <w:lang w:val="en-US"/>
        </w:rPr>
        <w:t xml:space="preserve"> for example: </w:t>
      </w:r>
      <w:r>
        <w:rPr>
          <w:i w:val="1"/>
          <w:iCs w:val="1"/>
          <w:rtl w:val="0"/>
          <w:lang w:val="it-IT"/>
        </w:rPr>
        <w:t xml:space="preserve">Salmonella, Proteus, Yersinia, </w:t>
      </w:r>
      <w:r>
        <w:rPr>
          <w:rtl w:val="0"/>
          <w:lang w:val="en-US"/>
        </w:rPr>
        <w:t>and</w:t>
      </w:r>
      <w:r>
        <w:rPr>
          <w:i w:val="1"/>
          <w:iCs w:val="1"/>
          <w:rtl w:val="0"/>
          <w:lang w:val="en-US"/>
        </w:rPr>
        <w:t xml:space="preserve"> </w:t>
      </w:r>
      <w:r>
        <w:rPr>
          <w:i w:val="1"/>
          <w:iCs w:val="1"/>
          <w:rtl w:val="0"/>
          <w:lang w:val="pt-PT"/>
        </w:rPr>
        <w:t>Pseudomonas</w:t>
      </w:r>
      <w:r>
        <w:rPr>
          <w:i w:val="1"/>
          <w:iCs w:val="1"/>
          <w:rtl w:val="0"/>
          <w:lang w:val="en-US"/>
        </w:rPr>
        <w:t xml:space="preserve">.  </w:t>
      </w:r>
      <w:r>
        <w:rPr>
          <w:rtl w:val="0"/>
          <w:lang w:val="en-US"/>
        </w:rPr>
        <w:t xml:space="preserve">Besides, some species like </w:t>
      </w:r>
      <w:r>
        <w:rPr>
          <w:i w:val="1"/>
          <w:iCs w:val="1"/>
          <w:rtl w:val="0"/>
          <w:lang w:val="en-US"/>
        </w:rPr>
        <w:t xml:space="preserve">Klebsiella </w:t>
      </w:r>
      <w:r>
        <w:rPr>
          <w:rtl w:val="0"/>
          <w:lang w:val="en-US"/>
        </w:rPr>
        <w:t>and</w:t>
      </w:r>
      <w:r>
        <w:rPr>
          <w:i w:val="1"/>
          <w:iCs w:val="1"/>
          <w:rtl w:val="0"/>
          <w:lang w:val="en-US"/>
        </w:rPr>
        <w:t xml:space="preserve"> </w:t>
      </w:r>
      <w:r>
        <w:rPr>
          <w:i w:val="1"/>
          <w:iCs w:val="1"/>
          <w:rtl w:val="0"/>
          <w:lang w:val="fr-FR"/>
        </w:rPr>
        <w:t>enterobacter</w:t>
      </w:r>
      <w:r>
        <w:rPr>
          <w:i w:val="1"/>
          <w:iCs w:val="1"/>
          <w:rtl w:val="0"/>
          <w:lang w:val="en-US"/>
        </w:rPr>
        <w:t xml:space="preserve"> </w:t>
      </w:r>
      <w:r>
        <w:rPr>
          <w:rtl w:val="0"/>
          <w:lang w:val="en-US"/>
        </w:rPr>
        <w:t xml:space="preserve">produce mucoid, sticky, wet colonies [5]. 5% sheep blood agar differentiate hemolytic bacteria, exhibiting a classification of complete (beta hemolysis) e.g: </w:t>
      </w:r>
      <w:r>
        <w:rPr>
          <w:i w:val="1"/>
          <w:iCs w:val="1"/>
          <w:rtl w:val="0"/>
          <w:lang w:val="en-US"/>
        </w:rPr>
        <w:t xml:space="preserve">E.coli, </w:t>
      </w:r>
      <w:r>
        <w:rPr>
          <w:rtl w:val="0"/>
          <w:lang w:val="en-US"/>
        </w:rPr>
        <w:t>and</w:t>
      </w:r>
      <w:r>
        <w:rPr>
          <w:i w:val="1"/>
          <w:iCs w:val="1"/>
          <w:rtl w:val="0"/>
          <w:lang w:val="en-US"/>
        </w:rPr>
        <w:t xml:space="preserve"> S.aureus</w:t>
      </w:r>
      <w:r>
        <w:rPr>
          <w:rtl w:val="0"/>
          <w:lang w:val="en-US"/>
        </w:rPr>
        <w:t xml:space="preserve">. Partial (alpha hemolysis) e.g: </w:t>
      </w:r>
      <w:r>
        <w:rPr>
          <w:i w:val="1"/>
          <w:iCs w:val="1"/>
          <w:rtl w:val="0"/>
          <w:lang w:val="en-US"/>
        </w:rPr>
        <w:t>S.agalactiae</w:t>
      </w:r>
      <w:r>
        <w:rPr>
          <w:rtl w:val="0"/>
          <w:lang w:val="en-US"/>
        </w:rPr>
        <w:t xml:space="preserve">. And none (gamma hemolysis) e.g: </w:t>
      </w:r>
      <w:r>
        <w:rPr>
          <w:i w:val="1"/>
          <w:iCs w:val="1"/>
          <w:rtl w:val="0"/>
          <w:lang w:val="en-US"/>
        </w:rPr>
        <w:t>S.saprophyticus</w:t>
      </w:r>
      <w:r>
        <w:rPr>
          <w:rtl w:val="0"/>
          <w:lang w:val="en-US"/>
        </w:rPr>
        <w:t xml:space="preserve">. Whereas some species such as </w:t>
      </w:r>
      <w:r>
        <w:rPr>
          <w:i w:val="1"/>
          <w:iCs w:val="1"/>
          <w:rtl w:val="0"/>
          <w:lang w:val="en-US"/>
        </w:rPr>
        <w:t>Proteus</w:t>
      </w:r>
      <w:r>
        <w:rPr>
          <w:rtl w:val="0"/>
          <w:lang w:val="en-US"/>
        </w:rPr>
        <w:t xml:space="preserve"> are very motile and produce a swarming appearance on blood agar [6].</w:t>
      </w:r>
    </w:p>
    <w:p>
      <w:pPr>
        <w:pStyle w:val="Body B"/>
        <w:spacing w:line="360" w:lineRule="auto"/>
      </w:pPr>
    </w:p>
    <w:p>
      <w:pPr>
        <w:pStyle w:val="Body B"/>
        <w:spacing w:line="360" w:lineRule="auto"/>
      </w:pPr>
      <w:r>
        <w:rPr>
          <w:rtl w:val="0"/>
          <w:lang w:val="en-US"/>
        </w:rPr>
        <w:t>Studies have shown that UTI doesn</w:t>
      </w:r>
      <w:r>
        <w:rPr>
          <w:rtl w:val="0"/>
          <w:lang w:val="en-US"/>
        </w:rPr>
        <w:t>’</w:t>
      </w:r>
      <w:r>
        <w:rPr>
          <w:rtl w:val="0"/>
          <w:lang w:val="en-US"/>
        </w:rPr>
        <w:t>t only affect a person</w:t>
      </w:r>
      <w:r>
        <w:rPr>
          <w:rtl w:val="0"/>
          <w:lang w:val="en-US"/>
        </w:rPr>
        <w:t>’</w:t>
      </w:r>
      <w:r>
        <w:rPr>
          <w:rtl w:val="0"/>
          <w:lang w:val="en-US"/>
        </w:rPr>
        <w:t xml:space="preserve">s health, but also his mental health. More than half of UTI patients suffered from clinical depression, and 38.5% suffered from anxiety, with an improvement after proper treatment and prophylaxis [4]. The aim of this study is to know the prevalence of asymptomatic bacteriuria in LIMU students, </w:t>
      </w:r>
      <w:r>
        <w:rPr>
          <w:rtl w:val="0"/>
          <w:lang w:val="it-IT"/>
        </w:rPr>
        <w:t>to determine</w:t>
      </w:r>
      <w:r>
        <w:rPr>
          <w:rtl w:val="0"/>
          <w:lang w:val="en-US"/>
        </w:rPr>
        <w:t xml:space="preserve"> the </w:t>
      </w:r>
      <w:r>
        <w:rPr>
          <w:rtl w:val="0"/>
          <w:lang w:val="fr-FR"/>
        </w:rPr>
        <w:t>association</w:t>
      </w:r>
      <w:r>
        <w:rPr>
          <w:rtl w:val="0"/>
          <w:lang w:val="en-US"/>
        </w:rPr>
        <w:t xml:space="preserve"> between asymptomatic bacteriuria and the gender, and to provide specific methods for culturing to prevent the confusion of diagnosis, consequently living a happy, healthy life.</w:t>
      </w:r>
    </w:p>
    <w:p>
      <w:pPr>
        <w:pStyle w:val="Heading"/>
        <w:spacing w:line="360" w:lineRule="auto"/>
      </w:pPr>
      <w:r>
        <w:rPr>
          <w:rtl w:val="0"/>
          <w:lang w:val="de-DE"/>
        </w:rPr>
        <w:t>Materials</w:t>
      </w:r>
      <w:r>
        <w:rPr>
          <w:rtl w:val="0"/>
          <w:lang w:val="en-US"/>
        </w:rPr>
        <w:t xml:space="preserve"> and methods: </w:t>
      </w:r>
    </w:p>
    <w:p>
      <w:pPr>
        <w:pStyle w:val="Body B"/>
        <w:spacing w:line="360" w:lineRule="auto"/>
        <w:rPr>
          <w:outline w:val="0"/>
          <w:color w:val="0d0d0d"/>
          <w:u w:color="0d0d0d"/>
          <w14:textFill>
            <w14:solidFill>
              <w14:srgbClr w14:val="0D0D0D"/>
            </w14:solidFill>
          </w14:textFill>
        </w:rPr>
      </w:pPr>
      <w:r>
        <w:rPr>
          <w:outline w:val="0"/>
          <w:color w:val="0d0d0d"/>
          <w:u w:color="0d0d0d"/>
          <w:rtl w:val="0"/>
          <w:lang w:val="en-US"/>
          <w14:textFill>
            <w14:solidFill>
              <w14:srgbClr w14:val="0D0D0D"/>
            </w14:solidFill>
          </w14:textFill>
        </w:rPr>
        <w:t xml:space="preserve">  A urine sample was obtained from the patients through midstream void in the early morning. The urine sample was collected by midstream clean catch, in which the patient should void a small amount in the toilet and then collect the rest portion in the container, therefore avoiding contamination with normal flora. After collection, the urine sample was tested within an hour, or kept for a maximum of 18 hours in a refrigerator at 4</w:t>
      </w:r>
      <w:r>
        <w:rPr>
          <w:outline w:val="0"/>
          <w:color w:val="0d0d0d"/>
          <w:u w:color="0d0d0d"/>
          <w:vertAlign w:val="superscript"/>
          <w:rtl w:val="0"/>
          <w:lang w:val="en-US"/>
          <w14:textFill>
            <w14:solidFill>
              <w14:srgbClr w14:val="0D0D0D"/>
            </w14:solidFill>
          </w14:textFill>
        </w:rPr>
        <w:t xml:space="preserve">o </w:t>
      </w:r>
      <w:r>
        <w:rPr>
          <w:outline w:val="0"/>
          <w:color w:val="0d0d0d"/>
          <w:u w:color="0d0d0d"/>
          <w:rtl w:val="0"/>
          <w:lang w:val="en-US"/>
          <w14:textFill>
            <w14:solidFill>
              <w14:srgbClr w14:val="0D0D0D"/>
            </w14:solidFill>
          </w14:textFill>
        </w:rPr>
        <w:t>C; so that the bacteria in the urine do</w:t>
      </w:r>
      <w:r>
        <w:rPr>
          <w:outline w:val="0"/>
          <w:color w:val="0d0d0d"/>
          <w:u w:color="0d0d0d"/>
          <w:rtl w:val="0"/>
          <w:lang w:val="en-US"/>
          <w14:textFill>
            <w14:solidFill>
              <w14:srgbClr w14:val="0D0D0D"/>
            </w14:solidFill>
          </w14:textFill>
        </w:rPr>
        <w:t xml:space="preserve"> not</w:t>
      </w:r>
      <w:r>
        <w:rPr>
          <w:outline w:val="0"/>
          <w:color w:val="0d0d0d"/>
          <w:u w:color="0d0d0d"/>
          <w:rtl w:val="0"/>
          <w:lang w:val="en-US"/>
          <w14:textFill>
            <w14:solidFill>
              <w14:srgbClr w14:val="0D0D0D"/>
            </w14:solidFill>
          </w14:textFill>
        </w:rPr>
        <w:t xml:space="preserve"> multiply and give a false diagnosis of UTI. For microscopic examination, urine was mixed well, and 5 to 10 ml of it was measured into a centrifugation tube. 9 parts of 10 of the supernatant was carefully removed, resulting in a 10-times concentrated sediment than the original urine sample. The sediment was then viewed under microscope with a lower magnification 100-200x, at which distribution of elements can be estimated. </w:t>
      </w:r>
      <w:r>
        <w:rPr>
          <w:outline w:val="0"/>
          <w:color w:val="0d0d0d"/>
          <w:u w:color="0d0d0d"/>
          <w:rtl w:val="0"/>
          <w:lang w:val="en-US"/>
          <w14:textFill>
            <w14:solidFill>
              <w14:srgbClr w14:val="0D0D0D"/>
            </w14:solidFill>
          </w14:textFill>
        </w:rPr>
        <w:t>M</w:t>
      </w:r>
      <w:r>
        <w:rPr>
          <w:outline w:val="0"/>
          <w:color w:val="0d0d0d"/>
          <w:u w:color="0d0d0d"/>
          <w:rtl w:val="0"/>
          <w:lang w:val="en-US"/>
          <w14:textFill>
            <w14:solidFill>
              <w14:srgbClr w14:val="0D0D0D"/>
            </w14:solidFill>
          </w14:textFill>
        </w:rPr>
        <w:t>agnification was switched to 400x, on at least 10 randomly chosen visual fields, checking for leukocytes, casts, crystals, bacteria, and RBCs.</w:t>
      </w:r>
    </w:p>
    <w:p>
      <w:pPr>
        <w:pStyle w:val="Body B"/>
        <w:spacing w:line="360" w:lineRule="auto"/>
        <w:rPr>
          <w:outline w:val="0"/>
          <w:color w:val="0d0d0d"/>
          <w:u w:color="0d0d0d"/>
          <w14:textFill>
            <w14:solidFill>
              <w14:srgbClr w14:val="0D0D0D"/>
            </w14:solidFill>
          </w14:textFill>
        </w:rPr>
      </w:pPr>
      <w:r>
        <w:rPr>
          <w:outline w:val="0"/>
          <w:color w:val="0d0d0d"/>
          <w:u w:color="0d0d0d"/>
          <w:rtl w:val="0"/>
          <w:lang w:val="en-US"/>
          <w14:textFill>
            <w14:solidFill>
              <w14:srgbClr w14:val="0D0D0D"/>
            </w14:solidFill>
          </w14:textFill>
        </w:rPr>
        <w:t>For culturing, urine was mixed well, and a wire loop of 0.01 microliter was inserted vertically into the container and kept for seconds to make sure that the urine adhered to the loop, then the urine was spread on two different agars; MacConkey and blood agar in a specific technique. The loop was touched to the centre of the plate and spread across the diameter in a line, then the loop was crossed left and right (in a zig-zag pattern) multiple times to obtain isolated colonies. The samples were incubated for 24 hours at 37</w:t>
      </w:r>
      <w:r>
        <w:rPr>
          <w:outline w:val="0"/>
          <w:color w:val="0d0d0d"/>
          <w:u w:color="0d0d0d"/>
          <w:vertAlign w:val="superscript"/>
          <w:rtl w:val="0"/>
          <w:lang w:val="en-US"/>
          <w14:textFill>
            <w14:solidFill>
              <w14:srgbClr w14:val="0D0D0D"/>
            </w14:solidFill>
          </w14:textFill>
        </w:rPr>
        <w:t xml:space="preserve">o </w:t>
      </w:r>
      <w:r>
        <w:rPr>
          <w:outline w:val="0"/>
          <w:color w:val="0d0d0d"/>
          <w:u w:color="0d0d0d"/>
          <w:rtl w:val="0"/>
          <w:lang w:val="en-US"/>
          <w14:textFill>
            <w14:solidFill>
              <w14:srgbClr w14:val="0D0D0D"/>
            </w14:solidFill>
          </w14:textFill>
        </w:rPr>
        <w:t>C, to check for visible growth and isolate microbials in UTI</w:t>
      </w:r>
      <w:r>
        <w:rPr>
          <w:outline w:val="0"/>
          <w:color w:val="0d0d0d"/>
          <w:u w:color="0d0d0d"/>
          <w:rtl w:val="0"/>
          <w:lang w:val="en-US"/>
          <w14:textFill>
            <w14:solidFill>
              <w14:srgbClr w14:val="0D0D0D"/>
            </w14:solidFill>
          </w14:textFill>
        </w:rPr>
        <w:t>’</w:t>
      </w:r>
      <w:r>
        <w:rPr>
          <w:outline w:val="0"/>
          <w:color w:val="0d0d0d"/>
          <w:u w:color="0d0d0d"/>
          <w:rtl w:val="0"/>
          <w:lang w:val="en-US"/>
          <w14:textFill>
            <w14:solidFill>
              <w14:srgbClr w14:val="0D0D0D"/>
            </w14:solidFill>
          </w14:textFill>
        </w:rPr>
        <w:t>s. Colonies on the agar in each plate were counted and the number was multiplied by 100 to determine the number of microorganisms per ml in the original sample [6].</w:t>
      </w:r>
    </w:p>
    <w:p>
      <w:pPr>
        <w:pStyle w:val="Body B"/>
        <w:spacing w:line="360" w:lineRule="auto"/>
        <w:rPr>
          <w:outline w:val="0"/>
          <w:color w:val="0d0d0d"/>
          <w:u w:color="0d0d0d"/>
          <w14:textFill>
            <w14:solidFill>
              <w14:srgbClr w14:val="0D0D0D"/>
            </w14:solidFill>
          </w14:textFill>
        </w:rPr>
      </w:pPr>
      <w:r>
        <w:rPr>
          <w:outline w:val="0"/>
          <w:color w:val="0d0d0d"/>
          <w:u w:color="0d0d0d"/>
          <w:rtl w:val="0"/>
          <w:lang w:val="en-US"/>
          <w14:textFill>
            <w14:solidFill>
              <w14:srgbClr w14:val="0D0D0D"/>
            </w14:solidFill>
          </w14:textFill>
        </w:rPr>
        <w:t>For biostatistics, IBM SPSS 25 program was used.  To determine the association between the gender and bacterial growth, fisher</w:t>
      </w:r>
      <w:r>
        <w:rPr>
          <w:outline w:val="0"/>
          <w:color w:val="0d0d0d"/>
          <w:u w:color="0d0d0d"/>
          <w:rtl w:val="0"/>
          <w:lang w:val="en-US"/>
          <w14:textFill>
            <w14:solidFill>
              <w14:srgbClr w14:val="0D0D0D"/>
            </w14:solidFill>
          </w14:textFill>
        </w:rPr>
        <w:t>’</w:t>
      </w:r>
      <w:r>
        <w:rPr>
          <w:outline w:val="0"/>
          <w:color w:val="0d0d0d"/>
          <w:u w:color="0d0d0d"/>
          <w:rtl w:val="0"/>
          <w:lang w:val="en-US"/>
          <w14:textFill>
            <w14:solidFill>
              <w14:srgbClr w14:val="0D0D0D"/>
            </w14:solidFill>
          </w14:textFill>
        </w:rPr>
        <w:t>s exact test was used.</w:t>
      </w:r>
    </w:p>
    <w:p>
      <w:pPr>
        <w:pStyle w:val="Heading"/>
        <w:spacing w:line="360" w:lineRule="auto"/>
      </w:pPr>
      <w:r>
        <w:rPr>
          <w:rtl w:val="0"/>
          <w:lang w:val="pt-PT"/>
        </w:rPr>
        <w:t>Results</w:t>
      </w:r>
      <w:r>
        <w:rPr>
          <w:rtl w:val="0"/>
          <w:lang w:val="en-US"/>
        </w:rPr>
        <w:t xml:space="preserve">: </w:t>
      </w:r>
    </w:p>
    <w:p>
      <w:pPr>
        <w:pStyle w:val="Body B"/>
        <w:spacing w:line="360" w:lineRule="auto"/>
        <w:rPr>
          <w:lang w:val="en-US"/>
        </w:rPr>
      </w:pPr>
      <w:r>
        <w:rPr>
          <w:rtl w:val="0"/>
          <w:lang w:val="en-US"/>
        </w:rPr>
        <w:t xml:space="preserve">24 samples were tested, 2 females had significant growth with </w:t>
      </w:r>
      <w:r>
        <w:rPr>
          <w:i w:val="1"/>
          <w:iCs w:val="1"/>
          <w:rtl w:val="0"/>
          <w:lang w:val="it-IT"/>
        </w:rPr>
        <w:t>Escherichia coli</w:t>
      </w:r>
      <w:r>
        <w:rPr>
          <w:i w:val="1"/>
          <w:iCs w:val="1"/>
          <w:rtl w:val="0"/>
          <w:lang w:val="en-US"/>
        </w:rPr>
        <w:t xml:space="preserve"> </w:t>
      </w:r>
      <w:r>
        <w:rPr>
          <w:rtl w:val="0"/>
          <w:lang w:val="en-US"/>
        </w:rPr>
        <w:t>species.</w:t>
      </w:r>
    </w:p>
    <w:p>
      <w:pPr>
        <w:pStyle w:val="Body B"/>
        <w:spacing w:line="360" w:lineRule="auto"/>
        <w:rPr>
          <w:lang w:val="en-US"/>
        </w:rPr>
      </w:pPr>
      <w:r>
        <w:rPr>
          <w:lang w:val="en-US"/>
        </w:rPr>
        <w:drawing xmlns:a="http://schemas.openxmlformats.org/drawingml/2006/main">
          <wp:anchor distT="152400" distB="152400" distL="152400" distR="152400" simplePos="0" relativeHeight="251660288" behindDoc="0" locked="0" layoutInCell="1" allowOverlap="1">
            <wp:simplePos x="0" y="0"/>
            <wp:positionH relativeFrom="margin">
              <wp:posOffset>-366395</wp:posOffset>
            </wp:positionH>
            <wp:positionV relativeFrom="line">
              <wp:posOffset>281105</wp:posOffset>
            </wp:positionV>
            <wp:extent cx="5756275" cy="1887855"/>
            <wp:effectExtent l="0" t="0" r="0" b="0"/>
            <wp:wrapThrough wrapText="bothSides" distL="152400" distR="152400">
              <wp:wrapPolygon edited="1">
                <wp:start x="0" y="0"/>
                <wp:lineTo x="21621" y="0"/>
                <wp:lineTo x="21621" y="21610"/>
                <wp:lineTo x="0" y="21610"/>
                <wp:lineTo x="0" y="0"/>
              </wp:wrapPolygon>
            </wp:wrapThrough>
            <wp:docPr id="1073741826" name="officeArt object" descr="Image"/>
            <wp:cNvGraphicFramePr/>
            <a:graphic xmlns:a="http://schemas.openxmlformats.org/drawingml/2006/main">
              <a:graphicData uri="http://schemas.openxmlformats.org/drawingml/2006/picture">
                <pic:pic xmlns:pic="http://schemas.openxmlformats.org/drawingml/2006/picture">
                  <pic:nvPicPr>
                    <pic:cNvPr id="1073741826" name="Image" descr="Image"/>
                    <pic:cNvPicPr>
                      <a:picLocks noChangeAspect="1"/>
                    </pic:cNvPicPr>
                  </pic:nvPicPr>
                  <pic:blipFill>
                    <a:blip r:embed="rId9">
                      <a:extLst/>
                    </a:blip>
                    <a:stretch>
                      <a:fillRect/>
                    </a:stretch>
                  </pic:blipFill>
                  <pic:spPr>
                    <a:xfrm>
                      <a:off x="0" y="0"/>
                      <a:ext cx="5756275" cy="1887855"/>
                    </a:xfrm>
                    <a:prstGeom prst="rect">
                      <a:avLst/>
                    </a:prstGeom>
                    <a:ln w="12700" cap="flat">
                      <a:noFill/>
                      <a:miter lim="400000"/>
                    </a:ln>
                    <a:effectLst/>
                  </pic:spPr>
                </pic:pic>
              </a:graphicData>
            </a:graphic>
          </wp:anchor>
        </w:drawing>
      </w:r>
    </w:p>
    <w:p>
      <w:pPr>
        <w:pStyle w:val="Body B"/>
        <w:spacing w:line="360" w:lineRule="auto"/>
        <w:rPr>
          <w:b w:val="1"/>
          <w:bCs w:val="1"/>
          <w:outline w:val="0"/>
          <w:color w:val="0d0d0d"/>
          <w:u w:color="0d0d0d"/>
          <w14:textFill>
            <w14:solidFill>
              <w14:srgbClr w14:val="0D0D0D"/>
            </w14:solidFill>
          </w14:textFill>
        </w:rPr>
      </w:pPr>
      <w:r>
        <w:rPr>
          <w:b w:val="1"/>
          <w:bCs w:val="1"/>
          <w:outline w:val="0"/>
          <w:color w:val="0d0d0d"/>
          <w:u w:color="0d0d0d"/>
          <w:rtl w:val="0"/>
          <w:lang w:val="en-US"/>
          <w14:textFill>
            <w14:solidFill>
              <w14:srgbClr w14:val="0D0D0D"/>
            </w14:solidFill>
          </w14:textFill>
        </w:rPr>
        <w:t>Table 1: p-value of Fisher</w:t>
      </w:r>
      <w:r>
        <w:rPr>
          <w:b w:val="1"/>
          <w:bCs w:val="1"/>
          <w:outline w:val="0"/>
          <w:color w:val="0d0d0d"/>
          <w:u w:color="0d0d0d"/>
          <w:rtl w:val="1"/>
          <w14:textFill>
            <w14:solidFill>
              <w14:srgbClr w14:val="0D0D0D"/>
            </w14:solidFill>
          </w14:textFill>
        </w:rPr>
        <w:t>’</w:t>
      </w:r>
      <w:r>
        <w:rPr>
          <w:b w:val="1"/>
          <w:bCs w:val="1"/>
          <w:outline w:val="0"/>
          <w:color w:val="0d0d0d"/>
          <w:u w:color="0d0d0d"/>
          <w:rtl w:val="0"/>
          <w:lang w:val="en-US"/>
          <w14:textFill>
            <w14:solidFill>
              <w14:srgbClr w14:val="0D0D0D"/>
            </w14:solidFill>
          </w14:textFill>
        </w:rPr>
        <w:t>s exact test.</w:t>
      </w:r>
    </w:p>
    <w:p>
      <w:pPr>
        <w:pStyle w:val="Body B"/>
        <w:spacing w:line="360" w:lineRule="auto"/>
        <w:rPr>
          <w:outline w:val="0"/>
          <w:color w:val="0d0d0d"/>
          <w:u w:color="0d0d0d"/>
          <w14:textFill>
            <w14:solidFill>
              <w14:srgbClr w14:val="0D0D0D"/>
            </w14:solidFill>
          </w14:textFill>
        </w:rPr>
      </w:pPr>
    </w:p>
    <w:tbl>
      <w:tblPr>
        <w:tblW w:w="7747" w:type="dxa"/>
        <w:jc w:val="left"/>
        <w:tblInd w:w="324"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1583"/>
        <w:gridCol w:w="737"/>
        <w:gridCol w:w="2337"/>
        <w:gridCol w:w="1030"/>
        <w:gridCol w:w="1030"/>
        <w:gridCol w:w="1030"/>
      </w:tblGrid>
      <w:tr>
        <w:tblPrEx>
          <w:shd w:val="clear" w:color="auto" w:fill="cadfff"/>
        </w:tblPrEx>
        <w:trPr>
          <w:trHeight w:val="253" w:hRule="atLeast"/>
        </w:trPr>
        <w:tc>
          <w:tcPr>
            <w:tcW w:type="dxa" w:w="7747"/>
            <w:gridSpan w:val="6"/>
            <w:tcBorders>
              <w:top w:val="nil"/>
              <w:left w:val="nil"/>
              <w:bottom w:val="nil"/>
              <w:right w:val="nil"/>
            </w:tcBorders>
            <w:shd w:val="clear" w:color="auto" w:fill="ffffff"/>
            <w:tcMar>
              <w:top w:type="dxa" w:w="80"/>
              <w:left w:type="dxa" w:w="140"/>
              <w:bottom w:type="dxa" w:w="80"/>
              <w:right w:type="dxa" w:w="140"/>
            </w:tcMar>
            <w:vAlign w:val="center"/>
          </w:tcPr>
          <w:p>
            <w:pPr>
              <w:pStyle w:val="Body B"/>
              <w:spacing w:line="320" w:lineRule="atLeast"/>
              <w:ind w:left="60" w:right="60" w:firstLine="0"/>
              <w:jc w:val="center"/>
            </w:pPr>
            <w:r>
              <w:rPr>
                <w:rFonts w:ascii="Arial" w:hAnsi="Arial"/>
                <w:b w:val="1"/>
                <w:bCs w:val="1"/>
                <w:outline w:val="0"/>
                <w:color w:val="010205"/>
                <w:sz w:val="22"/>
                <w:szCs w:val="22"/>
                <w:u w:color="010205"/>
                <w:shd w:val="nil" w:color="auto" w:fill="auto"/>
                <w:rtl w:val="0"/>
                <w:lang w:val="en-US"/>
                <w14:textFill>
                  <w14:solidFill>
                    <w14:srgbClr w14:val="010205"/>
                  </w14:solidFill>
                </w14:textFill>
              </w:rPr>
              <w:t>bacterialgrowth * Gender Crosstabulation</w:t>
            </w:r>
          </w:p>
        </w:tc>
      </w:tr>
      <w:tr>
        <w:tblPrEx>
          <w:shd w:val="clear" w:color="auto" w:fill="cadfff"/>
        </w:tblPrEx>
        <w:trPr>
          <w:trHeight w:val="204" w:hRule="atLeast"/>
        </w:trPr>
        <w:tc>
          <w:tcPr>
            <w:tcW w:type="dxa" w:w="4657"/>
            <w:gridSpan w:val="3"/>
            <w:vMerge w:val="restart"/>
            <w:tcBorders>
              <w:top w:val="nil"/>
              <w:left w:val="nil"/>
              <w:bottom w:val="single" w:color="152935" w:sz="8" w:space="0" w:shadow="0" w:frame="0"/>
              <w:right w:val="nil"/>
            </w:tcBorders>
            <w:shd w:val="clear" w:color="auto" w:fill="ffffff"/>
            <w:tcMar>
              <w:top w:type="dxa" w:w="80"/>
              <w:left w:type="dxa" w:w="80"/>
              <w:bottom w:type="dxa" w:w="80"/>
              <w:right w:type="dxa" w:w="80"/>
            </w:tcMar>
            <w:vAlign w:val="bottom"/>
          </w:tcPr>
          <w:p/>
        </w:tc>
        <w:tc>
          <w:tcPr>
            <w:tcW w:type="dxa" w:w="2060"/>
            <w:gridSpan w:val="2"/>
            <w:tcBorders>
              <w:top w:val="nil"/>
              <w:left w:val="nil"/>
              <w:bottom w:val="nil"/>
              <w:right w:val="single" w:color="e0e0e0" w:sz="8" w:space="0" w:shadow="0" w:frame="0"/>
            </w:tcBorders>
            <w:shd w:val="clear" w:color="auto" w:fill="ffffff"/>
            <w:tcMar>
              <w:top w:type="dxa" w:w="80"/>
              <w:left w:type="dxa" w:w="140"/>
              <w:bottom w:type="dxa" w:w="80"/>
              <w:right w:type="dxa" w:w="140"/>
            </w:tcMar>
            <w:vAlign w:val="bottom"/>
          </w:tcPr>
          <w:p>
            <w:pPr>
              <w:pStyle w:val="Body B"/>
              <w:spacing w:line="320" w:lineRule="atLeast"/>
              <w:ind w:left="60" w:right="60" w:firstLine="0"/>
              <w:jc w:val="center"/>
            </w:pPr>
            <w:r>
              <w:rPr>
                <w:rFonts w:ascii="Arial" w:hAnsi="Arial"/>
                <w:outline w:val="0"/>
                <w:color w:val="264a60"/>
                <w:sz w:val="18"/>
                <w:szCs w:val="18"/>
                <w:u w:color="264a60"/>
                <w:shd w:val="nil" w:color="auto" w:fill="auto"/>
                <w:rtl w:val="0"/>
                <w:lang w:val="en-US"/>
                <w14:textFill>
                  <w14:solidFill>
                    <w14:srgbClr w14:val="264A60"/>
                  </w14:solidFill>
                </w14:textFill>
              </w:rPr>
              <w:t>Gender</w:t>
            </w:r>
          </w:p>
        </w:tc>
        <w:tc>
          <w:tcPr>
            <w:tcW w:type="dxa" w:w="1030"/>
            <w:vMerge w:val="restart"/>
            <w:tcBorders>
              <w:top w:val="nil"/>
              <w:left w:val="single" w:color="e0e0e0" w:sz="8" w:space="0" w:shadow="0" w:frame="0"/>
              <w:bottom w:val="single" w:color="152935" w:sz="8" w:space="0" w:shadow="0" w:frame="0"/>
              <w:right w:val="nil"/>
            </w:tcBorders>
            <w:shd w:val="clear" w:color="auto" w:fill="ffffff"/>
            <w:tcMar>
              <w:top w:type="dxa" w:w="80"/>
              <w:left w:type="dxa" w:w="140"/>
              <w:bottom w:type="dxa" w:w="80"/>
              <w:right w:type="dxa" w:w="140"/>
            </w:tcMar>
            <w:vAlign w:val="bottom"/>
          </w:tcPr>
          <w:p>
            <w:pPr>
              <w:pStyle w:val="Body B"/>
              <w:spacing w:line="320" w:lineRule="atLeast"/>
              <w:ind w:left="60" w:right="60" w:firstLine="0"/>
              <w:jc w:val="center"/>
            </w:pPr>
            <w:r>
              <w:rPr>
                <w:rFonts w:ascii="Arial" w:hAnsi="Arial"/>
                <w:outline w:val="0"/>
                <w:color w:val="264a60"/>
                <w:sz w:val="18"/>
                <w:szCs w:val="18"/>
                <w:u w:color="264a60"/>
                <w:shd w:val="nil" w:color="auto" w:fill="auto"/>
                <w:rtl w:val="0"/>
                <w:lang w:val="en-US"/>
                <w14:textFill>
                  <w14:solidFill>
                    <w14:srgbClr w14:val="264A60"/>
                  </w14:solidFill>
                </w14:textFill>
              </w:rPr>
              <w:t>Total</w:t>
            </w:r>
          </w:p>
        </w:tc>
      </w:tr>
      <w:tr>
        <w:tblPrEx>
          <w:shd w:val="clear" w:color="auto" w:fill="cadfff"/>
        </w:tblPrEx>
        <w:trPr>
          <w:trHeight w:val="204" w:hRule="atLeast"/>
        </w:trPr>
        <w:tc>
          <w:tcPr>
            <w:tcW w:type="dxa" w:w="4657"/>
            <w:gridSpan w:val="3"/>
            <w:vMerge w:val="continue"/>
            <w:tcBorders>
              <w:top w:val="nil"/>
              <w:left w:val="nil"/>
              <w:bottom w:val="single" w:color="152935" w:sz="8" w:space="0" w:shadow="0" w:frame="0"/>
              <w:right w:val="nil"/>
            </w:tcBorders>
            <w:shd w:val="clear" w:color="auto" w:fill="ffffff"/>
          </w:tcPr>
          <w:p/>
        </w:tc>
        <w:tc>
          <w:tcPr>
            <w:tcW w:type="dxa" w:w="1030"/>
            <w:tcBorders>
              <w:top w:val="nil"/>
              <w:left w:val="nil"/>
              <w:bottom w:val="single" w:color="152935" w:sz="8" w:space="0" w:shadow="0" w:frame="0"/>
              <w:right w:val="single" w:color="e0e0e0" w:sz="8" w:space="0" w:shadow="0" w:frame="0"/>
            </w:tcBorders>
            <w:shd w:val="clear" w:color="auto" w:fill="ffffff"/>
            <w:tcMar>
              <w:top w:type="dxa" w:w="80"/>
              <w:left w:type="dxa" w:w="140"/>
              <w:bottom w:type="dxa" w:w="80"/>
              <w:right w:type="dxa" w:w="140"/>
            </w:tcMar>
            <w:vAlign w:val="bottom"/>
          </w:tcPr>
          <w:p>
            <w:pPr>
              <w:pStyle w:val="Body B"/>
              <w:spacing w:line="320" w:lineRule="atLeast"/>
              <w:ind w:left="60" w:right="60" w:firstLine="0"/>
              <w:jc w:val="center"/>
            </w:pPr>
            <w:r>
              <w:rPr>
                <w:rFonts w:ascii="Arial" w:hAnsi="Arial"/>
                <w:outline w:val="0"/>
                <w:color w:val="264a60"/>
                <w:sz w:val="18"/>
                <w:szCs w:val="18"/>
                <w:u w:color="264a60"/>
                <w:shd w:val="nil" w:color="auto" w:fill="auto"/>
                <w:rtl w:val="0"/>
                <w:lang w:val="en-US"/>
                <w14:textFill>
                  <w14:solidFill>
                    <w14:srgbClr w14:val="264A60"/>
                  </w14:solidFill>
                </w14:textFill>
              </w:rPr>
              <w:t>Male</w:t>
            </w:r>
          </w:p>
        </w:tc>
        <w:tc>
          <w:tcPr>
            <w:tcW w:type="dxa" w:w="1030"/>
            <w:tcBorders>
              <w:top w:val="nil"/>
              <w:left w:val="single" w:color="e0e0e0" w:sz="8" w:space="0" w:shadow="0" w:frame="0"/>
              <w:bottom w:val="single" w:color="152935" w:sz="8" w:space="0" w:shadow="0" w:frame="0"/>
              <w:right w:val="single" w:color="e0e0e0" w:sz="8" w:space="0" w:shadow="0" w:frame="0"/>
            </w:tcBorders>
            <w:shd w:val="clear" w:color="auto" w:fill="ffffff"/>
            <w:tcMar>
              <w:top w:type="dxa" w:w="80"/>
              <w:left w:type="dxa" w:w="140"/>
              <w:bottom w:type="dxa" w:w="80"/>
              <w:right w:type="dxa" w:w="140"/>
            </w:tcMar>
            <w:vAlign w:val="bottom"/>
          </w:tcPr>
          <w:p>
            <w:pPr>
              <w:pStyle w:val="Body B"/>
              <w:spacing w:line="320" w:lineRule="atLeast"/>
              <w:ind w:left="60" w:right="60" w:firstLine="0"/>
              <w:jc w:val="center"/>
            </w:pPr>
            <w:r>
              <w:rPr>
                <w:rFonts w:ascii="Arial" w:hAnsi="Arial"/>
                <w:outline w:val="0"/>
                <w:color w:val="264a60"/>
                <w:sz w:val="18"/>
                <w:szCs w:val="18"/>
                <w:u w:color="264a60"/>
                <w:shd w:val="nil" w:color="auto" w:fill="auto"/>
                <w:rtl w:val="0"/>
                <w:lang w:val="en-US"/>
                <w14:textFill>
                  <w14:solidFill>
                    <w14:srgbClr w14:val="264A60"/>
                  </w14:solidFill>
                </w14:textFill>
              </w:rPr>
              <w:t>Female</w:t>
            </w:r>
          </w:p>
        </w:tc>
        <w:tc>
          <w:tcPr>
            <w:tcW w:type="dxa" w:w="1030"/>
            <w:vMerge w:val="continue"/>
            <w:tcBorders>
              <w:top w:val="nil"/>
              <w:left w:val="single" w:color="e0e0e0" w:sz="8" w:space="0" w:shadow="0" w:frame="0"/>
              <w:bottom w:val="single" w:color="152935" w:sz="8" w:space="0" w:shadow="0" w:frame="0"/>
              <w:right w:val="nil"/>
            </w:tcBorders>
            <w:shd w:val="clear" w:color="auto" w:fill="ffffff"/>
          </w:tcPr>
          <w:p/>
        </w:tc>
      </w:tr>
      <w:tr>
        <w:tblPrEx>
          <w:shd w:val="clear" w:color="auto" w:fill="cadfff"/>
        </w:tblPrEx>
        <w:trPr>
          <w:trHeight w:val="254" w:hRule="atLeast"/>
        </w:trPr>
        <w:tc>
          <w:tcPr>
            <w:tcW w:type="dxa" w:w="1583"/>
            <w:vMerge w:val="restart"/>
            <w:tcBorders>
              <w:top w:val="single" w:color="152935" w:sz="8" w:space="0" w:shadow="0" w:frame="0"/>
              <w:left w:val="nil"/>
              <w:bottom w:val="single" w:color="aeaeae" w:sz="8" w:space="0" w:shadow="0" w:frame="0"/>
              <w:right w:val="nil"/>
            </w:tcBorders>
            <w:shd w:val="clear" w:color="auto" w:fill="e0e0e0"/>
            <w:tcMar>
              <w:top w:type="dxa" w:w="80"/>
              <w:left w:type="dxa" w:w="140"/>
              <w:bottom w:type="dxa" w:w="80"/>
              <w:right w:type="dxa" w:w="140"/>
            </w:tcMar>
            <w:vAlign w:val="top"/>
          </w:tcPr>
          <w:p>
            <w:pPr>
              <w:pStyle w:val="Body B"/>
              <w:spacing w:line="320" w:lineRule="atLeast"/>
              <w:ind w:left="60" w:right="60" w:firstLine="0"/>
            </w:pPr>
            <w:r>
              <w:rPr>
                <w:rFonts w:ascii="Arial" w:hAnsi="Arial"/>
                <w:outline w:val="0"/>
                <w:color w:val="264a60"/>
                <w:sz w:val="18"/>
                <w:szCs w:val="18"/>
                <w:u w:color="264a60"/>
                <w:shd w:val="nil" w:color="auto" w:fill="auto"/>
                <w:rtl w:val="0"/>
                <w:lang w:val="en-US"/>
                <w14:textFill>
                  <w14:solidFill>
                    <w14:srgbClr w14:val="264A60"/>
                  </w14:solidFill>
                </w14:textFill>
              </w:rPr>
              <w:t>Bacterial growth</w:t>
            </w:r>
          </w:p>
        </w:tc>
        <w:tc>
          <w:tcPr>
            <w:tcW w:type="dxa" w:w="737"/>
            <w:vMerge w:val="restart"/>
            <w:tcBorders>
              <w:top w:val="single" w:color="152935" w:sz="8" w:space="0" w:shadow="0" w:frame="0"/>
              <w:left w:val="nil"/>
              <w:bottom w:val="single" w:color="aeaeae" w:sz="8" w:space="0" w:shadow="0" w:frame="0"/>
              <w:right w:val="nil"/>
            </w:tcBorders>
            <w:shd w:val="clear" w:color="auto" w:fill="e0e0e0"/>
            <w:tcMar>
              <w:top w:type="dxa" w:w="80"/>
              <w:left w:type="dxa" w:w="140"/>
              <w:bottom w:type="dxa" w:w="80"/>
              <w:right w:type="dxa" w:w="140"/>
            </w:tcMar>
            <w:vAlign w:val="top"/>
          </w:tcPr>
          <w:p>
            <w:pPr>
              <w:pStyle w:val="Body B"/>
              <w:spacing w:line="320" w:lineRule="atLeast"/>
              <w:ind w:left="60" w:right="60" w:firstLine="0"/>
            </w:pPr>
            <w:r>
              <w:rPr>
                <w:rFonts w:ascii="Arial" w:hAnsi="Arial"/>
                <w:outline w:val="0"/>
                <w:color w:val="264a60"/>
                <w:sz w:val="18"/>
                <w:szCs w:val="18"/>
                <w:u w:color="264a60"/>
                <w:shd w:val="nil" w:color="auto" w:fill="auto"/>
                <w:rtl w:val="0"/>
                <w:lang w:val="en-US"/>
                <w14:textFill>
                  <w14:solidFill>
                    <w14:srgbClr w14:val="264A60"/>
                  </w14:solidFill>
                </w14:textFill>
              </w:rPr>
              <w:t>1</w:t>
            </w:r>
          </w:p>
        </w:tc>
        <w:tc>
          <w:tcPr>
            <w:tcW w:type="dxa" w:w="2337"/>
            <w:tcBorders>
              <w:top w:val="single" w:color="152935" w:sz="8" w:space="0" w:shadow="0" w:frame="0"/>
              <w:left w:val="nil"/>
              <w:bottom w:val="single" w:color="aeaeae" w:sz="8" w:space="0" w:shadow="0" w:frame="0"/>
              <w:right w:val="nil"/>
            </w:tcBorders>
            <w:shd w:val="clear" w:color="auto" w:fill="e0e0e0"/>
            <w:tcMar>
              <w:top w:type="dxa" w:w="80"/>
              <w:left w:type="dxa" w:w="140"/>
              <w:bottom w:type="dxa" w:w="80"/>
              <w:right w:type="dxa" w:w="140"/>
            </w:tcMar>
            <w:vAlign w:val="top"/>
          </w:tcPr>
          <w:p>
            <w:pPr>
              <w:pStyle w:val="Body B"/>
              <w:spacing w:line="320" w:lineRule="atLeast"/>
              <w:ind w:left="60" w:right="60" w:firstLine="0"/>
            </w:pPr>
            <w:r>
              <w:rPr>
                <w:rFonts w:ascii="Arial" w:hAnsi="Arial"/>
                <w:outline w:val="0"/>
                <w:color w:val="264a60"/>
                <w:sz w:val="18"/>
                <w:szCs w:val="18"/>
                <w:u w:color="264a60"/>
                <w:shd w:val="nil" w:color="auto" w:fill="auto"/>
                <w:rtl w:val="0"/>
                <w:lang w:val="en-US"/>
                <w14:textFill>
                  <w14:solidFill>
                    <w14:srgbClr w14:val="264A60"/>
                  </w14:solidFill>
                </w14:textFill>
              </w:rPr>
              <w:t>Count</w:t>
            </w:r>
          </w:p>
        </w:tc>
        <w:tc>
          <w:tcPr>
            <w:tcW w:type="dxa" w:w="1030"/>
            <w:tcBorders>
              <w:top w:val="single" w:color="152935" w:sz="8" w:space="0" w:shadow="0" w:frame="0"/>
              <w:left w:val="nil"/>
              <w:bottom w:val="single" w:color="aeaeae"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9</w:t>
            </w:r>
          </w:p>
        </w:tc>
        <w:tc>
          <w:tcPr>
            <w:tcW w:type="dxa" w:w="1030"/>
            <w:tcBorders>
              <w:top w:val="single" w:color="152935" w:sz="8" w:space="0" w:shadow="0" w:frame="0"/>
              <w:left w:val="single" w:color="e0e0e0" w:sz="8" w:space="0" w:shadow="0" w:frame="0"/>
              <w:bottom w:val="single" w:color="aeaeae"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2</w:t>
            </w:r>
          </w:p>
        </w:tc>
        <w:tc>
          <w:tcPr>
            <w:tcW w:type="dxa" w:w="1030"/>
            <w:tcBorders>
              <w:top w:val="single" w:color="152935" w:sz="8" w:space="0" w:shadow="0" w:frame="0"/>
              <w:left w:val="single" w:color="e0e0e0" w:sz="8" w:space="0" w:shadow="0" w:frame="0"/>
              <w:bottom w:val="single" w:color="aeaeae" w:sz="8" w:space="0" w:shadow="0" w:frame="0"/>
              <w:right w:val="nil"/>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11</w:t>
            </w:r>
          </w:p>
        </w:tc>
      </w:tr>
      <w:tr>
        <w:tblPrEx>
          <w:shd w:val="clear" w:color="auto" w:fill="cadfff"/>
        </w:tblPrEx>
        <w:trPr>
          <w:trHeight w:val="254" w:hRule="atLeast"/>
        </w:trPr>
        <w:tc>
          <w:tcPr>
            <w:tcW w:type="dxa" w:w="1583"/>
            <w:vMerge w:val="continue"/>
            <w:tcBorders>
              <w:top w:val="single" w:color="152935" w:sz="8" w:space="0" w:shadow="0" w:frame="0"/>
              <w:left w:val="nil"/>
              <w:bottom w:val="single" w:color="aeaeae" w:sz="8" w:space="0" w:shadow="0" w:frame="0"/>
              <w:right w:val="nil"/>
            </w:tcBorders>
            <w:shd w:val="clear" w:color="auto" w:fill="e0e0e0"/>
          </w:tcPr>
          <w:p/>
        </w:tc>
        <w:tc>
          <w:tcPr>
            <w:tcW w:type="dxa" w:w="737"/>
            <w:vMerge w:val="continue"/>
            <w:tcBorders>
              <w:top w:val="single" w:color="152935" w:sz="8" w:space="0" w:shadow="0" w:frame="0"/>
              <w:left w:val="nil"/>
              <w:bottom w:val="single" w:color="aeaeae" w:sz="8" w:space="0" w:shadow="0" w:frame="0"/>
              <w:right w:val="nil"/>
            </w:tcBorders>
            <w:shd w:val="clear" w:color="auto" w:fill="e0e0e0"/>
          </w:tcPr>
          <w:p/>
        </w:tc>
        <w:tc>
          <w:tcPr>
            <w:tcW w:type="dxa" w:w="2337"/>
            <w:tcBorders>
              <w:top w:val="single" w:color="aeaeae" w:sz="8" w:space="0" w:shadow="0" w:frame="0"/>
              <w:left w:val="nil"/>
              <w:bottom w:val="single" w:color="aeaeae" w:sz="8" w:space="0" w:shadow="0" w:frame="0"/>
              <w:right w:val="nil"/>
            </w:tcBorders>
            <w:shd w:val="clear" w:color="auto" w:fill="e0e0e0"/>
            <w:tcMar>
              <w:top w:type="dxa" w:w="80"/>
              <w:left w:type="dxa" w:w="140"/>
              <w:bottom w:type="dxa" w:w="80"/>
              <w:right w:type="dxa" w:w="140"/>
            </w:tcMar>
            <w:vAlign w:val="top"/>
          </w:tcPr>
          <w:p>
            <w:pPr>
              <w:pStyle w:val="Body B"/>
              <w:spacing w:line="320" w:lineRule="atLeast"/>
              <w:ind w:left="60" w:right="60" w:firstLine="0"/>
            </w:pPr>
            <w:r>
              <w:rPr>
                <w:rFonts w:ascii="Arial" w:hAnsi="Arial"/>
                <w:outline w:val="0"/>
                <w:color w:val="264a60"/>
                <w:sz w:val="18"/>
                <w:szCs w:val="18"/>
                <w:u w:color="264a60"/>
                <w:shd w:val="nil" w:color="auto" w:fill="auto"/>
                <w:rtl w:val="0"/>
                <w:lang w:val="en-US"/>
                <w14:textFill>
                  <w14:solidFill>
                    <w14:srgbClr w14:val="264A60"/>
                  </w14:solidFill>
                </w14:textFill>
              </w:rPr>
              <w:t>% within bacterial growth</w:t>
            </w:r>
          </w:p>
        </w:tc>
        <w:tc>
          <w:tcPr>
            <w:tcW w:type="dxa" w:w="1030"/>
            <w:tcBorders>
              <w:top w:val="single" w:color="aeaeae" w:sz="8" w:space="0" w:shadow="0" w:frame="0"/>
              <w:left w:val="nil"/>
              <w:bottom w:val="single" w:color="aeaeae"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81.8%</w:t>
            </w:r>
          </w:p>
        </w:tc>
        <w:tc>
          <w:tcPr>
            <w:tcW w:type="dxa" w:w="1030"/>
            <w:tcBorders>
              <w:top w:val="single" w:color="aeaeae" w:sz="8" w:space="0" w:shadow="0" w:frame="0"/>
              <w:left w:val="single" w:color="e0e0e0" w:sz="8" w:space="0" w:shadow="0" w:frame="0"/>
              <w:bottom w:val="single" w:color="aeaeae"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18.2%</w:t>
            </w:r>
          </w:p>
        </w:tc>
        <w:tc>
          <w:tcPr>
            <w:tcW w:type="dxa" w:w="1030"/>
            <w:tcBorders>
              <w:top w:val="single" w:color="aeaeae" w:sz="8" w:space="0" w:shadow="0" w:frame="0"/>
              <w:left w:val="single" w:color="e0e0e0" w:sz="8" w:space="0" w:shadow="0" w:frame="0"/>
              <w:bottom w:val="single" w:color="aeaeae" w:sz="8" w:space="0" w:shadow="0" w:frame="0"/>
              <w:right w:val="nil"/>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100.0%</w:t>
            </w:r>
          </w:p>
        </w:tc>
      </w:tr>
      <w:tr>
        <w:tblPrEx>
          <w:shd w:val="clear" w:color="auto" w:fill="cadfff"/>
        </w:tblPrEx>
        <w:trPr>
          <w:trHeight w:val="254" w:hRule="atLeast"/>
        </w:trPr>
        <w:tc>
          <w:tcPr>
            <w:tcW w:type="dxa" w:w="1583"/>
            <w:vMerge w:val="continue"/>
            <w:tcBorders>
              <w:top w:val="single" w:color="152935" w:sz="8" w:space="0" w:shadow="0" w:frame="0"/>
              <w:left w:val="nil"/>
              <w:bottom w:val="single" w:color="aeaeae" w:sz="8" w:space="0" w:shadow="0" w:frame="0"/>
              <w:right w:val="nil"/>
            </w:tcBorders>
            <w:shd w:val="clear" w:color="auto" w:fill="e0e0e0"/>
          </w:tcPr>
          <w:p/>
        </w:tc>
        <w:tc>
          <w:tcPr>
            <w:tcW w:type="dxa" w:w="737"/>
            <w:vMerge w:val="continue"/>
            <w:tcBorders>
              <w:top w:val="single" w:color="152935" w:sz="8" w:space="0" w:shadow="0" w:frame="0"/>
              <w:left w:val="nil"/>
              <w:bottom w:val="single" w:color="aeaeae" w:sz="8" w:space="0" w:shadow="0" w:frame="0"/>
              <w:right w:val="nil"/>
            </w:tcBorders>
            <w:shd w:val="clear" w:color="auto" w:fill="e0e0e0"/>
          </w:tcPr>
          <w:p/>
        </w:tc>
        <w:tc>
          <w:tcPr>
            <w:tcW w:type="dxa" w:w="2337"/>
            <w:tcBorders>
              <w:top w:val="single" w:color="aeaeae" w:sz="8" w:space="0" w:shadow="0" w:frame="0"/>
              <w:left w:val="nil"/>
              <w:bottom w:val="single" w:color="aeaeae" w:sz="8" w:space="0" w:shadow="0" w:frame="0"/>
              <w:right w:val="nil"/>
            </w:tcBorders>
            <w:shd w:val="clear" w:color="auto" w:fill="e0e0e0"/>
            <w:tcMar>
              <w:top w:type="dxa" w:w="80"/>
              <w:left w:type="dxa" w:w="140"/>
              <w:bottom w:type="dxa" w:w="80"/>
              <w:right w:type="dxa" w:w="140"/>
            </w:tcMar>
            <w:vAlign w:val="top"/>
          </w:tcPr>
          <w:p>
            <w:pPr>
              <w:pStyle w:val="Body B"/>
              <w:spacing w:line="320" w:lineRule="atLeast"/>
              <w:ind w:left="60" w:right="60" w:firstLine="0"/>
            </w:pPr>
            <w:r>
              <w:rPr>
                <w:rFonts w:ascii="Arial" w:hAnsi="Arial"/>
                <w:outline w:val="0"/>
                <w:color w:val="264a60"/>
                <w:sz w:val="18"/>
                <w:szCs w:val="18"/>
                <w:u w:color="264a60"/>
                <w:shd w:val="nil" w:color="auto" w:fill="auto"/>
                <w:rtl w:val="0"/>
                <w:lang w:val="en-US"/>
                <w14:textFill>
                  <w14:solidFill>
                    <w14:srgbClr w14:val="264A60"/>
                  </w14:solidFill>
                </w14:textFill>
              </w:rPr>
              <w:t>% within Gender</w:t>
            </w:r>
          </w:p>
        </w:tc>
        <w:tc>
          <w:tcPr>
            <w:tcW w:type="dxa" w:w="1030"/>
            <w:tcBorders>
              <w:top w:val="single" w:color="aeaeae" w:sz="8" w:space="0" w:shadow="0" w:frame="0"/>
              <w:left w:val="nil"/>
              <w:bottom w:val="single" w:color="aeaeae"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75.0%</w:t>
            </w:r>
          </w:p>
        </w:tc>
        <w:tc>
          <w:tcPr>
            <w:tcW w:type="dxa" w:w="1030"/>
            <w:tcBorders>
              <w:top w:val="single" w:color="aeaeae" w:sz="8" w:space="0" w:shadow="0" w:frame="0"/>
              <w:left w:val="single" w:color="e0e0e0" w:sz="8" w:space="0" w:shadow="0" w:frame="0"/>
              <w:bottom w:val="single" w:color="aeaeae"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16.7%</w:t>
            </w:r>
          </w:p>
        </w:tc>
        <w:tc>
          <w:tcPr>
            <w:tcW w:type="dxa" w:w="1030"/>
            <w:tcBorders>
              <w:top w:val="single" w:color="aeaeae" w:sz="8" w:space="0" w:shadow="0" w:frame="0"/>
              <w:left w:val="single" w:color="e0e0e0" w:sz="8" w:space="0" w:shadow="0" w:frame="0"/>
              <w:bottom w:val="single" w:color="aeaeae" w:sz="8" w:space="0" w:shadow="0" w:frame="0"/>
              <w:right w:val="nil"/>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45.8%</w:t>
            </w:r>
          </w:p>
        </w:tc>
      </w:tr>
      <w:tr>
        <w:tblPrEx>
          <w:shd w:val="clear" w:color="auto" w:fill="cadfff"/>
        </w:tblPrEx>
        <w:trPr>
          <w:trHeight w:val="254" w:hRule="atLeast"/>
        </w:trPr>
        <w:tc>
          <w:tcPr>
            <w:tcW w:type="dxa" w:w="1583"/>
            <w:vMerge w:val="continue"/>
            <w:tcBorders>
              <w:top w:val="single" w:color="152935" w:sz="8" w:space="0" w:shadow="0" w:frame="0"/>
              <w:left w:val="nil"/>
              <w:bottom w:val="single" w:color="aeaeae" w:sz="8" w:space="0" w:shadow="0" w:frame="0"/>
              <w:right w:val="nil"/>
            </w:tcBorders>
            <w:shd w:val="clear" w:color="auto" w:fill="e0e0e0"/>
          </w:tcPr>
          <w:p/>
        </w:tc>
        <w:tc>
          <w:tcPr>
            <w:tcW w:type="dxa" w:w="737"/>
            <w:vMerge w:val="restart"/>
            <w:tcBorders>
              <w:top w:val="single" w:color="aeaeae" w:sz="8" w:space="0" w:shadow="0" w:frame="0"/>
              <w:left w:val="nil"/>
              <w:bottom w:val="single" w:color="aeaeae" w:sz="8" w:space="0" w:shadow="0" w:frame="0"/>
              <w:right w:val="nil"/>
            </w:tcBorders>
            <w:shd w:val="clear" w:color="auto" w:fill="e0e0e0"/>
            <w:tcMar>
              <w:top w:type="dxa" w:w="80"/>
              <w:left w:type="dxa" w:w="140"/>
              <w:bottom w:type="dxa" w:w="80"/>
              <w:right w:type="dxa" w:w="140"/>
            </w:tcMar>
            <w:vAlign w:val="top"/>
          </w:tcPr>
          <w:p>
            <w:pPr>
              <w:pStyle w:val="Body B"/>
              <w:spacing w:line="320" w:lineRule="atLeast"/>
              <w:ind w:left="60" w:right="60" w:firstLine="0"/>
            </w:pPr>
            <w:r>
              <w:rPr>
                <w:rFonts w:ascii="Arial" w:hAnsi="Arial"/>
                <w:outline w:val="0"/>
                <w:color w:val="264a60"/>
                <w:sz w:val="18"/>
                <w:szCs w:val="18"/>
                <w:u w:color="264a60"/>
                <w:shd w:val="nil" w:color="auto" w:fill="auto"/>
                <w:rtl w:val="0"/>
                <w:lang w:val="en-US"/>
                <w14:textFill>
                  <w14:solidFill>
                    <w14:srgbClr w14:val="264A60"/>
                  </w14:solidFill>
                </w14:textFill>
              </w:rPr>
              <w:t>2</w:t>
            </w:r>
          </w:p>
        </w:tc>
        <w:tc>
          <w:tcPr>
            <w:tcW w:type="dxa" w:w="2337"/>
            <w:tcBorders>
              <w:top w:val="single" w:color="aeaeae" w:sz="8" w:space="0" w:shadow="0" w:frame="0"/>
              <w:left w:val="nil"/>
              <w:bottom w:val="single" w:color="aeaeae" w:sz="8" w:space="0" w:shadow="0" w:frame="0"/>
              <w:right w:val="nil"/>
            </w:tcBorders>
            <w:shd w:val="clear" w:color="auto" w:fill="e0e0e0"/>
            <w:tcMar>
              <w:top w:type="dxa" w:w="80"/>
              <w:left w:type="dxa" w:w="140"/>
              <w:bottom w:type="dxa" w:w="80"/>
              <w:right w:type="dxa" w:w="140"/>
            </w:tcMar>
            <w:vAlign w:val="top"/>
          </w:tcPr>
          <w:p>
            <w:pPr>
              <w:pStyle w:val="Body B"/>
              <w:spacing w:line="320" w:lineRule="atLeast"/>
              <w:ind w:left="60" w:right="60" w:firstLine="0"/>
            </w:pPr>
            <w:r>
              <w:rPr>
                <w:rFonts w:ascii="Arial" w:hAnsi="Arial"/>
                <w:outline w:val="0"/>
                <w:color w:val="264a60"/>
                <w:sz w:val="18"/>
                <w:szCs w:val="18"/>
                <w:u w:color="264a60"/>
                <w:shd w:val="nil" w:color="auto" w:fill="auto"/>
                <w:rtl w:val="0"/>
                <w:lang w:val="en-US"/>
                <w14:textFill>
                  <w14:solidFill>
                    <w14:srgbClr w14:val="264A60"/>
                  </w14:solidFill>
                </w14:textFill>
              </w:rPr>
              <w:t>Count</w:t>
            </w:r>
          </w:p>
        </w:tc>
        <w:tc>
          <w:tcPr>
            <w:tcW w:type="dxa" w:w="1030"/>
            <w:tcBorders>
              <w:top w:val="single" w:color="aeaeae" w:sz="8" w:space="0" w:shadow="0" w:frame="0"/>
              <w:left w:val="nil"/>
              <w:bottom w:val="single" w:color="aeaeae"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3</w:t>
            </w:r>
          </w:p>
        </w:tc>
        <w:tc>
          <w:tcPr>
            <w:tcW w:type="dxa" w:w="1030"/>
            <w:tcBorders>
              <w:top w:val="single" w:color="aeaeae" w:sz="8" w:space="0" w:shadow="0" w:frame="0"/>
              <w:left w:val="single" w:color="e0e0e0" w:sz="8" w:space="0" w:shadow="0" w:frame="0"/>
              <w:bottom w:val="single" w:color="aeaeae"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8</w:t>
            </w:r>
          </w:p>
        </w:tc>
        <w:tc>
          <w:tcPr>
            <w:tcW w:type="dxa" w:w="1030"/>
            <w:tcBorders>
              <w:top w:val="single" w:color="aeaeae" w:sz="8" w:space="0" w:shadow="0" w:frame="0"/>
              <w:left w:val="single" w:color="e0e0e0" w:sz="8" w:space="0" w:shadow="0" w:frame="0"/>
              <w:bottom w:val="single" w:color="aeaeae" w:sz="8" w:space="0" w:shadow="0" w:frame="0"/>
              <w:right w:val="nil"/>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11</w:t>
            </w:r>
          </w:p>
        </w:tc>
      </w:tr>
      <w:tr>
        <w:tblPrEx>
          <w:shd w:val="clear" w:color="auto" w:fill="cadfff"/>
        </w:tblPrEx>
        <w:trPr>
          <w:trHeight w:val="254" w:hRule="atLeast"/>
        </w:trPr>
        <w:tc>
          <w:tcPr>
            <w:tcW w:type="dxa" w:w="1583"/>
            <w:vMerge w:val="continue"/>
            <w:tcBorders>
              <w:top w:val="single" w:color="152935" w:sz="8" w:space="0" w:shadow="0" w:frame="0"/>
              <w:left w:val="nil"/>
              <w:bottom w:val="single" w:color="aeaeae" w:sz="8" w:space="0" w:shadow="0" w:frame="0"/>
              <w:right w:val="nil"/>
            </w:tcBorders>
            <w:shd w:val="clear" w:color="auto" w:fill="e0e0e0"/>
          </w:tcPr>
          <w:p/>
        </w:tc>
        <w:tc>
          <w:tcPr>
            <w:tcW w:type="dxa" w:w="737"/>
            <w:vMerge w:val="continue"/>
            <w:tcBorders>
              <w:top w:val="single" w:color="aeaeae" w:sz="8" w:space="0" w:shadow="0" w:frame="0"/>
              <w:left w:val="nil"/>
              <w:bottom w:val="single" w:color="aeaeae" w:sz="8" w:space="0" w:shadow="0" w:frame="0"/>
              <w:right w:val="nil"/>
            </w:tcBorders>
            <w:shd w:val="clear" w:color="auto" w:fill="e0e0e0"/>
          </w:tcPr>
          <w:p/>
        </w:tc>
        <w:tc>
          <w:tcPr>
            <w:tcW w:type="dxa" w:w="2337"/>
            <w:tcBorders>
              <w:top w:val="single" w:color="aeaeae" w:sz="8" w:space="0" w:shadow="0" w:frame="0"/>
              <w:left w:val="nil"/>
              <w:bottom w:val="single" w:color="aeaeae" w:sz="8" w:space="0" w:shadow="0" w:frame="0"/>
              <w:right w:val="nil"/>
            </w:tcBorders>
            <w:shd w:val="clear" w:color="auto" w:fill="e0e0e0"/>
            <w:tcMar>
              <w:top w:type="dxa" w:w="80"/>
              <w:left w:type="dxa" w:w="140"/>
              <w:bottom w:type="dxa" w:w="80"/>
              <w:right w:type="dxa" w:w="140"/>
            </w:tcMar>
            <w:vAlign w:val="top"/>
          </w:tcPr>
          <w:p>
            <w:pPr>
              <w:pStyle w:val="Body B"/>
              <w:spacing w:line="320" w:lineRule="atLeast"/>
              <w:ind w:left="60" w:right="60" w:firstLine="0"/>
            </w:pPr>
            <w:r>
              <w:rPr>
                <w:rFonts w:ascii="Arial" w:hAnsi="Arial"/>
                <w:outline w:val="0"/>
                <w:color w:val="264a60"/>
                <w:sz w:val="18"/>
                <w:szCs w:val="18"/>
                <w:u w:color="264a60"/>
                <w:shd w:val="nil" w:color="auto" w:fill="auto"/>
                <w:rtl w:val="0"/>
                <w:lang w:val="en-US"/>
                <w14:textFill>
                  <w14:solidFill>
                    <w14:srgbClr w14:val="264A60"/>
                  </w14:solidFill>
                </w14:textFill>
              </w:rPr>
              <w:t>% within bacterial growth</w:t>
            </w:r>
          </w:p>
        </w:tc>
        <w:tc>
          <w:tcPr>
            <w:tcW w:type="dxa" w:w="1030"/>
            <w:tcBorders>
              <w:top w:val="single" w:color="aeaeae" w:sz="8" w:space="0" w:shadow="0" w:frame="0"/>
              <w:left w:val="nil"/>
              <w:bottom w:val="single" w:color="aeaeae"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27.3%</w:t>
            </w:r>
          </w:p>
        </w:tc>
        <w:tc>
          <w:tcPr>
            <w:tcW w:type="dxa" w:w="1030"/>
            <w:tcBorders>
              <w:top w:val="single" w:color="aeaeae" w:sz="8" w:space="0" w:shadow="0" w:frame="0"/>
              <w:left w:val="single" w:color="e0e0e0" w:sz="8" w:space="0" w:shadow="0" w:frame="0"/>
              <w:bottom w:val="single" w:color="aeaeae"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72.7%</w:t>
            </w:r>
          </w:p>
        </w:tc>
        <w:tc>
          <w:tcPr>
            <w:tcW w:type="dxa" w:w="1030"/>
            <w:tcBorders>
              <w:top w:val="single" w:color="aeaeae" w:sz="8" w:space="0" w:shadow="0" w:frame="0"/>
              <w:left w:val="single" w:color="e0e0e0" w:sz="8" w:space="0" w:shadow="0" w:frame="0"/>
              <w:bottom w:val="single" w:color="aeaeae" w:sz="8" w:space="0" w:shadow="0" w:frame="0"/>
              <w:right w:val="nil"/>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100.0%</w:t>
            </w:r>
          </w:p>
        </w:tc>
      </w:tr>
      <w:tr>
        <w:tblPrEx>
          <w:shd w:val="clear" w:color="auto" w:fill="cadfff"/>
        </w:tblPrEx>
        <w:trPr>
          <w:trHeight w:val="254" w:hRule="atLeast"/>
        </w:trPr>
        <w:tc>
          <w:tcPr>
            <w:tcW w:type="dxa" w:w="1583"/>
            <w:vMerge w:val="continue"/>
            <w:tcBorders>
              <w:top w:val="single" w:color="152935" w:sz="8" w:space="0" w:shadow="0" w:frame="0"/>
              <w:left w:val="nil"/>
              <w:bottom w:val="single" w:color="aeaeae" w:sz="8" w:space="0" w:shadow="0" w:frame="0"/>
              <w:right w:val="nil"/>
            </w:tcBorders>
            <w:shd w:val="clear" w:color="auto" w:fill="e0e0e0"/>
          </w:tcPr>
          <w:p/>
        </w:tc>
        <w:tc>
          <w:tcPr>
            <w:tcW w:type="dxa" w:w="737"/>
            <w:vMerge w:val="continue"/>
            <w:tcBorders>
              <w:top w:val="single" w:color="aeaeae" w:sz="8" w:space="0" w:shadow="0" w:frame="0"/>
              <w:left w:val="nil"/>
              <w:bottom w:val="single" w:color="aeaeae" w:sz="8" w:space="0" w:shadow="0" w:frame="0"/>
              <w:right w:val="nil"/>
            </w:tcBorders>
            <w:shd w:val="clear" w:color="auto" w:fill="e0e0e0"/>
          </w:tcPr>
          <w:p/>
        </w:tc>
        <w:tc>
          <w:tcPr>
            <w:tcW w:type="dxa" w:w="2337"/>
            <w:tcBorders>
              <w:top w:val="single" w:color="aeaeae" w:sz="8" w:space="0" w:shadow="0" w:frame="0"/>
              <w:left w:val="nil"/>
              <w:bottom w:val="single" w:color="aeaeae" w:sz="8" w:space="0" w:shadow="0" w:frame="0"/>
              <w:right w:val="nil"/>
            </w:tcBorders>
            <w:shd w:val="clear" w:color="auto" w:fill="e0e0e0"/>
            <w:tcMar>
              <w:top w:type="dxa" w:w="80"/>
              <w:left w:type="dxa" w:w="140"/>
              <w:bottom w:type="dxa" w:w="80"/>
              <w:right w:type="dxa" w:w="140"/>
            </w:tcMar>
            <w:vAlign w:val="top"/>
          </w:tcPr>
          <w:p>
            <w:pPr>
              <w:pStyle w:val="Body B"/>
              <w:spacing w:line="320" w:lineRule="atLeast"/>
              <w:ind w:left="60" w:right="60" w:firstLine="0"/>
            </w:pPr>
            <w:r>
              <w:rPr>
                <w:rFonts w:ascii="Arial" w:hAnsi="Arial"/>
                <w:outline w:val="0"/>
                <w:color w:val="264a60"/>
                <w:sz w:val="18"/>
                <w:szCs w:val="18"/>
                <w:u w:color="264a60"/>
                <w:shd w:val="nil" w:color="auto" w:fill="auto"/>
                <w:rtl w:val="0"/>
                <w:lang w:val="en-US"/>
                <w14:textFill>
                  <w14:solidFill>
                    <w14:srgbClr w14:val="264A60"/>
                  </w14:solidFill>
                </w14:textFill>
              </w:rPr>
              <w:t>% within Gender</w:t>
            </w:r>
          </w:p>
        </w:tc>
        <w:tc>
          <w:tcPr>
            <w:tcW w:type="dxa" w:w="1030"/>
            <w:tcBorders>
              <w:top w:val="single" w:color="aeaeae" w:sz="8" w:space="0" w:shadow="0" w:frame="0"/>
              <w:left w:val="nil"/>
              <w:bottom w:val="single" w:color="aeaeae"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25.0%</w:t>
            </w:r>
          </w:p>
        </w:tc>
        <w:tc>
          <w:tcPr>
            <w:tcW w:type="dxa" w:w="1030"/>
            <w:tcBorders>
              <w:top w:val="single" w:color="aeaeae" w:sz="8" w:space="0" w:shadow="0" w:frame="0"/>
              <w:left w:val="single" w:color="e0e0e0" w:sz="8" w:space="0" w:shadow="0" w:frame="0"/>
              <w:bottom w:val="single" w:color="aeaeae"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66.7%</w:t>
            </w:r>
          </w:p>
        </w:tc>
        <w:tc>
          <w:tcPr>
            <w:tcW w:type="dxa" w:w="1030"/>
            <w:tcBorders>
              <w:top w:val="single" w:color="aeaeae" w:sz="8" w:space="0" w:shadow="0" w:frame="0"/>
              <w:left w:val="single" w:color="e0e0e0" w:sz="8" w:space="0" w:shadow="0" w:frame="0"/>
              <w:bottom w:val="single" w:color="aeaeae" w:sz="8" w:space="0" w:shadow="0" w:frame="0"/>
              <w:right w:val="nil"/>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45.8%</w:t>
            </w:r>
          </w:p>
        </w:tc>
      </w:tr>
      <w:tr>
        <w:tblPrEx>
          <w:shd w:val="clear" w:color="auto" w:fill="cadfff"/>
        </w:tblPrEx>
        <w:trPr>
          <w:trHeight w:val="254" w:hRule="atLeast"/>
        </w:trPr>
        <w:tc>
          <w:tcPr>
            <w:tcW w:type="dxa" w:w="1583"/>
            <w:vMerge w:val="continue"/>
            <w:tcBorders>
              <w:top w:val="single" w:color="152935" w:sz="8" w:space="0" w:shadow="0" w:frame="0"/>
              <w:left w:val="nil"/>
              <w:bottom w:val="single" w:color="aeaeae" w:sz="8" w:space="0" w:shadow="0" w:frame="0"/>
              <w:right w:val="nil"/>
            </w:tcBorders>
            <w:shd w:val="clear" w:color="auto" w:fill="e0e0e0"/>
          </w:tcPr>
          <w:p/>
        </w:tc>
        <w:tc>
          <w:tcPr>
            <w:tcW w:type="dxa" w:w="737"/>
            <w:vMerge w:val="restart"/>
            <w:tcBorders>
              <w:top w:val="single" w:color="aeaeae" w:sz="8" w:space="0" w:shadow="0" w:frame="0"/>
              <w:left w:val="nil"/>
              <w:bottom w:val="single" w:color="aeaeae" w:sz="8" w:space="0" w:shadow="0" w:frame="0"/>
              <w:right w:val="nil"/>
            </w:tcBorders>
            <w:shd w:val="clear" w:color="auto" w:fill="e0e0e0"/>
            <w:tcMar>
              <w:top w:type="dxa" w:w="80"/>
              <w:left w:type="dxa" w:w="140"/>
              <w:bottom w:type="dxa" w:w="80"/>
              <w:right w:type="dxa" w:w="140"/>
            </w:tcMar>
            <w:vAlign w:val="top"/>
          </w:tcPr>
          <w:p>
            <w:pPr>
              <w:pStyle w:val="Body B"/>
              <w:spacing w:line="320" w:lineRule="atLeast"/>
              <w:ind w:left="60" w:right="60" w:firstLine="0"/>
            </w:pPr>
            <w:r>
              <w:rPr>
                <w:rFonts w:ascii="Arial" w:hAnsi="Arial"/>
                <w:outline w:val="0"/>
                <w:color w:val="264a60"/>
                <w:sz w:val="18"/>
                <w:szCs w:val="18"/>
                <w:u w:color="264a60"/>
                <w:shd w:val="nil" w:color="auto" w:fill="auto"/>
                <w:rtl w:val="0"/>
                <w:lang w:val="en-US"/>
                <w14:textFill>
                  <w14:solidFill>
                    <w14:srgbClr w14:val="264A60"/>
                  </w14:solidFill>
                </w14:textFill>
              </w:rPr>
              <w:t>3</w:t>
            </w:r>
          </w:p>
        </w:tc>
        <w:tc>
          <w:tcPr>
            <w:tcW w:type="dxa" w:w="2337"/>
            <w:tcBorders>
              <w:top w:val="single" w:color="aeaeae" w:sz="8" w:space="0" w:shadow="0" w:frame="0"/>
              <w:left w:val="nil"/>
              <w:bottom w:val="single" w:color="aeaeae" w:sz="8" w:space="0" w:shadow="0" w:frame="0"/>
              <w:right w:val="nil"/>
            </w:tcBorders>
            <w:shd w:val="clear" w:color="auto" w:fill="e0e0e0"/>
            <w:tcMar>
              <w:top w:type="dxa" w:w="80"/>
              <w:left w:type="dxa" w:w="140"/>
              <w:bottom w:type="dxa" w:w="80"/>
              <w:right w:type="dxa" w:w="140"/>
            </w:tcMar>
            <w:vAlign w:val="top"/>
          </w:tcPr>
          <w:p>
            <w:pPr>
              <w:pStyle w:val="Body B"/>
              <w:spacing w:line="320" w:lineRule="atLeast"/>
              <w:ind w:left="60" w:right="60" w:firstLine="0"/>
            </w:pPr>
            <w:r>
              <w:rPr>
                <w:rFonts w:ascii="Arial" w:hAnsi="Arial"/>
                <w:outline w:val="0"/>
                <w:color w:val="264a60"/>
                <w:sz w:val="18"/>
                <w:szCs w:val="18"/>
                <w:u w:color="264a60"/>
                <w:shd w:val="nil" w:color="auto" w:fill="auto"/>
                <w:rtl w:val="0"/>
                <w:lang w:val="en-US"/>
                <w14:textFill>
                  <w14:solidFill>
                    <w14:srgbClr w14:val="264A60"/>
                  </w14:solidFill>
                </w14:textFill>
              </w:rPr>
              <w:t>Count</w:t>
            </w:r>
          </w:p>
        </w:tc>
        <w:tc>
          <w:tcPr>
            <w:tcW w:type="dxa" w:w="1030"/>
            <w:tcBorders>
              <w:top w:val="single" w:color="aeaeae" w:sz="8" w:space="0" w:shadow="0" w:frame="0"/>
              <w:left w:val="nil"/>
              <w:bottom w:val="single" w:color="aeaeae"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0</w:t>
            </w:r>
          </w:p>
        </w:tc>
        <w:tc>
          <w:tcPr>
            <w:tcW w:type="dxa" w:w="1030"/>
            <w:tcBorders>
              <w:top w:val="single" w:color="aeaeae" w:sz="8" w:space="0" w:shadow="0" w:frame="0"/>
              <w:left w:val="single" w:color="e0e0e0" w:sz="8" w:space="0" w:shadow="0" w:frame="0"/>
              <w:bottom w:val="single" w:color="aeaeae"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2</w:t>
            </w:r>
          </w:p>
        </w:tc>
        <w:tc>
          <w:tcPr>
            <w:tcW w:type="dxa" w:w="1030"/>
            <w:tcBorders>
              <w:top w:val="single" w:color="aeaeae" w:sz="8" w:space="0" w:shadow="0" w:frame="0"/>
              <w:left w:val="single" w:color="e0e0e0" w:sz="8" w:space="0" w:shadow="0" w:frame="0"/>
              <w:bottom w:val="single" w:color="aeaeae" w:sz="8" w:space="0" w:shadow="0" w:frame="0"/>
              <w:right w:val="nil"/>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2</w:t>
            </w:r>
          </w:p>
        </w:tc>
      </w:tr>
      <w:tr>
        <w:tblPrEx>
          <w:shd w:val="clear" w:color="auto" w:fill="cadfff"/>
        </w:tblPrEx>
        <w:trPr>
          <w:trHeight w:val="254" w:hRule="atLeast"/>
        </w:trPr>
        <w:tc>
          <w:tcPr>
            <w:tcW w:type="dxa" w:w="1583"/>
            <w:vMerge w:val="continue"/>
            <w:tcBorders>
              <w:top w:val="single" w:color="152935" w:sz="8" w:space="0" w:shadow="0" w:frame="0"/>
              <w:left w:val="nil"/>
              <w:bottom w:val="single" w:color="aeaeae" w:sz="8" w:space="0" w:shadow="0" w:frame="0"/>
              <w:right w:val="nil"/>
            </w:tcBorders>
            <w:shd w:val="clear" w:color="auto" w:fill="e0e0e0"/>
          </w:tcPr>
          <w:p/>
        </w:tc>
        <w:tc>
          <w:tcPr>
            <w:tcW w:type="dxa" w:w="737"/>
            <w:vMerge w:val="continue"/>
            <w:tcBorders>
              <w:top w:val="single" w:color="aeaeae" w:sz="8" w:space="0" w:shadow="0" w:frame="0"/>
              <w:left w:val="nil"/>
              <w:bottom w:val="single" w:color="aeaeae" w:sz="8" w:space="0" w:shadow="0" w:frame="0"/>
              <w:right w:val="nil"/>
            </w:tcBorders>
            <w:shd w:val="clear" w:color="auto" w:fill="e0e0e0"/>
          </w:tcPr>
          <w:p/>
        </w:tc>
        <w:tc>
          <w:tcPr>
            <w:tcW w:type="dxa" w:w="2337"/>
            <w:tcBorders>
              <w:top w:val="single" w:color="aeaeae" w:sz="8" w:space="0" w:shadow="0" w:frame="0"/>
              <w:left w:val="nil"/>
              <w:bottom w:val="single" w:color="aeaeae" w:sz="8" w:space="0" w:shadow="0" w:frame="0"/>
              <w:right w:val="nil"/>
            </w:tcBorders>
            <w:shd w:val="clear" w:color="auto" w:fill="e0e0e0"/>
            <w:tcMar>
              <w:top w:type="dxa" w:w="80"/>
              <w:left w:type="dxa" w:w="140"/>
              <w:bottom w:type="dxa" w:w="80"/>
              <w:right w:type="dxa" w:w="140"/>
            </w:tcMar>
            <w:vAlign w:val="top"/>
          </w:tcPr>
          <w:p>
            <w:pPr>
              <w:pStyle w:val="Body B"/>
              <w:spacing w:line="320" w:lineRule="atLeast"/>
              <w:ind w:left="60" w:right="60" w:firstLine="0"/>
            </w:pPr>
            <w:r>
              <w:rPr>
                <w:rFonts w:ascii="Arial" w:hAnsi="Arial"/>
                <w:outline w:val="0"/>
                <w:color w:val="264a60"/>
                <w:sz w:val="18"/>
                <w:szCs w:val="18"/>
                <w:u w:color="264a60"/>
                <w:shd w:val="nil" w:color="auto" w:fill="auto"/>
                <w:rtl w:val="0"/>
                <w:lang w:val="en-US"/>
                <w14:textFill>
                  <w14:solidFill>
                    <w14:srgbClr w14:val="264A60"/>
                  </w14:solidFill>
                </w14:textFill>
              </w:rPr>
              <w:t>% within bacterial growth</w:t>
            </w:r>
          </w:p>
        </w:tc>
        <w:tc>
          <w:tcPr>
            <w:tcW w:type="dxa" w:w="1030"/>
            <w:tcBorders>
              <w:top w:val="single" w:color="aeaeae" w:sz="8" w:space="0" w:shadow="0" w:frame="0"/>
              <w:left w:val="nil"/>
              <w:bottom w:val="single" w:color="aeaeae"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0.0%</w:t>
            </w:r>
          </w:p>
        </w:tc>
        <w:tc>
          <w:tcPr>
            <w:tcW w:type="dxa" w:w="1030"/>
            <w:tcBorders>
              <w:top w:val="single" w:color="aeaeae" w:sz="8" w:space="0" w:shadow="0" w:frame="0"/>
              <w:left w:val="single" w:color="e0e0e0" w:sz="8" w:space="0" w:shadow="0" w:frame="0"/>
              <w:bottom w:val="single" w:color="aeaeae"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100.0%</w:t>
            </w:r>
          </w:p>
        </w:tc>
        <w:tc>
          <w:tcPr>
            <w:tcW w:type="dxa" w:w="1030"/>
            <w:tcBorders>
              <w:top w:val="single" w:color="aeaeae" w:sz="8" w:space="0" w:shadow="0" w:frame="0"/>
              <w:left w:val="single" w:color="e0e0e0" w:sz="8" w:space="0" w:shadow="0" w:frame="0"/>
              <w:bottom w:val="single" w:color="aeaeae" w:sz="8" w:space="0" w:shadow="0" w:frame="0"/>
              <w:right w:val="nil"/>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100.0%</w:t>
            </w:r>
          </w:p>
        </w:tc>
      </w:tr>
      <w:tr>
        <w:tblPrEx>
          <w:shd w:val="clear" w:color="auto" w:fill="cadfff"/>
        </w:tblPrEx>
        <w:trPr>
          <w:trHeight w:val="254" w:hRule="atLeast"/>
        </w:trPr>
        <w:tc>
          <w:tcPr>
            <w:tcW w:type="dxa" w:w="1583"/>
            <w:vMerge w:val="continue"/>
            <w:tcBorders>
              <w:top w:val="single" w:color="152935" w:sz="8" w:space="0" w:shadow="0" w:frame="0"/>
              <w:left w:val="nil"/>
              <w:bottom w:val="single" w:color="aeaeae" w:sz="8" w:space="0" w:shadow="0" w:frame="0"/>
              <w:right w:val="nil"/>
            </w:tcBorders>
            <w:shd w:val="clear" w:color="auto" w:fill="e0e0e0"/>
          </w:tcPr>
          <w:p/>
        </w:tc>
        <w:tc>
          <w:tcPr>
            <w:tcW w:type="dxa" w:w="737"/>
            <w:vMerge w:val="continue"/>
            <w:tcBorders>
              <w:top w:val="single" w:color="aeaeae" w:sz="8" w:space="0" w:shadow="0" w:frame="0"/>
              <w:left w:val="nil"/>
              <w:bottom w:val="single" w:color="aeaeae" w:sz="8" w:space="0" w:shadow="0" w:frame="0"/>
              <w:right w:val="nil"/>
            </w:tcBorders>
            <w:shd w:val="clear" w:color="auto" w:fill="e0e0e0"/>
          </w:tcPr>
          <w:p/>
        </w:tc>
        <w:tc>
          <w:tcPr>
            <w:tcW w:type="dxa" w:w="2337"/>
            <w:tcBorders>
              <w:top w:val="single" w:color="aeaeae" w:sz="8" w:space="0" w:shadow="0" w:frame="0"/>
              <w:left w:val="nil"/>
              <w:bottom w:val="single" w:color="aeaeae" w:sz="8" w:space="0" w:shadow="0" w:frame="0"/>
              <w:right w:val="nil"/>
            </w:tcBorders>
            <w:shd w:val="clear" w:color="auto" w:fill="e0e0e0"/>
            <w:tcMar>
              <w:top w:type="dxa" w:w="80"/>
              <w:left w:type="dxa" w:w="140"/>
              <w:bottom w:type="dxa" w:w="80"/>
              <w:right w:type="dxa" w:w="140"/>
            </w:tcMar>
            <w:vAlign w:val="top"/>
          </w:tcPr>
          <w:p>
            <w:pPr>
              <w:pStyle w:val="Body B"/>
              <w:spacing w:line="320" w:lineRule="atLeast"/>
              <w:ind w:left="60" w:right="60" w:firstLine="0"/>
            </w:pPr>
            <w:r>
              <w:rPr>
                <w:rFonts w:ascii="Arial" w:hAnsi="Arial"/>
                <w:outline w:val="0"/>
                <w:color w:val="264a60"/>
                <w:sz w:val="18"/>
                <w:szCs w:val="18"/>
                <w:u w:color="264a60"/>
                <w:shd w:val="nil" w:color="auto" w:fill="auto"/>
                <w:rtl w:val="0"/>
                <w:lang w:val="en-US"/>
                <w14:textFill>
                  <w14:solidFill>
                    <w14:srgbClr w14:val="264A60"/>
                  </w14:solidFill>
                </w14:textFill>
              </w:rPr>
              <w:t>% within Gender</w:t>
            </w:r>
          </w:p>
        </w:tc>
        <w:tc>
          <w:tcPr>
            <w:tcW w:type="dxa" w:w="1030"/>
            <w:tcBorders>
              <w:top w:val="single" w:color="aeaeae" w:sz="8" w:space="0" w:shadow="0" w:frame="0"/>
              <w:left w:val="nil"/>
              <w:bottom w:val="single" w:color="aeaeae"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0.0%</w:t>
            </w:r>
          </w:p>
        </w:tc>
        <w:tc>
          <w:tcPr>
            <w:tcW w:type="dxa" w:w="1030"/>
            <w:tcBorders>
              <w:top w:val="single" w:color="aeaeae" w:sz="8" w:space="0" w:shadow="0" w:frame="0"/>
              <w:left w:val="single" w:color="e0e0e0" w:sz="8" w:space="0" w:shadow="0" w:frame="0"/>
              <w:bottom w:val="single" w:color="aeaeae"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16.7%</w:t>
            </w:r>
          </w:p>
        </w:tc>
        <w:tc>
          <w:tcPr>
            <w:tcW w:type="dxa" w:w="1030"/>
            <w:tcBorders>
              <w:top w:val="single" w:color="aeaeae" w:sz="8" w:space="0" w:shadow="0" w:frame="0"/>
              <w:left w:val="single" w:color="e0e0e0" w:sz="8" w:space="0" w:shadow="0" w:frame="0"/>
              <w:bottom w:val="single" w:color="aeaeae" w:sz="8" w:space="0" w:shadow="0" w:frame="0"/>
              <w:right w:val="nil"/>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8.3%</w:t>
            </w:r>
          </w:p>
        </w:tc>
      </w:tr>
      <w:tr>
        <w:tblPrEx>
          <w:shd w:val="clear" w:color="auto" w:fill="cadfff"/>
        </w:tblPrEx>
        <w:trPr>
          <w:trHeight w:val="254" w:hRule="atLeast"/>
        </w:trPr>
        <w:tc>
          <w:tcPr>
            <w:tcW w:type="dxa" w:w="2320"/>
            <w:gridSpan w:val="2"/>
            <w:vMerge w:val="restart"/>
            <w:tcBorders>
              <w:top w:val="single" w:color="aeaeae" w:sz="8" w:space="0" w:shadow="0" w:frame="0"/>
              <w:left w:val="nil"/>
              <w:bottom w:val="single" w:color="152935" w:sz="8" w:space="0" w:shadow="0" w:frame="0"/>
              <w:right w:val="nil"/>
            </w:tcBorders>
            <w:shd w:val="clear" w:color="auto" w:fill="e0e0e0"/>
            <w:tcMar>
              <w:top w:type="dxa" w:w="80"/>
              <w:left w:type="dxa" w:w="140"/>
              <w:bottom w:type="dxa" w:w="80"/>
              <w:right w:type="dxa" w:w="140"/>
            </w:tcMar>
            <w:vAlign w:val="top"/>
          </w:tcPr>
          <w:p>
            <w:pPr>
              <w:pStyle w:val="Body B"/>
              <w:spacing w:line="320" w:lineRule="atLeast"/>
              <w:ind w:left="60" w:right="60" w:firstLine="0"/>
            </w:pPr>
            <w:r>
              <w:rPr>
                <w:rFonts w:ascii="Arial" w:hAnsi="Arial"/>
                <w:outline w:val="0"/>
                <w:color w:val="264a60"/>
                <w:sz w:val="18"/>
                <w:szCs w:val="18"/>
                <w:u w:color="264a60"/>
                <w:shd w:val="nil" w:color="auto" w:fill="auto"/>
                <w:rtl w:val="0"/>
                <w:lang w:val="en-US"/>
                <w14:textFill>
                  <w14:solidFill>
                    <w14:srgbClr w14:val="264A60"/>
                  </w14:solidFill>
                </w14:textFill>
              </w:rPr>
              <w:t>Total</w:t>
            </w:r>
          </w:p>
        </w:tc>
        <w:tc>
          <w:tcPr>
            <w:tcW w:type="dxa" w:w="2337"/>
            <w:tcBorders>
              <w:top w:val="single" w:color="aeaeae" w:sz="8" w:space="0" w:shadow="0" w:frame="0"/>
              <w:left w:val="nil"/>
              <w:bottom w:val="single" w:color="aeaeae" w:sz="8" w:space="0" w:shadow="0" w:frame="0"/>
              <w:right w:val="nil"/>
            </w:tcBorders>
            <w:shd w:val="clear" w:color="auto" w:fill="e0e0e0"/>
            <w:tcMar>
              <w:top w:type="dxa" w:w="80"/>
              <w:left w:type="dxa" w:w="140"/>
              <w:bottom w:type="dxa" w:w="80"/>
              <w:right w:type="dxa" w:w="140"/>
            </w:tcMar>
            <w:vAlign w:val="top"/>
          </w:tcPr>
          <w:p>
            <w:pPr>
              <w:pStyle w:val="Body B"/>
              <w:spacing w:line="320" w:lineRule="atLeast"/>
              <w:ind w:left="60" w:right="60" w:firstLine="0"/>
            </w:pPr>
            <w:r>
              <w:rPr>
                <w:rFonts w:ascii="Arial" w:hAnsi="Arial"/>
                <w:outline w:val="0"/>
                <w:color w:val="264a60"/>
                <w:sz w:val="18"/>
                <w:szCs w:val="18"/>
                <w:u w:color="264a60"/>
                <w:shd w:val="nil" w:color="auto" w:fill="auto"/>
                <w:rtl w:val="0"/>
                <w:lang w:val="en-US"/>
                <w14:textFill>
                  <w14:solidFill>
                    <w14:srgbClr w14:val="264A60"/>
                  </w14:solidFill>
                </w14:textFill>
              </w:rPr>
              <w:t>Count</w:t>
            </w:r>
          </w:p>
        </w:tc>
        <w:tc>
          <w:tcPr>
            <w:tcW w:type="dxa" w:w="1030"/>
            <w:tcBorders>
              <w:top w:val="single" w:color="aeaeae" w:sz="8" w:space="0" w:shadow="0" w:frame="0"/>
              <w:left w:val="nil"/>
              <w:bottom w:val="single" w:color="aeaeae"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12</w:t>
            </w:r>
          </w:p>
        </w:tc>
        <w:tc>
          <w:tcPr>
            <w:tcW w:type="dxa" w:w="1030"/>
            <w:tcBorders>
              <w:top w:val="single" w:color="aeaeae" w:sz="8" w:space="0" w:shadow="0" w:frame="0"/>
              <w:left w:val="single" w:color="e0e0e0" w:sz="8" w:space="0" w:shadow="0" w:frame="0"/>
              <w:bottom w:val="single" w:color="aeaeae"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12</w:t>
            </w:r>
          </w:p>
        </w:tc>
        <w:tc>
          <w:tcPr>
            <w:tcW w:type="dxa" w:w="1030"/>
            <w:tcBorders>
              <w:top w:val="single" w:color="aeaeae" w:sz="8" w:space="0" w:shadow="0" w:frame="0"/>
              <w:left w:val="single" w:color="e0e0e0" w:sz="8" w:space="0" w:shadow="0" w:frame="0"/>
              <w:bottom w:val="single" w:color="aeaeae" w:sz="8" w:space="0" w:shadow="0" w:frame="0"/>
              <w:right w:val="nil"/>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24</w:t>
            </w:r>
          </w:p>
        </w:tc>
      </w:tr>
      <w:tr>
        <w:tblPrEx>
          <w:shd w:val="clear" w:color="auto" w:fill="cadfff"/>
        </w:tblPrEx>
        <w:trPr>
          <w:trHeight w:val="254" w:hRule="atLeast"/>
        </w:trPr>
        <w:tc>
          <w:tcPr>
            <w:tcW w:type="dxa" w:w="2320"/>
            <w:gridSpan w:val="2"/>
            <w:vMerge w:val="continue"/>
            <w:tcBorders>
              <w:top w:val="single" w:color="aeaeae" w:sz="8" w:space="0" w:shadow="0" w:frame="0"/>
              <w:left w:val="nil"/>
              <w:bottom w:val="single" w:color="152935" w:sz="8" w:space="0" w:shadow="0" w:frame="0"/>
              <w:right w:val="nil"/>
            </w:tcBorders>
            <w:shd w:val="clear" w:color="auto" w:fill="e0e0e0"/>
          </w:tcPr>
          <w:p/>
        </w:tc>
        <w:tc>
          <w:tcPr>
            <w:tcW w:type="dxa" w:w="2337"/>
            <w:tcBorders>
              <w:top w:val="single" w:color="aeaeae" w:sz="8" w:space="0" w:shadow="0" w:frame="0"/>
              <w:left w:val="nil"/>
              <w:bottom w:val="single" w:color="aeaeae" w:sz="8" w:space="0" w:shadow="0" w:frame="0"/>
              <w:right w:val="nil"/>
            </w:tcBorders>
            <w:shd w:val="clear" w:color="auto" w:fill="e0e0e0"/>
            <w:tcMar>
              <w:top w:type="dxa" w:w="80"/>
              <w:left w:type="dxa" w:w="140"/>
              <w:bottom w:type="dxa" w:w="80"/>
              <w:right w:type="dxa" w:w="140"/>
            </w:tcMar>
            <w:vAlign w:val="top"/>
          </w:tcPr>
          <w:p>
            <w:pPr>
              <w:pStyle w:val="Body B"/>
              <w:spacing w:line="320" w:lineRule="atLeast"/>
              <w:ind w:left="60" w:right="60" w:firstLine="0"/>
            </w:pPr>
            <w:r>
              <w:rPr>
                <w:rFonts w:ascii="Arial" w:hAnsi="Arial"/>
                <w:outline w:val="0"/>
                <w:color w:val="264a60"/>
                <w:sz w:val="18"/>
                <w:szCs w:val="18"/>
                <w:u w:color="264a60"/>
                <w:shd w:val="nil" w:color="auto" w:fill="auto"/>
                <w:rtl w:val="0"/>
                <w:lang w:val="en-US"/>
                <w14:textFill>
                  <w14:solidFill>
                    <w14:srgbClr w14:val="264A60"/>
                  </w14:solidFill>
                </w14:textFill>
              </w:rPr>
              <w:t>% within bacterial growth</w:t>
            </w:r>
          </w:p>
        </w:tc>
        <w:tc>
          <w:tcPr>
            <w:tcW w:type="dxa" w:w="1030"/>
            <w:tcBorders>
              <w:top w:val="single" w:color="aeaeae" w:sz="8" w:space="0" w:shadow="0" w:frame="0"/>
              <w:left w:val="nil"/>
              <w:bottom w:val="single" w:color="aeaeae"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50.0%</w:t>
            </w:r>
          </w:p>
        </w:tc>
        <w:tc>
          <w:tcPr>
            <w:tcW w:type="dxa" w:w="1030"/>
            <w:tcBorders>
              <w:top w:val="single" w:color="aeaeae" w:sz="8" w:space="0" w:shadow="0" w:frame="0"/>
              <w:left w:val="single" w:color="e0e0e0" w:sz="8" w:space="0" w:shadow="0" w:frame="0"/>
              <w:bottom w:val="single" w:color="aeaeae"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50.0%</w:t>
            </w:r>
          </w:p>
        </w:tc>
        <w:tc>
          <w:tcPr>
            <w:tcW w:type="dxa" w:w="1030"/>
            <w:tcBorders>
              <w:top w:val="single" w:color="aeaeae" w:sz="8" w:space="0" w:shadow="0" w:frame="0"/>
              <w:left w:val="single" w:color="e0e0e0" w:sz="8" w:space="0" w:shadow="0" w:frame="0"/>
              <w:bottom w:val="single" w:color="aeaeae" w:sz="8" w:space="0" w:shadow="0" w:frame="0"/>
              <w:right w:val="nil"/>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100.0%</w:t>
            </w:r>
          </w:p>
        </w:tc>
      </w:tr>
      <w:tr>
        <w:tblPrEx>
          <w:shd w:val="clear" w:color="auto" w:fill="cadfff"/>
        </w:tblPrEx>
        <w:trPr>
          <w:trHeight w:val="254" w:hRule="atLeast"/>
        </w:trPr>
        <w:tc>
          <w:tcPr>
            <w:tcW w:type="dxa" w:w="2320"/>
            <w:gridSpan w:val="2"/>
            <w:vMerge w:val="continue"/>
            <w:tcBorders>
              <w:top w:val="single" w:color="aeaeae" w:sz="8" w:space="0" w:shadow="0" w:frame="0"/>
              <w:left w:val="nil"/>
              <w:bottom w:val="single" w:color="152935" w:sz="8" w:space="0" w:shadow="0" w:frame="0"/>
              <w:right w:val="nil"/>
            </w:tcBorders>
            <w:shd w:val="clear" w:color="auto" w:fill="e0e0e0"/>
          </w:tcPr>
          <w:p/>
        </w:tc>
        <w:tc>
          <w:tcPr>
            <w:tcW w:type="dxa" w:w="2337"/>
            <w:tcBorders>
              <w:top w:val="single" w:color="aeaeae" w:sz="8" w:space="0" w:shadow="0" w:frame="0"/>
              <w:left w:val="nil"/>
              <w:bottom w:val="single" w:color="152935" w:sz="8" w:space="0" w:shadow="0" w:frame="0"/>
              <w:right w:val="nil"/>
            </w:tcBorders>
            <w:shd w:val="clear" w:color="auto" w:fill="e0e0e0"/>
            <w:tcMar>
              <w:top w:type="dxa" w:w="80"/>
              <w:left w:type="dxa" w:w="140"/>
              <w:bottom w:type="dxa" w:w="80"/>
              <w:right w:type="dxa" w:w="140"/>
            </w:tcMar>
            <w:vAlign w:val="top"/>
          </w:tcPr>
          <w:p>
            <w:pPr>
              <w:pStyle w:val="Body B"/>
              <w:spacing w:line="320" w:lineRule="atLeast"/>
              <w:ind w:left="60" w:right="60" w:firstLine="0"/>
            </w:pPr>
            <w:r>
              <w:rPr>
                <w:rFonts w:ascii="Arial" w:hAnsi="Arial"/>
                <w:outline w:val="0"/>
                <w:color w:val="264a60"/>
                <w:sz w:val="18"/>
                <w:szCs w:val="18"/>
                <w:u w:color="264a60"/>
                <w:shd w:val="nil" w:color="auto" w:fill="auto"/>
                <w:rtl w:val="0"/>
                <w:lang w:val="en-US"/>
                <w14:textFill>
                  <w14:solidFill>
                    <w14:srgbClr w14:val="264A60"/>
                  </w14:solidFill>
                </w14:textFill>
              </w:rPr>
              <w:t>% within Gender</w:t>
            </w:r>
          </w:p>
        </w:tc>
        <w:tc>
          <w:tcPr>
            <w:tcW w:type="dxa" w:w="1030"/>
            <w:tcBorders>
              <w:top w:val="single" w:color="aeaeae" w:sz="8" w:space="0" w:shadow="0" w:frame="0"/>
              <w:left w:val="nil"/>
              <w:bottom w:val="single" w:color="152935"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100.0%</w:t>
            </w:r>
          </w:p>
        </w:tc>
        <w:tc>
          <w:tcPr>
            <w:tcW w:type="dxa" w:w="1030"/>
            <w:tcBorders>
              <w:top w:val="single" w:color="aeaeae" w:sz="8" w:space="0" w:shadow="0" w:frame="0"/>
              <w:left w:val="single" w:color="e0e0e0" w:sz="8" w:space="0" w:shadow="0" w:frame="0"/>
              <w:bottom w:val="single" w:color="152935" w:sz="8" w:space="0" w:shadow="0" w:frame="0"/>
              <w:right w:val="single" w:color="e0e0e0" w:sz="8" w:space="0" w:shadow="0" w:frame="0"/>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100.0%</w:t>
            </w:r>
          </w:p>
        </w:tc>
        <w:tc>
          <w:tcPr>
            <w:tcW w:type="dxa" w:w="1030"/>
            <w:tcBorders>
              <w:top w:val="single" w:color="aeaeae" w:sz="8" w:space="0" w:shadow="0" w:frame="0"/>
              <w:left w:val="single" w:color="e0e0e0" w:sz="8" w:space="0" w:shadow="0" w:frame="0"/>
              <w:bottom w:val="single" w:color="152935" w:sz="8" w:space="0" w:shadow="0" w:frame="0"/>
              <w:right w:val="nil"/>
            </w:tcBorders>
            <w:shd w:val="clear" w:color="auto" w:fill="ffffff"/>
            <w:tcMar>
              <w:top w:type="dxa" w:w="80"/>
              <w:left w:type="dxa" w:w="140"/>
              <w:bottom w:type="dxa" w:w="80"/>
              <w:right w:type="dxa" w:w="140"/>
            </w:tcMar>
            <w:vAlign w:val="top"/>
          </w:tcPr>
          <w:p>
            <w:pPr>
              <w:pStyle w:val="Body B"/>
              <w:spacing w:line="320" w:lineRule="atLeast"/>
              <w:ind w:left="60" w:right="60" w:firstLine="0"/>
              <w:jc w:val="right"/>
            </w:pPr>
            <w:r>
              <w:rPr>
                <w:rFonts w:ascii="Arial" w:hAnsi="Arial"/>
                <w:outline w:val="0"/>
                <w:color w:val="010205"/>
                <w:sz w:val="18"/>
                <w:szCs w:val="18"/>
                <w:u w:color="010205"/>
                <w:shd w:val="nil" w:color="auto" w:fill="auto"/>
                <w:rtl w:val="0"/>
                <w:lang w:val="en-US"/>
                <w14:textFill>
                  <w14:solidFill>
                    <w14:srgbClr w14:val="010205"/>
                  </w14:solidFill>
                </w14:textFill>
              </w:rPr>
              <w:t>100.0%</w:t>
            </w:r>
          </w:p>
        </w:tc>
      </w:tr>
    </w:tbl>
    <w:p>
      <w:pPr>
        <w:pStyle w:val="Body B"/>
        <w:widowControl w:val="0"/>
        <w:ind w:left="216" w:hanging="216"/>
        <w:rPr>
          <w:outline w:val="0"/>
          <w:color w:val="0d0d0d"/>
          <w:u w:color="0d0d0d"/>
          <w14:textFill>
            <w14:solidFill>
              <w14:srgbClr w14:val="0D0D0D"/>
            </w14:solidFill>
          </w14:textFill>
        </w:rPr>
      </w:pPr>
    </w:p>
    <w:p>
      <w:pPr>
        <w:pStyle w:val="Heading"/>
        <w:spacing w:line="360" w:lineRule="auto"/>
      </w:pPr>
      <w:r>
        <w:rPr>
          <w:rtl w:val="0"/>
          <w:lang w:val="en-US"/>
        </w:rPr>
        <w:t xml:space="preserve">Table 2: bacterial growth association with gender differences; </w:t>
      </w:r>
      <w:r>
        <w:rPr>
          <w:b w:val="0"/>
          <w:bCs w:val="0"/>
          <w:rtl w:val="0"/>
          <w:lang w:val="en-US"/>
        </w:rPr>
        <w:t>1= no growth. 2= overall no significant growth. 3= significant growth.</w:t>
      </w:r>
    </w:p>
    <w:p>
      <w:pPr>
        <w:pStyle w:val="Body B"/>
        <w:spacing w:line="360" w:lineRule="auto"/>
        <w:rPr>
          <w:outline w:val="0"/>
          <w:color w:val="0d0d0d"/>
          <w:u w:color="0d0d0d"/>
          <w14:textFill>
            <w14:solidFill>
              <w14:srgbClr w14:val="0D0D0D"/>
            </w14:solidFill>
          </w14:textFill>
        </w:rPr>
      </w:pPr>
    </w:p>
    <w:p>
      <w:pPr>
        <w:pStyle w:val="Body B"/>
        <w:spacing w:line="360" w:lineRule="auto"/>
        <w:rPr>
          <w:outline w:val="0"/>
          <w:color w:val="0d0d0d"/>
          <w:u w:color="0d0d0d"/>
          <w14:textFill>
            <w14:solidFill>
              <w14:srgbClr w14:val="0D0D0D"/>
            </w14:solidFill>
          </w14:textFill>
        </w:rPr>
      </w:pPr>
      <w:r>
        <w:rPr>
          <w:outline w:val="0"/>
          <w:color w:val="0d0d0d"/>
          <w:u w:color="0d0d0d"/>
          <w14:textFill>
            <w14:solidFill>
              <w14:srgbClr w14:val="0D0D0D"/>
            </w14:solidFill>
          </w14:textFill>
        </w:rPr>
        <w:drawing xmlns:a="http://schemas.openxmlformats.org/drawingml/2006/main">
          <wp:inline distT="0" distB="0" distL="0" distR="0">
            <wp:extent cx="5396375" cy="3175856"/>
            <wp:effectExtent l="0" t="0" r="0" b="0"/>
            <wp:docPr id="1073741827" name="officeArt object" descr="Picture 2"/>
            <wp:cNvGraphicFramePr/>
            <a:graphic xmlns:a="http://schemas.openxmlformats.org/drawingml/2006/main">
              <a:graphicData uri="http://schemas.openxmlformats.org/drawingml/2006/picture">
                <pic:pic xmlns:pic="http://schemas.openxmlformats.org/drawingml/2006/picture">
                  <pic:nvPicPr>
                    <pic:cNvPr id="1073741827" name="Picture 2" descr="Picture 2"/>
                    <pic:cNvPicPr>
                      <a:picLocks noChangeAspect="1"/>
                    </pic:cNvPicPr>
                  </pic:nvPicPr>
                  <pic:blipFill>
                    <a:blip r:embed="rId10">
                      <a:extLst/>
                    </a:blip>
                    <a:stretch>
                      <a:fillRect/>
                    </a:stretch>
                  </pic:blipFill>
                  <pic:spPr>
                    <a:xfrm>
                      <a:off x="0" y="0"/>
                      <a:ext cx="5396375" cy="3175856"/>
                    </a:xfrm>
                    <a:prstGeom prst="rect">
                      <a:avLst/>
                    </a:prstGeom>
                    <a:ln w="12700" cap="flat">
                      <a:noFill/>
                      <a:miter lim="400000"/>
                    </a:ln>
                    <a:effectLst/>
                  </pic:spPr>
                </pic:pic>
              </a:graphicData>
            </a:graphic>
          </wp:inline>
        </w:drawing>
      </w:r>
      <w:r>
        <w:rPr>
          <w:b w:val="1"/>
          <w:bCs w:val="1"/>
          <w:outline w:val="0"/>
          <w:color w:val="0d0d0d"/>
          <w:u w:color="0d0d0d"/>
          <w:rtl w:val="0"/>
          <w:lang w:val="en-US"/>
          <w14:textFill>
            <w14:solidFill>
              <w14:srgbClr w14:val="0D0D0D"/>
            </w14:solidFill>
          </w14:textFill>
        </w:rPr>
        <w:t>Graph 1</w:t>
      </w:r>
      <w:r>
        <w:rPr>
          <w:outline w:val="0"/>
          <w:color w:val="0d0d0d"/>
          <w:u w:color="0d0d0d"/>
          <w:rtl w:val="0"/>
          <w:lang w:val="en-US"/>
          <w14:textFill>
            <w14:solidFill>
              <w14:srgbClr w14:val="0D0D0D"/>
            </w14:solidFill>
          </w14:textFill>
        </w:rPr>
        <w:t xml:space="preserve">: </w:t>
      </w:r>
      <w:r>
        <w:rPr>
          <w:b w:val="1"/>
          <w:bCs w:val="1"/>
          <w:outline w:val="0"/>
          <w:color w:val="0d0d0d"/>
          <w:u w:color="0d0d0d"/>
          <w:rtl w:val="0"/>
          <w:lang w:val="en-US"/>
          <w14:textFill>
            <w14:solidFill>
              <w14:srgbClr w14:val="0D0D0D"/>
            </w14:solidFill>
          </w14:textFill>
        </w:rPr>
        <w:t>simple Bar chart of bacterial growth by gender</w:t>
      </w:r>
      <w:r>
        <w:rPr>
          <w:outline w:val="0"/>
          <w:color w:val="0d0d0d"/>
          <w:u w:color="0d0d0d"/>
          <w:rtl w:val="0"/>
          <w:lang w:val="en-US"/>
          <w14:textFill>
            <w14:solidFill>
              <w14:srgbClr w14:val="0D0D0D"/>
            </w14:solidFill>
          </w14:textFill>
        </w:rPr>
        <w:t>;</w:t>
      </w:r>
      <w:r>
        <w:rPr>
          <w:rtl w:val="0"/>
          <w:lang w:val="en-US"/>
        </w:rPr>
        <w:t xml:space="preserve"> 1= no growth. 2= overall no significant growth. 3= significant growth.</w:t>
      </w:r>
    </w:p>
    <w:p>
      <w:pPr>
        <w:pStyle w:val="Heading"/>
        <w:spacing w:line="360" w:lineRule="auto"/>
        <w:rPr>
          <w:outline w:val="0"/>
          <w:color w:val="0d0d0d"/>
          <w:u w:color="0d0d0d"/>
          <w14:textFill>
            <w14:solidFill>
              <w14:srgbClr w14:val="0D0D0D"/>
            </w14:solidFill>
          </w14:textFill>
        </w:rPr>
      </w:pPr>
      <w:r>
        <w:rPr>
          <w:outline w:val="0"/>
          <w:color w:val="0d0d0d"/>
          <w:u w:color="0d0d0d"/>
          <w14:textFill>
            <w14:solidFill>
              <w14:srgbClr w14:val="0D0D0D"/>
            </w14:solidFill>
          </w14:textFill>
        </w:rPr>
        <w:drawing xmlns:a="http://schemas.openxmlformats.org/drawingml/2006/main">
          <wp:anchor distT="152400" distB="152400" distL="152400" distR="152400" simplePos="0" relativeHeight="251659264" behindDoc="0" locked="0" layoutInCell="1" allowOverlap="1">
            <wp:simplePos x="0" y="0"/>
            <wp:positionH relativeFrom="margin">
              <wp:posOffset>-6350</wp:posOffset>
            </wp:positionH>
            <wp:positionV relativeFrom="line">
              <wp:posOffset>690916</wp:posOffset>
            </wp:positionV>
            <wp:extent cx="5756275" cy="2032636"/>
            <wp:effectExtent l="0" t="0" r="0" b="0"/>
            <wp:wrapTopAndBottom distT="152400" distB="152400"/>
            <wp:docPr id="1073741828" name="officeArt object" descr="Image"/>
            <wp:cNvGraphicFramePr/>
            <a:graphic xmlns:a="http://schemas.openxmlformats.org/drawingml/2006/main">
              <a:graphicData uri="http://schemas.openxmlformats.org/drawingml/2006/picture">
                <pic:pic xmlns:pic="http://schemas.openxmlformats.org/drawingml/2006/picture">
                  <pic:nvPicPr>
                    <pic:cNvPr id="1073741828" name="Image" descr="Image"/>
                    <pic:cNvPicPr>
                      <a:picLocks noChangeAspect="1"/>
                    </pic:cNvPicPr>
                  </pic:nvPicPr>
                  <pic:blipFill>
                    <a:blip r:embed="rId11">
                      <a:extLst/>
                    </a:blip>
                    <a:stretch>
                      <a:fillRect/>
                    </a:stretch>
                  </pic:blipFill>
                  <pic:spPr>
                    <a:xfrm>
                      <a:off x="0" y="0"/>
                      <a:ext cx="5756275" cy="2032636"/>
                    </a:xfrm>
                    <a:prstGeom prst="rect">
                      <a:avLst/>
                    </a:prstGeom>
                    <a:ln w="12700" cap="flat">
                      <a:noFill/>
                      <a:miter lim="400000"/>
                    </a:ln>
                    <a:effectLst/>
                  </pic:spPr>
                </pic:pic>
              </a:graphicData>
            </a:graphic>
          </wp:anchor>
        </w:drawing>
      </w:r>
    </w:p>
    <w:p>
      <w:pPr>
        <w:pStyle w:val="Heading"/>
        <w:spacing w:line="360" w:lineRule="auto"/>
      </w:pPr>
      <w:r>
        <w:rPr>
          <w:rtl w:val="0"/>
          <w:lang w:val="en-US"/>
        </w:rPr>
        <w:t xml:space="preserve">Table 3: </w:t>
      </w:r>
      <w:r>
        <w:rPr>
          <w:rtl w:val="0"/>
          <w:lang w:val="en-US"/>
        </w:rPr>
        <w:t>summary of the output of Fisher</w:t>
      </w:r>
      <w:r>
        <w:rPr>
          <w:rtl w:val="0"/>
          <w:lang w:val="en-US"/>
        </w:rPr>
        <w:t>’</w:t>
      </w:r>
      <w:r>
        <w:rPr>
          <w:rtl w:val="0"/>
          <w:lang w:val="en-US"/>
        </w:rPr>
        <w:t>s exact test.</w:t>
      </w:r>
    </w:p>
    <w:p>
      <w:pPr>
        <w:pStyle w:val="Body B"/>
        <w:tabs>
          <w:tab w:val="left" w:pos="3525"/>
        </w:tabs>
        <w:spacing w:line="360" w:lineRule="auto"/>
      </w:pPr>
      <w:r>
        <w:tab/>
      </w:r>
    </w:p>
    <w:p>
      <w:pPr>
        <w:pStyle w:val="Heading"/>
        <w:spacing w:line="360" w:lineRule="auto"/>
      </w:pPr>
      <w:r>
        <w:rPr>
          <w:rtl w:val="0"/>
          <w:lang w:val="en-US"/>
        </w:rPr>
        <w:t>Discussion:</w:t>
      </w:r>
    </w:p>
    <w:p>
      <w:pPr>
        <w:pStyle w:val="Default"/>
        <w:spacing w:before="0" w:after="326" w:line="360" w:lineRule="auto"/>
        <w:rPr>
          <w:rFonts w:ascii="Times New Roman" w:cs="Times New Roman" w:hAnsi="Times New Roman" w:eastAsia="Times New Roman"/>
        </w:rPr>
      </w:pPr>
      <w:r>
        <w:rPr>
          <w:rFonts w:ascii="Times New Roman" w:hAnsi="Times New Roman"/>
          <w:rtl w:val="0"/>
          <w:lang w:val="en-US"/>
        </w:rPr>
        <w:t xml:space="preserve">Most of health care providers mix up between ASB and UTIs, therefore to prevent this confusion, specific measures and guidelines were introduced, including that the diagnosis of ASB is based on results of culture of a urine sample collected in a way that minimizes contamination. For asymptomatic females, bacteriuria is defined as 2 consecutive voided urine specimens with isolation of the same bacterial strain in quantitative counts </w:t>
      </w:r>
      <w:r>
        <w:rPr>
          <w:rFonts w:ascii="Arial Unicode MS" w:cs="Arial Unicode MS" w:hAnsi="Arial Unicode MS" w:eastAsia="Arial Unicode MS" w:hint="default"/>
          <w:b w:val="0"/>
          <w:bCs w:val="0"/>
          <w:i w:val="0"/>
          <w:iCs w:val="0"/>
          <w:rtl w:val="0"/>
          <w:lang w:val="en-US"/>
        </w:rPr>
        <w:t>⩾</w:t>
      </w:r>
      <w:r>
        <w:rPr>
          <w:rFonts w:ascii="Times New Roman" w:hAnsi="Times New Roman"/>
          <w:rtl w:val="0"/>
          <w:lang w:val="en-US"/>
        </w:rPr>
        <w:t>10</w:t>
      </w:r>
      <w:r>
        <w:rPr>
          <w:rFonts w:ascii="Times New Roman" w:hAnsi="Times New Roman"/>
          <w:vertAlign w:val="superscript"/>
          <w:rtl w:val="0"/>
          <w:lang w:val="en-US"/>
        </w:rPr>
        <w:t>5</w:t>
      </w:r>
      <w:r>
        <w:rPr>
          <w:rFonts w:ascii="Times New Roman" w:hAnsi="Times New Roman"/>
          <w:rtl w:val="0"/>
          <w:lang w:val="en-US"/>
        </w:rPr>
        <w:t xml:space="preserve"> cfu/mL; and for identification of ASB in males, a single, clean-catch voided urine specimen with 1 bacterial species isolated in a quantitative count </w:t>
      </w:r>
      <w:r>
        <w:rPr>
          <w:rFonts w:ascii="Arial Unicode MS" w:cs="Arial Unicode MS" w:hAnsi="Arial Unicode MS" w:eastAsia="Arial Unicode MS" w:hint="default"/>
          <w:b w:val="0"/>
          <w:bCs w:val="0"/>
          <w:i w:val="0"/>
          <w:iCs w:val="0"/>
          <w:rtl w:val="0"/>
          <w:lang w:val="en-US"/>
        </w:rPr>
        <w:t>⩾</w:t>
      </w:r>
      <w:r>
        <w:rPr>
          <w:rFonts w:ascii="Times New Roman" w:hAnsi="Times New Roman"/>
          <w:rtl w:val="0"/>
          <w:lang w:val="en-US"/>
        </w:rPr>
        <w:t>10</w:t>
      </w:r>
      <w:r>
        <w:rPr>
          <w:rFonts w:ascii="Times New Roman" w:hAnsi="Times New Roman"/>
          <w:vertAlign w:val="superscript"/>
          <w:rtl w:val="0"/>
          <w:lang w:val="en-US"/>
        </w:rPr>
        <w:t>5</w:t>
      </w:r>
      <w:r>
        <w:rPr>
          <w:rFonts w:ascii="Times New Roman" w:hAnsi="Times New Roman"/>
          <w:rtl w:val="0"/>
          <w:lang w:val="en-US"/>
        </w:rPr>
        <w:t xml:space="preserve"> cfu/mL [2].</w:t>
      </w:r>
    </w:p>
    <w:p>
      <w:pPr>
        <w:pStyle w:val="Body B"/>
        <w:spacing w:line="360" w:lineRule="auto"/>
        <w:rPr>
          <w:outline w:val="0"/>
          <w:color w:val="0d0d0d"/>
          <w:u w:color="0d0d0d"/>
          <w14:textFill>
            <w14:solidFill>
              <w14:srgbClr w14:val="0D0D0D"/>
            </w14:solidFill>
          </w14:textFill>
        </w:rPr>
      </w:pPr>
      <w:r>
        <w:rPr>
          <w:outline w:val="0"/>
          <w:color w:val="0d0d0d"/>
          <w:u w:color="0d0d0d"/>
          <w:rtl w:val="0"/>
          <w:lang w:val="en-US"/>
          <w14:textFill>
            <w14:solidFill>
              <w14:srgbClr w14:val="0D0D0D"/>
            </w14:solidFill>
          </w14:textFill>
        </w:rPr>
        <w:t xml:space="preserve">Microscopic examination revealed gram negative rods, MAC agar revealed lactose-fermenting pink colonies, and blood agar revealed beta-hemolytic colonies, all summed up points to the bacterium </w:t>
      </w:r>
      <w:r>
        <w:rPr>
          <w:i w:val="1"/>
          <w:iCs w:val="1"/>
          <w:rtl w:val="0"/>
          <w:lang w:val="it-IT"/>
        </w:rPr>
        <w:t>Escherichia coli</w:t>
      </w:r>
      <w:r>
        <w:rPr>
          <w:i w:val="1"/>
          <w:iCs w:val="1"/>
          <w:rtl w:val="0"/>
          <w:lang w:val="en-US"/>
        </w:rPr>
        <w:t>.</w:t>
      </w:r>
    </w:p>
    <w:p>
      <w:pPr>
        <w:pStyle w:val="Body B"/>
        <w:spacing w:line="360" w:lineRule="auto"/>
        <w:rPr>
          <w:outline w:val="0"/>
          <w:color w:val="0d0d0d"/>
          <w:u w:color="0d0d0d"/>
          <w14:textFill>
            <w14:solidFill>
              <w14:srgbClr w14:val="0D0D0D"/>
            </w14:solidFill>
          </w14:textFill>
        </w:rPr>
      </w:pPr>
    </w:p>
    <w:p>
      <w:pPr>
        <w:pStyle w:val="Body B"/>
        <w:spacing w:line="360" w:lineRule="auto"/>
        <w:rPr>
          <w:outline w:val="0"/>
          <w:color w:val="0d0d0d"/>
          <w:u w:color="0d0d0d"/>
          <w14:textFill>
            <w14:solidFill>
              <w14:srgbClr w14:val="0D0D0D"/>
            </w14:solidFill>
          </w14:textFill>
        </w:rPr>
      </w:pPr>
      <w:r>
        <w:rPr>
          <w:outline w:val="0"/>
          <w:color w:val="0d0d0d"/>
          <w:u w:color="0d0d0d"/>
          <w:rtl w:val="0"/>
          <w:lang w:val="en-US"/>
          <w14:textFill>
            <w14:solidFill>
              <w14:srgbClr w14:val="0D0D0D"/>
            </w14:solidFill>
          </w14:textFill>
        </w:rPr>
        <w:t>Fisher</w:t>
      </w:r>
      <w:r>
        <w:rPr>
          <w:outline w:val="0"/>
          <w:color w:val="0d0d0d"/>
          <w:u w:color="0d0d0d"/>
          <w:rtl w:val="0"/>
          <w:lang w:val="en-US"/>
          <w14:textFill>
            <w14:solidFill>
              <w14:srgbClr w14:val="0D0D0D"/>
            </w14:solidFill>
          </w14:textFill>
        </w:rPr>
        <w:t>’</w:t>
      </w:r>
      <w:r>
        <w:rPr>
          <w:outline w:val="0"/>
          <w:color w:val="0d0d0d"/>
          <w:u w:color="0d0d0d"/>
          <w:rtl w:val="0"/>
          <w:lang w:val="en-US"/>
          <w14:textFill>
            <w14:solidFill>
              <w14:srgbClr w14:val="0D0D0D"/>
            </w14:solidFill>
          </w14:textFill>
        </w:rPr>
        <w:t>s exact test was used instead of Chi-square test because the assumptions were</w:t>
      </w:r>
      <w:r>
        <w:rPr>
          <w:outline w:val="0"/>
          <w:color w:val="0d0d0d"/>
          <w:u w:color="0d0d0d"/>
          <w:rtl w:val="0"/>
          <w:lang w:val="en-US"/>
          <w14:textFill>
            <w14:solidFill>
              <w14:srgbClr w14:val="0D0D0D"/>
            </w14:solidFill>
          </w14:textFill>
        </w:rPr>
        <w:t xml:space="preserve"> not</w:t>
      </w:r>
      <w:r>
        <w:rPr>
          <w:outline w:val="0"/>
          <w:color w:val="0d0d0d"/>
          <w:u w:color="0d0d0d"/>
          <w:rtl w:val="0"/>
          <w:lang w:val="en-US"/>
          <w14:textFill>
            <w14:solidFill>
              <w14:srgbClr w14:val="0D0D0D"/>
            </w14:solidFill>
          </w14:textFill>
        </w:rPr>
        <w:t xml:space="preserve"> met in the latter, due to the small sample size.</w:t>
      </w:r>
    </w:p>
    <w:p>
      <w:pPr>
        <w:pStyle w:val="Body B"/>
        <w:spacing w:line="360" w:lineRule="auto"/>
        <w:rPr>
          <w:outline w:val="0"/>
          <w:color w:val="0d0d0d"/>
          <w:u w:color="0d0d0d"/>
          <w14:textFill>
            <w14:solidFill>
              <w14:srgbClr w14:val="0D0D0D"/>
            </w14:solidFill>
          </w14:textFill>
        </w:rPr>
      </w:pPr>
      <w:r>
        <w:rPr>
          <w:outline w:val="0"/>
          <w:color w:val="0d0d0d"/>
          <w:u w:color="0d0d0d"/>
          <w:rtl w:val="0"/>
          <w:lang w:val="en-US"/>
          <w14:textFill>
            <w14:solidFill>
              <w14:srgbClr w14:val="0D0D0D"/>
            </w14:solidFill>
          </w14:textFill>
        </w:rPr>
        <w:t>Since the p-value is less than 0.05 as shown in {table 3}, the null hypothesis is rejected. As a result the test has proved that there is association between developing asymptomatic bacteriuria and the gender, and there is significant difference between females and males in having ASB.</w:t>
      </w:r>
    </w:p>
    <w:p>
      <w:pPr>
        <w:pStyle w:val="Body B"/>
        <w:spacing w:line="360" w:lineRule="auto"/>
        <w:rPr>
          <w:outline w:val="0"/>
          <w:color w:val="0d0d0d"/>
          <w:u w:color="0d0d0d"/>
          <w14:textFill>
            <w14:solidFill>
              <w14:srgbClr w14:val="0D0D0D"/>
            </w14:solidFill>
          </w14:textFill>
        </w:rPr>
      </w:pPr>
      <w:r>
        <w:rPr>
          <w:outline w:val="0"/>
          <w:color w:val="0d0d0d"/>
          <w:u w:color="0d0d0d"/>
          <w:rtl w:val="0"/>
          <w:lang w:val="en-US"/>
          <w14:textFill>
            <w14:solidFill>
              <w14:srgbClr w14:val="0D0D0D"/>
            </w14:solidFill>
          </w14:textFill>
        </w:rPr>
        <w:t xml:space="preserve">In the first category, 75% of males, Compared to 16.7% of females had no bacterial growth after incubating the sample for 24 to 48 hours, revealing a healthy urinary tract. In the second category 25% of males, compared to 66.7% of females had no significant bacterial growth, the little growth might have been due to contamination of the sample by normal flora or aseptic technique in the urine collection. In the third category, only 16.7% of females had significant growth, manifesting ASB, compared to 0% males. Consequently ASB is more common in females, due to the shorter urethra and the proximity of the urethra to the rectum, causing an infection in the urinary tract by </w:t>
      </w:r>
      <w:r>
        <w:rPr>
          <w:i w:val="1"/>
          <w:iCs w:val="1"/>
          <w:outline w:val="0"/>
          <w:color w:val="0d0d0d"/>
          <w:u w:color="0d0d0d"/>
          <w:rtl w:val="0"/>
          <w:lang w:val="en-US"/>
          <w14:textFill>
            <w14:solidFill>
              <w14:srgbClr w14:val="0D0D0D"/>
            </w14:solidFill>
          </w14:textFill>
        </w:rPr>
        <w:t xml:space="preserve">E.coli, </w:t>
      </w:r>
      <w:r>
        <w:rPr>
          <w:outline w:val="0"/>
          <w:color w:val="0d0d0d"/>
          <w:u w:color="0d0d0d"/>
          <w:rtl w:val="0"/>
          <w:lang w:val="en-US"/>
          <w14:textFill>
            <w14:solidFill>
              <w14:srgbClr w14:val="0D0D0D"/>
            </w14:solidFill>
          </w14:textFill>
        </w:rPr>
        <w:t>which is</w:t>
      </w:r>
      <w:r>
        <w:rPr>
          <w:i w:val="1"/>
          <w:iCs w:val="1"/>
          <w:outline w:val="0"/>
          <w:color w:val="0d0d0d"/>
          <w:u w:color="0d0d0d"/>
          <w:rtl w:val="0"/>
          <w:lang w:val="en-US"/>
          <w14:textFill>
            <w14:solidFill>
              <w14:srgbClr w14:val="0D0D0D"/>
            </w14:solidFill>
          </w14:textFill>
        </w:rPr>
        <w:t xml:space="preserve"> </w:t>
      </w:r>
      <w:r>
        <w:rPr>
          <w:outline w:val="0"/>
          <w:color w:val="0d0d0d"/>
          <w:u w:color="0d0d0d"/>
          <w:rtl w:val="0"/>
          <w:lang w:val="en-US"/>
          <w14:textFill>
            <w14:solidFill>
              <w14:srgbClr w14:val="0D0D0D"/>
            </w14:solidFill>
          </w14:textFill>
        </w:rPr>
        <w:t>considered to be</w:t>
      </w:r>
      <w:r>
        <w:rPr>
          <w:i w:val="1"/>
          <w:iCs w:val="1"/>
          <w:outline w:val="0"/>
          <w:color w:val="0d0d0d"/>
          <w:u w:color="0d0d0d"/>
          <w:rtl w:val="0"/>
          <w:lang w:val="en-US"/>
          <w14:textFill>
            <w14:solidFill>
              <w14:srgbClr w14:val="0D0D0D"/>
            </w14:solidFill>
          </w14:textFill>
        </w:rPr>
        <w:t xml:space="preserve"> </w:t>
      </w:r>
      <w:r>
        <w:rPr>
          <w:outline w:val="0"/>
          <w:color w:val="0d0d0d"/>
          <w:u w:color="0d0d0d"/>
          <w:rtl w:val="0"/>
          <w:lang w:val="en-US"/>
          <w14:textFill>
            <w14:solidFill>
              <w14:srgbClr w14:val="0D0D0D"/>
            </w14:solidFill>
          </w14:textFill>
        </w:rPr>
        <w:t xml:space="preserve">the most common cause of  community acquired UTI [6]. Furthermore UTIs are twice more likely to occur in females compared to males and its prevalence increases with increasing age [4], predisposing risk factors associated with developing a UTI are shown in {table 4}. Isolated </w:t>
      </w:r>
      <w:r>
        <w:rPr>
          <w:i w:val="1"/>
          <w:iCs w:val="1"/>
          <w:outline w:val="0"/>
          <w:color w:val="0d0d0d"/>
          <w:u w:color="0d0d0d"/>
          <w:rtl w:val="0"/>
          <w:lang w:val="en-US"/>
          <w14:textFill>
            <w14:solidFill>
              <w14:srgbClr w14:val="0D0D0D"/>
            </w14:solidFill>
          </w14:textFill>
        </w:rPr>
        <w:t>E.coli</w:t>
      </w:r>
      <w:r>
        <w:rPr>
          <w:outline w:val="0"/>
          <w:color w:val="0d0d0d"/>
          <w:u w:color="0d0d0d"/>
          <w:rtl w:val="0"/>
          <w:lang w:val="en-US"/>
          <w14:textFill>
            <w14:solidFill>
              <w14:srgbClr w14:val="0D0D0D"/>
            </w14:solidFill>
          </w14:textFill>
        </w:rPr>
        <w:t xml:space="preserve"> strains from females with ASB has been found to have fewer virulence characteristics than from those isolated from females with symptomatic infection [2]. Although individuals of ASB are at high risk of developing symptomatic urinary infection, but it hasn</w:t>
      </w:r>
      <w:r>
        <w:rPr>
          <w:outline w:val="0"/>
          <w:color w:val="0d0d0d"/>
          <w:u w:color="0d0d0d"/>
          <w:rtl w:val="0"/>
          <w:lang w:val="en-US"/>
          <w14:textFill>
            <w14:solidFill>
              <w14:srgbClr w14:val="0D0D0D"/>
            </w14:solidFill>
          </w14:textFill>
        </w:rPr>
        <w:t>’</w:t>
      </w:r>
      <w:r>
        <w:rPr>
          <w:outline w:val="0"/>
          <w:color w:val="0d0d0d"/>
          <w:u w:color="0d0d0d"/>
          <w:rtl w:val="0"/>
          <w:lang w:val="en-US"/>
          <w14:textFill>
            <w14:solidFill>
              <w14:srgbClr w14:val="0D0D0D"/>
            </w14:solidFill>
          </w14:textFill>
        </w:rPr>
        <w:t>t shown to be harmful to adults of all populations. In contrast</w:t>
      </w:r>
      <w:r>
        <w:rPr>
          <w:outline w:val="0"/>
          <w:color w:val="0d0d0d"/>
          <w:u w:color="0d0d0d"/>
          <w:rtl w:val="0"/>
          <w:lang w:val="en-US"/>
          <w14:textFill>
            <w14:solidFill>
              <w14:srgbClr w14:val="0D0D0D"/>
            </w14:solidFill>
          </w14:textFill>
        </w:rPr>
        <w:t>,</w:t>
      </w:r>
      <w:r>
        <w:rPr>
          <w:outline w:val="0"/>
          <w:color w:val="0d0d0d"/>
          <w:u w:color="0d0d0d"/>
          <w:rtl w:val="0"/>
          <w:lang w:val="en-US"/>
          <w14:textFill>
            <w14:solidFill>
              <w14:srgbClr w14:val="0D0D0D"/>
            </w14:solidFill>
          </w14:textFill>
        </w:rPr>
        <w:t xml:space="preserve"> pregnant women and patients who undergo traumatic urologic interventions with mucosal bleeding, should be screened for ASB and treated immediately if test results were positive, therefore preventing any harmful complications [2].</w:t>
      </w:r>
    </w:p>
    <w:p>
      <w:pPr>
        <w:pStyle w:val="Body B"/>
        <w:spacing w:line="360" w:lineRule="auto"/>
        <w:rPr>
          <w:outline w:val="0"/>
          <w:color w:val="0d0d0d"/>
          <w:u w:color="0d0d0d"/>
          <w14:textFill>
            <w14:solidFill>
              <w14:srgbClr w14:val="0D0D0D"/>
            </w14:solidFill>
          </w14:textFill>
        </w:rPr>
      </w:pPr>
      <w:r>
        <w:rPr>
          <w:outline w:val="0"/>
          <w:color w:val="0d0d0d"/>
          <w:u w:color="0d0d0d"/>
          <w14:textFill>
            <w14:solidFill>
              <w14:srgbClr w14:val="0D0D0D"/>
            </w14:solidFill>
          </w14:textFill>
        </w:rPr>
        <w:drawing xmlns:a="http://schemas.openxmlformats.org/drawingml/2006/main">
          <wp:anchor distT="152400" distB="152400" distL="152400" distR="152400" simplePos="0" relativeHeight="251661312" behindDoc="0" locked="0" layoutInCell="1" allowOverlap="1">
            <wp:simplePos x="0" y="0"/>
            <wp:positionH relativeFrom="margin">
              <wp:posOffset>-257877</wp:posOffset>
            </wp:positionH>
            <wp:positionV relativeFrom="line">
              <wp:posOffset>353437</wp:posOffset>
            </wp:positionV>
            <wp:extent cx="4500322" cy="3361873"/>
            <wp:effectExtent l="0" t="0" r="0" b="0"/>
            <wp:wrapThrough wrapText="bothSides" distL="152400" distR="152400">
              <wp:wrapPolygon edited="1">
                <wp:start x="0" y="0"/>
                <wp:lineTo x="0" y="21600"/>
                <wp:lineTo x="21599" y="21600"/>
                <wp:lineTo x="21599" y="0"/>
                <wp:lineTo x="0" y="0"/>
              </wp:wrapPolygon>
            </wp:wrapThrough>
            <wp:docPr id="1073741829" name="officeArt object" descr="Image"/>
            <wp:cNvGraphicFramePr/>
            <a:graphic xmlns:a="http://schemas.openxmlformats.org/drawingml/2006/main">
              <a:graphicData uri="http://schemas.openxmlformats.org/drawingml/2006/picture">
                <pic:pic xmlns:pic="http://schemas.openxmlformats.org/drawingml/2006/picture">
                  <pic:nvPicPr>
                    <pic:cNvPr id="1073741829" name="Image" descr="Image"/>
                    <pic:cNvPicPr>
                      <a:picLocks noChangeAspect="1"/>
                    </pic:cNvPicPr>
                  </pic:nvPicPr>
                  <pic:blipFill>
                    <a:blip r:embed="rId12">
                      <a:extLst/>
                    </a:blip>
                    <a:srcRect l="0" t="19151" r="0" b="0"/>
                    <a:stretch>
                      <a:fillRect/>
                    </a:stretch>
                  </pic:blipFill>
                  <pic:spPr>
                    <a:xfrm>
                      <a:off x="0" y="0"/>
                      <a:ext cx="4500322" cy="3361873"/>
                    </a:xfrm>
                    <a:prstGeom prst="rect">
                      <a:avLst/>
                    </a:prstGeom>
                    <a:ln w="12700" cap="flat">
                      <a:noFill/>
                      <a:miter lim="400000"/>
                    </a:ln>
                    <a:effectLst/>
                  </pic:spPr>
                </pic:pic>
              </a:graphicData>
            </a:graphic>
          </wp:anchor>
        </w:drawing>
      </w:r>
    </w:p>
    <w:p>
      <w:pPr>
        <w:pStyle w:val="Body B"/>
        <w:spacing w:line="360" w:lineRule="auto"/>
        <w:rPr>
          <w:outline w:val="0"/>
          <w:color w:val="0d0d0d"/>
          <w:u w:color="0d0d0d"/>
          <w14:textFill>
            <w14:solidFill>
              <w14:srgbClr w14:val="0D0D0D"/>
            </w14:solidFill>
          </w14:textFill>
        </w:rPr>
      </w:pPr>
    </w:p>
    <w:p>
      <w:pPr>
        <w:pStyle w:val="Body B"/>
        <w:spacing w:line="360" w:lineRule="auto"/>
        <w:rPr>
          <w:outline w:val="0"/>
          <w:color w:val="0d0d0d"/>
          <w:u w:color="0d0d0d"/>
          <w14:textFill>
            <w14:solidFill>
              <w14:srgbClr w14:val="0D0D0D"/>
            </w14:solidFill>
          </w14:textFill>
        </w:rPr>
      </w:pPr>
    </w:p>
    <w:p>
      <w:pPr>
        <w:pStyle w:val="Body B"/>
        <w:spacing w:line="360" w:lineRule="auto"/>
        <w:rPr>
          <w:outline w:val="0"/>
          <w:color w:val="0d0d0d"/>
          <w:u w:color="0d0d0d"/>
          <w14:textFill>
            <w14:solidFill>
              <w14:srgbClr w14:val="0D0D0D"/>
            </w14:solidFill>
          </w14:textFill>
        </w:rPr>
      </w:pPr>
    </w:p>
    <w:p>
      <w:pPr>
        <w:pStyle w:val="Body B"/>
        <w:spacing w:line="360" w:lineRule="auto"/>
        <w:rPr>
          <w:outline w:val="0"/>
          <w:color w:val="0d0d0d"/>
          <w:u w:color="0d0d0d"/>
          <w14:textFill>
            <w14:solidFill>
              <w14:srgbClr w14:val="0D0D0D"/>
            </w14:solidFill>
          </w14:textFill>
        </w:rPr>
      </w:pPr>
    </w:p>
    <w:p>
      <w:pPr>
        <w:pStyle w:val="Body B"/>
        <w:spacing w:line="360" w:lineRule="auto"/>
        <w:rPr>
          <w:outline w:val="0"/>
          <w:color w:val="0d0d0d"/>
          <w:u w:color="0d0d0d"/>
          <w14:textFill>
            <w14:solidFill>
              <w14:srgbClr w14:val="0D0D0D"/>
            </w14:solidFill>
          </w14:textFill>
        </w:rPr>
      </w:pPr>
    </w:p>
    <w:p>
      <w:pPr>
        <w:pStyle w:val="Body B"/>
        <w:spacing w:line="360" w:lineRule="auto"/>
        <w:rPr>
          <w:outline w:val="0"/>
          <w:color w:val="0d0d0d"/>
          <w:u w:color="0d0d0d"/>
          <w14:textFill>
            <w14:solidFill>
              <w14:srgbClr w14:val="0D0D0D"/>
            </w14:solidFill>
          </w14:textFill>
        </w:rPr>
      </w:pPr>
    </w:p>
    <w:p>
      <w:pPr>
        <w:pStyle w:val="Body B"/>
        <w:spacing w:line="360" w:lineRule="auto"/>
        <w:rPr>
          <w:b w:val="1"/>
          <w:bCs w:val="1"/>
          <w:outline w:val="0"/>
          <w:color w:val="0d0d0d"/>
          <w:u w:color="0d0d0d"/>
          <w14:textFill>
            <w14:solidFill>
              <w14:srgbClr w14:val="0D0D0D"/>
            </w14:solidFill>
          </w14:textFill>
        </w:rPr>
      </w:pPr>
      <w:r>
        <w:rPr>
          <w:b w:val="1"/>
          <w:bCs w:val="1"/>
          <w:outline w:val="0"/>
          <w:color w:val="0d0d0d"/>
          <w:u w:color="0d0d0d"/>
          <w:rtl w:val="0"/>
          <w:lang w:val="en-US"/>
          <w14:textFill>
            <w14:solidFill>
              <w14:srgbClr w14:val="0D0D0D"/>
            </w14:solidFill>
          </w14:textFill>
        </w:rPr>
        <w:t>Table 4: the risk factors associated with UTIs and recurrent UTIs [4].</w:t>
      </w:r>
    </w:p>
    <w:p>
      <w:pPr>
        <w:pStyle w:val="Heading"/>
        <w:spacing w:line="360" w:lineRule="auto"/>
      </w:pPr>
    </w:p>
    <w:p>
      <w:pPr>
        <w:pStyle w:val="Heading"/>
        <w:spacing w:line="360" w:lineRule="auto"/>
      </w:pPr>
    </w:p>
    <w:p>
      <w:pPr>
        <w:pStyle w:val="Heading"/>
        <w:spacing w:line="360" w:lineRule="auto"/>
        <w:rPr>
          <w:lang w:val="it-IT"/>
        </w:rPr>
      </w:pPr>
      <w:r>
        <w:rPr>
          <w:rtl w:val="0"/>
          <w:lang w:val="it-IT"/>
        </w:rPr>
        <w:t>Conclusion:</w:t>
      </w:r>
    </w:p>
    <w:p>
      <w:pPr>
        <w:pStyle w:val="Body B"/>
        <w:spacing w:line="360" w:lineRule="auto"/>
        <w:rPr>
          <w:outline w:val="0"/>
          <w:color w:val="0d0d0d"/>
          <w:u w:color="0d0d0d"/>
          <w14:textFill>
            <w14:solidFill>
              <w14:srgbClr w14:val="0D0D0D"/>
            </w14:solidFill>
          </w14:textFill>
        </w:rPr>
      </w:pPr>
      <w:r>
        <w:rPr>
          <w:outline w:val="0"/>
          <w:color w:val="0d0d0d"/>
          <w:u w:color="0d0d0d"/>
          <w:rtl w:val="0"/>
          <w:lang w:val="en-US"/>
          <w14:textFill>
            <w14:solidFill>
              <w14:srgbClr w14:val="0D0D0D"/>
            </w14:solidFill>
          </w14:textFill>
        </w:rPr>
        <w:t xml:space="preserve">Asymptomatic bacteriuria is a common manifestation caused mainly by colonization of </w:t>
      </w:r>
      <w:r>
        <w:rPr>
          <w:i w:val="1"/>
          <w:iCs w:val="1"/>
          <w:outline w:val="0"/>
          <w:color w:val="0d0d0d"/>
          <w:u w:color="0d0d0d"/>
          <w:rtl w:val="0"/>
          <w:lang w:val="en-US"/>
          <w14:textFill>
            <w14:solidFill>
              <w14:srgbClr w14:val="0D0D0D"/>
            </w14:solidFill>
          </w14:textFill>
        </w:rPr>
        <w:t>E.coli</w:t>
      </w:r>
      <w:r>
        <w:rPr>
          <w:outline w:val="0"/>
          <w:color w:val="0d0d0d"/>
          <w:u w:color="0d0d0d"/>
          <w:rtl w:val="0"/>
          <w:lang w:val="en-US"/>
          <w14:textFill>
            <w14:solidFill>
              <w14:srgbClr w14:val="0D0D0D"/>
            </w14:solidFill>
          </w14:textFill>
        </w:rPr>
        <w:t>. It</w:t>
      </w:r>
      <w:r>
        <w:rPr>
          <w:outline w:val="0"/>
          <w:color w:val="0d0d0d"/>
          <w:u w:color="0d0d0d"/>
          <w:rtl w:val="0"/>
          <w:lang w:val="en-US"/>
          <w14:textFill>
            <w14:solidFill>
              <w14:srgbClr w14:val="0D0D0D"/>
            </w14:solidFill>
          </w14:textFill>
        </w:rPr>
        <w:t xml:space="preserve"> is</w:t>
      </w:r>
      <w:r>
        <w:rPr>
          <w:outline w:val="0"/>
          <w:color w:val="0d0d0d"/>
          <w:u w:color="0d0d0d"/>
          <w:rtl w:val="0"/>
          <w:lang w:val="en-US"/>
          <w14:textFill>
            <w14:solidFill>
              <w14:srgbClr w14:val="0D0D0D"/>
            </w14:solidFill>
          </w14:textFill>
        </w:rPr>
        <w:t xml:space="preserve"> present more in females than males. Diagnosing ASB should be based on results of urine sample c</w:t>
      </w:r>
      <w:r>
        <w:rPr>
          <w:outline w:val="0"/>
          <w:color w:val="0d0d0d"/>
          <w:u w:color="0d0d0d"/>
          <w:rtl w:val="0"/>
          <w:lang w:val="fr-FR"/>
          <w14:textFill>
            <w14:solidFill>
              <w14:srgbClr w14:val="0D0D0D"/>
            </w14:solidFill>
          </w14:textFill>
        </w:rPr>
        <w:t>ulture</w:t>
      </w:r>
      <w:r>
        <w:rPr>
          <w:outline w:val="0"/>
          <w:color w:val="0d0d0d"/>
          <w:u w:color="0d0d0d"/>
          <w:rtl w:val="0"/>
          <w:lang w:val="en-US"/>
          <w14:textFill>
            <w14:solidFill>
              <w14:srgbClr w14:val="0D0D0D"/>
            </w14:solidFill>
          </w14:textFill>
        </w:rPr>
        <w:t>, collected in a way that minimizes contamination. In this applied experiment 16.7% of total females had significant bacterial growth, ASB patients may develop a UTI; ASB in adults usually resolve without treatment, while UTI needs to be treated. In addition, we need to diffuse awareness about the causes of both ASB and UTI, minimizing the number of new cases and the inappropriate use of antibiotics. Taking a larger sample size in the future will help improve this experiment. Raising the community awareness about the risk factors and the symptoms of UTI, will help detect the infection in its early stages, th</w:t>
      </w:r>
      <w:r>
        <w:rPr>
          <w:outline w:val="0"/>
          <w:color w:val="0d0d0d"/>
          <w:u w:color="0d0d0d"/>
          <w:rtl w:val="0"/>
          <w:lang w:val="en-US"/>
          <w14:textFill>
            <w14:solidFill>
              <w14:srgbClr w14:val="0D0D0D"/>
            </w14:solidFill>
          </w14:textFill>
        </w:rPr>
        <w:t>us</w:t>
      </w:r>
      <w:r>
        <w:rPr>
          <w:outline w:val="0"/>
          <w:color w:val="0d0d0d"/>
          <w:u w:color="0d0d0d"/>
          <w:rtl w:val="0"/>
          <w:lang w:val="en-US"/>
          <w14:textFill>
            <w14:solidFill>
              <w14:srgbClr w14:val="0D0D0D"/>
            </w14:solidFill>
          </w14:textFill>
        </w:rPr>
        <w:t xml:space="preserve"> providing the appropriate treatment, and reducing mental health issues associated with UTIs.</w:t>
      </w:r>
    </w:p>
    <w:p>
      <w:pPr>
        <w:pStyle w:val="Body"/>
      </w:pPr>
      <w:r>
        <w:rPr>
          <w:rFonts w:ascii="Arial Unicode MS" w:cs="Arial Unicode MS" w:hAnsi="Arial Unicode MS" w:eastAsia="Arial Unicode MS"/>
          <w:b w:val="0"/>
          <w:bCs w:val="0"/>
          <w:i w:val="0"/>
          <w:iCs w:val="0"/>
        </w:rPr>
        <w:br w:type="page"/>
      </w:r>
    </w:p>
    <w:p>
      <w:pPr>
        <w:pStyle w:val="Heading"/>
        <w:spacing w:line="360" w:lineRule="auto"/>
      </w:pPr>
      <w:r>
        <w:rPr>
          <w:rtl w:val="0"/>
          <w:lang w:val="en-US"/>
        </w:rPr>
        <w:t>List of references:</w:t>
      </w:r>
    </w:p>
    <w:p>
      <w:pPr>
        <w:pStyle w:val="Default"/>
        <w:numPr>
          <w:ilvl w:val="0"/>
          <w:numId w:val="2"/>
        </w:numPr>
        <w:bidi w:val="0"/>
        <w:spacing w:before="0" w:line="360" w:lineRule="auto"/>
        <w:ind w:right="0"/>
        <w:jc w:val="left"/>
        <w:rPr>
          <w:rFonts w:ascii="Times New Roman" w:hAnsi="Times New Roman"/>
          <w:outline w:val="0"/>
          <w:color w:val="212121"/>
          <w:rtl w:val="0"/>
          <w:lang w:val="en-US"/>
          <w14:textFill>
            <w14:solidFill>
              <w14:srgbClr w14:val="212121"/>
            </w14:solidFill>
          </w14:textFill>
        </w:rPr>
      </w:pPr>
      <w:r>
        <w:rPr>
          <w:rFonts w:ascii="Times New Roman" w:hAnsi="Times New Roman"/>
          <w:outline w:val="0"/>
          <w:color w:val="212121"/>
          <w:u w:color="212121"/>
          <w:shd w:val="clear" w:color="auto" w:fill="feffff"/>
          <w:rtl w:val="0"/>
          <w:lang w:val="en-US"/>
          <w14:textFill>
            <w14:solidFill>
              <w14:srgbClr w14:val="212121"/>
            </w14:solidFill>
          </w14:textFill>
        </w:rPr>
        <w:t xml:space="preserve">Ruben FL, Dearwater SR, Norden CW, et al. Clinical infections in the noninstitutionalized geriatric age group: methods utilized and incidence of infections. The Pittsburgh Good Health Study. </w:t>
      </w:r>
      <w:r>
        <w:rPr>
          <w:rFonts w:ascii="Times New Roman" w:hAnsi="Times New Roman"/>
          <w:i w:val="1"/>
          <w:iCs w:val="1"/>
          <w:outline w:val="0"/>
          <w:color w:val="212121"/>
          <w:u w:color="212121"/>
          <w:shd w:val="clear" w:color="auto" w:fill="feffff"/>
          <w:rtl w:val="0"/>
          <w:lang w:val="de-DE"/>
          <w14:textFill>
            <w14:solidFill>
              <w14:srgbClr w14:val="212121"/>
            </w14:solidFill>
          </w14:textFill>
        </w:rPr>
        <w:t>Am J Epidemiol</w:t>
      </w:r>
      <w:r>
        <w:rPr>
          <w:rFonts w:ascii="Times New Roman" w:hAnsi="Times New Roman"/>
          <w:outline w:val="0"/>
          <w:color w:val="212121"/>
          <w:u w:color="212121"/>
          <w:shd w:val="clear" w:color="auto" w:fill="feffff"/>
          <w:rtl w:val="0"/>
          <w:lang w:val="fr-FR"/>
          <w14:textFill>
            <w14:solidFill>
              <w14:srgbClr w14:val="212121"/>
            </w14:solidFill>
          </w14:textFill>
        </w:rPr>
        <w:t>. 1995;141(2):145-157. doi:10.1093/oxfordjournals.aje.a117402</w:t>
      </w:r>
    </w:p>
    <w:p>
      <w:pPr>
        <w:pStyle w:val="Default"/>
        <w:numPr>
          <w:ilvl w:val="0"/>
          <w:numId w:val="2"/>
        </w:numPr>
        <w:bidi w:val="0"/>
        <w:spacing w:before="0" w:line="360" w:lineRule="auto"/>
        <w:ind w:right="0"/>
        <w:jc w:val="left"/>
        <w:rPr>
          <w:rFonts w:ascii="Times New Roman" w:hAnsi="Times New Roman"/>
          <w:outline w:val="0"/>
          <w:color w:val="212121"/>
          <w:rtl w:val="0"/>
          <w:lang w:val="en-US"/>
          <w14:textFill>
            <w14:solidFill>
              <w14:srgbClr w14:val="212121"/>
            </w14:solidFill>
          </w14:textFill>
        </w:rPr>
      </w:pPr>
      <w:r>
        <w:rPr>
          <w:rFonts w:ascii="Times New Roman" w:hAnsi="Times New Roman"/>
          <w:outline w:val="0"/>
          <w:color w:val="212121"/>
          <w:u w:color="212121"/>
          <w:shd w:val="clear" w:color="auto" w:fill="feffff"/>
          <w:rtl w:val="0"/>
          <w:lang w:val="en-US"/>
          <w14:textFill>
            <w14:solidFill>
              <w14:srgbClr w14:val="212121"/>
            </w14:solidFill>
          </w14:textFill>
        </w:rPr>
        <w:t xml:space="preserve"> Nicolle LE, Bradley S, Colgan R, et al. Infectious Diseases Society of America guidelines for the diagnosis and treatment of asymptomatic bacteriuria in adults [published correction appears in Clin Infect Dis. 2005 May 15;40(10):1556]. </w:t>
      </w:r>
      <w:r>
        <w:rPr>
          <w:rFonts w:ascii="Times New Roman" w:hAnsi="Times New Roman"/>
          <w:i w:val="1"/>
          <w:iCs w:val="1"/>
          <w:outline w:val="0"/>
          <w:color w:val="212121"/>
          <w:u w:color="212121"/>
          <w:shd w:val="clear" w:color="auto" w:fill="feffff"/>
          <w:rtl w:val="0"/>
          <w:lang w:val="en-US"/>
          <w14:textFill>
            <w14:solidFill>
              <w14:srgbClr w14:val="212121"/>
            </w14:solidFill>
          </w14:textFill>
        </w:rPr>
        <w:t>Clin Infect Dis</w:t>
      </w:r>
      <w:r>
        <w:rPr>
          <w:rFonts w:ascii="Times New Roman" w:hAnsi="Times New Roman"/>
          <w:outline w:val="0"/>
          <w:color w:val="212121"/>
          <w:u w:color="212121"/>
          <w:shd w:val="clear" w:color="auto" w:fill="feffff"/>
          <w:rtl w:val="0"/>
          <w:lang w:val="en-US"/>
          <w14:textFill>
            <w14:solidFill>
              <w14:srgbClr w14:val="212121"/>
            </w14:solidFill>
          </w14:textFill>
        </w:rPr>
        <w:t>. 2005;40(5):643-654. doi:10.1086/427507</w:t>
      </w:r>
    </w:p>
    <w:p>
      <w:pPr>
        <w:pStyle w:val="Default"/>
        <w:numPr>
          <w:ilvl w:val="0"/>
          <w:numId w:val="2"/>
        </w:numPr>
        <w:bidi w:val="0"/>
        <w:spacing w:before="0" w:line="360" w:lineRule="auto"/>
        <w:ind w:right="0"/>
        <w:jc w:val="left"/>
        <w:rPr>
          <w:rFonts w:ascii="Times New Roman" w:hAnsi="Times New Roman"/>
          <w:outline w:val="0"/>
          <w:color w:val="212121"/>
          <w:rtl w:val="0"/>
          <w:lang w:val="en-US"/>
          <w14:textFill>
            <w14:solidFill>
              <w14:srgbClr w14:val="212121"/>
            </w14:solidFill>
          </w14:textFill>
        </w:rPr>
      </w:pPr>
      <w:r>
        <w:rPr>
          <w:rFonts w:ascii="Times New Roman" w:hAnsi="Times New Roman"/>
          <w:outline w:val="0"/>
          <w:color w:val="212121"/>
          <w:u w:color="212121"/>
          <w:shd w:val="clear" w:color="auto" w:fill="feffff"/>
          <w:rtl w:val="0"/>
          <w:lang w:val="en-US"/>
          <w14:textFill>
            <w14:solidFill>
              <w14:srgbClr w14:val="212121"/>
            </w14:solidFill>
          </w14:textFill>
        </w:rPr>
        <w:t xml:space="preserve"> Givler DN, Givler A. Asymptomatic Bacteriuria. In: </w:t>
      </w:r>
      <w:r>
        <w:rPr>
          <w:rFonts w:ascii="Times New Roman" w:hAnsi="Times New Roman"/>
          <w:i w:val="1"/>
          <w:iCs w:val="1"/>
          <w:outline w:val="0"/>
          <w:color w:val="212121"/>
          <w:u w:color="212121"/>
          <w:shd w:val="clear" w:color="auto" w:fill="feffff"/>
          <w:rtl w:val="0"/>
          <w:lang w:val="en-US"/>
          <w14:textFill>
            <w14:solidFill>
              <w14:srgbClr w14:val="212121"/>
            </w14:solidFill>
          </w14:textFill>
        </w:rPr>
        <w:t>StatPearls</w:t>
      </w:r>
      <w:r>
        <w:rPr>
          <w:rFonts w:ascii="Times New Roman" w:hAnsi="Times New Roman"/>
          <w:outline w:val="0"/>
          <w:color w:val="212121"/>
          <w:u w:color="212121"/>
          <w:shd w:val="clear" w:color="auto" w:fill="feffff"/>
          <w:rtl w:val="0"/>
          <w:lang w:val="en-US"/>
          <w14:textFill>
            <w14:solidFill>
              <w14:srgbClr w14:val="212121"/>
            </w14:solidFill>
          </w14:textFill>
        </w:rPr>
        <w:t>. Treasure Island (FL): StatPearls Publishing; May 1, 2022.</w:t>
      </w:r>
    </w:p>
    <w:p>
      <w:pPr>
        <w:pStyle w:val="Default"/>
        <w:numPr>
          <w:ilvl w:val="0"/>
          <w:numId w:val="2"/>
        </w:numPr>
        <w:bidi w:val="0"/>
        <w:spacing w:before="0" w:line="360" w:lineRule="auto"/>
        <w:ind w:right="0"/>
        <w:jc w:val="left"/>
        <w:rPr>
          <w:rFonts w:ascii="Times New Roman" w:hAnsi="Times New Roman"/>
          <w:outline w:val="0"/>
          <w:color w:val="212121"/>
          <w:rtl w:val="0"/>
          <w:lang w:val="en-US"/>
          <w14:textFill>
            <w14:solidFill>
              <w14:srgbClr w14:val="212121"/>
            </w14:solidFill>
          </w14:textFill>
        </w:rPr>
      </w:pPr>
      <w:r>
        <w:rPr>
          <w:rFonts w:ascii="Times New Roman" w:hAnsi="Times New Roman"/>
          <w:outline w:val="0"/>
          <w:color w:val="212121"/>
          <w:u w:color="212121"/>
          <w:shd w:val="clear" w:color="auto" w:fill="feffff"/>
          <w:rtl w:val="0"/>
          <w:lang w:val="en-US"/>
          <w14:textFill>
            <w14:solidFill>
              <w14:srgbClr w14:val="212121"/>
            </w14:solidFill>
          </w14:textFill>
        </w:rPr>
        <w:t xml:space="preserve">  Abou Heidar NF, Degheili JA, Yacoubian AA, Khauli RB. Management of urinary tract infection in women: A practical approach for everyday practice. </w:t>
      </w:r>
      <w:r>
        <w:rPr>
          <w:rFonts w:ascii="Times New Roman" w:hAnsi="Times New Roman"/>
          <w:i w:val="1"/>
          <w:iCs w:val="1"/>
          <w:outline w:val="0"/>
          <w:color w:val="212121"/>
          <w:u w:color="212121"/>
          <w:shd w:val="clear" w:color="auto" w:fill="feffff"/>
          <w:rtl w:val="0"/>
          <w:lang w:val="en-US"/>
          <w14:textFill>
            <w14:solidFill>
              <w14:srgbClr w14:val="212121"/>
            </w14:solidFill>
          </w14:textFill>
        </w:rPr>
        <w:t>Urol Ann</w:t>
      </w:r>
      <w:r>
        <w:rPr>
          <w:rFonts w:ascii="Times New Roman" w:hAnsi="Times New Roman"/>
          <w:outline w:val="0"/>
          <w:color w:val="212121"/>
          <w:u w:color="212121"/>
          <w:shd w:val="clear" w:color="auto" w:fill="feffff"/>
          <w:rtl w:val="0"/>
          <w:lang w:val="en-US"/>
          <w14:textFill>
            <w14:solidFill>
              <w14:srgbClr w14:val="212121"/>
            </w14:solidFill>
          </w14:textFill>
        </w:rPr>
        <w:t>. 2019;11(4):339-346. doi:10.4103/UA.UA_104_19</w:t>
      </w:r>
    </w:p>
    <w:p>
      <w:pPr>
        <w:pStyle w:val="Default"/>
        <w:numPr>
          <w:ilvl w:val="0"/>
          <w:numId w:val="2"/>
        </w:numPr>
        <w:bidi w:val="0"/>
        <w:spacing w:before="0" w:line="360" w:lineRule="auto"/>
        <w:ind w:right="0"/>
        <w:jc w:val="left"/>
        <w:rPr>
          <w:rFonts w:ascii="Times New Roman" w:hAnsi="Times New Roman"/>
          <w:outline w:val="0"/>
          <w:color w:val="212121"/>
          <w:rtl w:val="0"/>
          <w:lang w:val="en-US"/>
          <w14:textFill>
            <w14:solidFill>
              <w14:srgbClr w14:val="212121"/>
            </w14:solidFill>
          </w14:textFill>
        </w:rPr>
      </w:pPr>
      <w:r>
        <w:rPr>
          <w:rFonts w:ascii="Times New Roman" w:hAnsi="Times New Roman"/>
          <w:outline w:val="0"/>
          <w:color w:val="212121"/>
          <w:u w:color="212121"/>
          <w:shd w:val="clear" w:color="auto" w:fill="feffff"/>
          <w:rtl w:val="0"/>
          <w:lang w:val="en-US"/>
          <w14:textFill>
            <w14:solidFill>
              <w14:srgbClr w14:val="212121"/>
            </w14:solidFill>
          </w14:textFill>
        </w:rPr>
        <w:t xml:space="preserve"> Jung B, Hoilat GJ. MacConkey Medium. In: </w:t>
      </w:r>
      <w:r>
        <w:rPr>
          <w:rFonts w:ascii="Times New Roman" w:hAnsi="Times New Roman"/>
          <w:i w:val="1"/>
          <w:iCs w:val="1"/>
          <w:outline w:val="0"/>
          <w:color w:val="212121"/>
          <w:u w:color="212121"/>
          <w:shd w:val="clear" w:color="auto" w:fill="feffff"/>
          <w:rtl w:val="0"/>
          <w:lang w:val="en-US"/>
          <w14:textFill>
            <w14:solidFill>
              <w14:srgbClr w14:val="212121"/>
            </w14:solidFill>
          </w14:textFill>
        </w:rPr>
        <w:t>StatPearls</w:t>
      </w:r>
      <w:r>
        <w:rPr>
          <w:rFonts w:ascii="Times New Roman" w:hAnsi="Times New Roman"/>
          <w:outline w:val="0"/>
          <w:color w:val="212121"/>
          <w:u w:color="212121"/>
          <w:shd w:val="clear" w:color="auto" w:fill="feffff"/>
          <w:rtl w:val="0"/>
          <w:lang w:val="en-US"/>
          <w14:textFill>
            <w14:solidFill>
              <w14:srgbClr w14:val="212121"/>
            </w14:solidFill>
          </w14:textFill>
        </w:rPr>
        <w:t>. Treasure Island (FL): StatPearls Publishing; October 5, 2021</w:t>
      </w:r>
    </w:p>
    <w:p>
      <w:pPr>
        <w:pStyle w:val="Default"/>
        <w:numPr>
          <w:ilvl w:val="0"/>
          <w:numId w:val="2"/>
        </w:numPr>
        <w:bidi w:val="0"/>
        <w:spacing w:before="0" w:line="360" w:lineRule="auto"/>
        <w:ind w:right="0"/>
        <w:jc w:val="left"/>
        <w:rPr>
          <w:rFonts w:ascii="Times New Roman" w:hAnsi="Times New Roman"/>
          <w:rtl w:val="0"/>
          <w:lang w:val="en-US"/>
        </w:rPr>
      </w:pPr>
      <w:r>
        <w:rPr>
          <w:rFonts w:ascii="Times New Roman" w:hAnsi="Times New Roman"/>
          <w:shd w:val="clear" w:color="auto" w:fill="feffff"/>
          <w:rtl w:val="0"/>
          <w:lang w:val="en-US"/>
        </w:rPr>
        <w:t>Levinson, Warren. Review of medical microbiology and immunology. 13rd ed. The McGraw-Hill Companies, 2014.</w:t>
      </w:r>
    </w:p>
    <w:sectPr>
      <w:headerReference w:type="default" r:id="rId13"/>
      <w:headerReference w:type="first" r:id="rId14"/>
      <w:footerReference w:type="default" r:id="rId15"/>
      <w:footerReference w:type="first" r:id="rId16"/>
      <w:pgSz w:w="11900" w:h="16840" w:orient="portrait"/>
      <w:pgMar w:top="1417" w:right="1701" w:bottom="1417" w:left="1701" w:header="567" w:footer="850"/>
      <w:pgNumType w:start="1"/>
      <w:titlePg w:val="1"/>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A"/>
      <w:tabs>
        <w:tab w:val="right" w:pos="8478"/>
        <w:tab w:val="clear" w:pos="9020"/>
      </w:tabs>
      <w:spacing w:line="360" w:lineRule="auto"/>
      <w:jc w:val="center"/>
    </w:pPr>
    <w:r>
      <w:rPr>
        <w:rtl w:val="0"/>
      </w:rPr>
      <w:fldChar w:fldCharType="begin" w:fldLock="0"/>
    </w:r>
    <w:r>
      <w:rPr>
        <w:rtl w:val="0"/>
      </w:rPr>
      <w:instrText xml:space="preserve"> PAGE </w:instrText>
    </w:r>
    <w:r>
      <w:rPr>
        <w:rtl w:val="0"/>
      </w:rPr>
      <w:fldChar w:fldCharType="separate" w:fldLock="0"/>
    </w:r>
    <w:r>
      <w:rPr>
        <w:rtl w:val="0"/>
      </w:rPr>
    </w:r>
    <w:r>
      <w:rPr>
        <w:rtl w:val="0"/>
      </w:rPr>
      <w:fldChar w:fldCharType="end" w:fldLock="0"/>
    </w:r>
  </w:p>
</w:ftr>
</file>

<file path=word/footer2.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ftr>
</file>

<file path=word/footer3.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A"/>
      <w:tabs>
        <w:tab w:val="right" w:pos="8478"/>
        <w:tab w:val="clear" w:pos="9020"/>
      </w:tabs>
      <w:spacing w:line="360" w:lineRule="auto"/>
      <w:jc w:val="center"/>
    </w:pPr>
    <w:r>
      <w:rPr>
        <w:rtl w:val="0"/>
      </w:rPr>
      <w:fldChar w:fldCharType="begin" w:fldLock="0"/>
    </w:r>
    <w:r>
      <w:rPr>
        <w:rtl w:val="0"/>
      </w:rPr>
      <w:instrText xml:space="preserve"> PAGE </w:instrText>
    </w:r>
    <w:r>
      <w:rPr>
        <w:rtl w:val="0"/>
      </w:rPr>
      <w:fldChar w:fldCharType="separate" w:fldLock="0"/>
    </w:r>
    <w:r>
      <w:rPr>
        <w:rtl w:val="0"/>
      </w:rPr>
    </w:r>
    <w:r>
      <w:rPr>
        <w:rtl w:val="0"/>
      </w:rPr>
      <w:fldChar w:fldCharType="end" w:fldLock="0"/>
    </w:r>
  </w:p>
</w:ftr>
</file>

<file path=word/footer4.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footer"/>
      <w:tabs>
        <w:tab w:val="right" w:pos="8478"/>
        <w:tab w:val="clear" w:pos="9026"/>
      </w:tabs>
      <w:jc w:val="center"/>
    </w:pPr>
    <w:r>
      <w:rPr>
        <w:rtl w:val="0"/>
      </w:rPr>
      <w:fldChar w:fldCharType="begin" w:fldLock="0"/>
    </w:r>
    <w:r>
      <w:rPr>
        <w:rtl w:val="0"/>
      </w:rPr>
      <w:instrText xml:space="preserve"> PAGE </w:instrText>
    </w:r>
    <w:r>
      <w:rPr>
        <w:rtl w:val="0"/>
      </w:rPr>
      <w:fldChar w:fldCharType="separate" w:fldLock="0"/>
    </w:r>
    <w:r>
      <w:rPr>
        <w:rtl w:val="0"/>
      </w:rPr>
    </w:r>
    <w:r>
      <w:rPr>
        <w:rtl w:val="0"/>
      </w:rPr>
      <w:fldChar w:fldCharType="end" w:fldLock="0"/>
    </w: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hdr>
</file>

<file path=word/header2.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hdr>
</file>

<file path=word/header3.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hdr>
</file>

<file path=word/header4.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Numbered"/>
  </w:abstractNum>
  <w:abstractNum w:abstractNumId="1">
    <w:multiLevelType w:val="hybridMultilevel"/>
    <w:styleLink w:val="Numbered"/>
    <w:lvl w:ilvl="0">
      <w:start w:val="1"/>
      <w:numFmt w:val="decimal"/>
      <w:suff w:val="tab"/>
      <w:lvlText w:val="%1."/>
      <w:lvlJc w:val="left"/>
      <w:pPr>
        <w:ind w:left="393" w:hanging="393"/>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suff w:val="tab"/>
      <w:lvlText w:val="%2."/>
      <w:lvlJc w:val="left"/>
      <w:pPr>
        <w:ind w:left="753" w:hanging="393"/>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suff w:val="tab"/>
      <w:lvlText w:val="%3."/>
      <w:lvlJc w:val="left"/>
      <w:pPr>
        <w:ind w:left="1113" w:hanging="393"/>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1473" w:hanging="393"/>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tab"/>
      <w:lvlText w:val="%5."/>
      <w:lvlJc w:val="left"/>
      <w:pPr>
        <w:ind w:left="1833" w:hanging="393"/>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tab"/>
      <w:lvlText w:val="%6."/>
      <w:lvlJc w:val="left"/>
      <w:pPr>
        <w:ind w:left="2193" w:hanging="393"/>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2553" w:hanging="393"/>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tab"/>
      <w:lvlText w:val="%8."/>
      <w:lvlJc w:val="left"/>
      <w:pPr>
        <w:ind w:left="2913" w:hanging="393"/>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tab"/>
      <w:lvlText w:val="%9."/>
      <w:lvlJc w:val="left"/>
      <w:pPr>
        <w:ind w:left="3273" w:hanging="393"/>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amp; Footer">
    <w:name w:val="Header &amp; Footer"/>
    <w:next w:val="Header &amp; Footer"/>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paragraph" w:styleId="Header &amp; Footer A">
    <w:name w:val="Header &amp; Footer A"/>
    <w:next w:val="Header &amp; Footer A"/>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Outline w14:w="12700" w14:cap="flat">
        <w14:noFill/>
        <w14:miter w14:lim="400000"/>
      </w14:textOutline>
      <w14:textFill>
        <w14:solidFill>
          <w14:srgbClr w14:val="000000"/>
        </w14:solidFill>
      </w14:textFill>
    </w:rPr>
  </w:style>
  <w:style w:type="paragraph" w:styleId="Title">
    <w:name w:val="Title"/>
    <w:next w:val="Body A"/>
    <w:pPr>
      <w:keepNext w:val="1"/>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b w:val="1"/>
      <w:bCs w:val="1"/>
      <w:i w:val="0"/>
      <w:iCs w:val="0"/>
      <w:caps w:val="0"/>
      <w:smallCaps w:val="0"/>
      <w:strike w:val="0"/>
      <w:dstrike w:val="0"/>
      <w:outline w:val="0"/>
      <w:color w:val="000000"/>
      <w:spacing w:val="0"/>
      <w:kern w:val="0"/>
      <w:position w:val="0"/>
      <w:sz w:val="60"/>
      <w:szCs w:val="60"/>
      <w:u w:val="none" w:color="000000"/>
      <w:shd w:val="nil" w:color="auto" w:fill="auto"/>
      <w:vertAlign w:val="baseline"/>
      <w:lang w:val="en-US"/>
      <w14:textOutline w14:w="12700" w14:cap="flat">
        <w14:noFill/>
        <w14:miter w14:lim="400000"/>
      </w14:textOutline>
      <w14:textFill>
        <w14:solidFill>
          <w14:srgbClr w14:val="000000"/>
        </w14:solidFill>
      </w14:textFill>
    </w:rPr>
  </w:style>
  <w:style w:type="paragraph" w:styleId="Body A">
    <w:name w:val="Body A"/>
    <w:next w:val="Body A"/>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2"/>
      <w:szCs w:val="22"/>
      <w:u w:val="none" w:color="000000"/>
      <w:shd w:val="nil" w:color="auto" w:fill="auto"/>
      <w:vertAlign w:val="baseline"/>
      <w:lang w:val="en-US"/>
      <w14:textOutline w14:w="12700" w14:cap="flat">
        <w14:noFill/>
        <w14:miter w14:lim="400000"/>
      </w14:textOutline>
      <w14:textFill>
        <w14:solidFill>
          <w14:srgbClr w14:val="000000"/>
        </w14:solidFill>
      </w14:textFill>
    </w:rPr>
  </w:style>
  <w:style w:type="paragraph" w:styleId="Heading">
    <w:name w:val="Heading"/>
    <w:next w:val="Body B"/>
    <w:pPr>
      <w:keepNext w:val="1"/>
      <w:keepLines w:val="1"/>
      <w:pageBreakBefore w:val="0"/>
      <w:widowControl w:val="1"/>
      <w:shd w:val="clear" w:color="auto" w:fill="auto"/>
      <w:suppressAutoHyphens w:val="0"/>
      <w:bidi w:val="0"/>
      <w:spacing w:before="480" w:after="0" w:line="240" w:lineRule="auto"/>
      <w:ind w:left="0" w:right="0" w:firstLine="0"/>
      <w:jc w:val="left"/>
      <w:outlineLvl w:val="0"/>
    </w:pPr>
    <w:rPr>
      <w:rFonts w:ascii="Times New Roman" w:cs="Times New Roman" w:hAnsi="Times New Roman" w:eastAsia="Times New Roman"/>
      <w:b w:val="1"/>
      <w:bCs w:val="1"/>
      <w:i w:val="0"/>
      <w:iCs w:val="0"/>
      <w:caps w:val="0"/>
      <w:smallCaps w:val="0"/>
      <w:strike w:val="0"/>
      <w:dstrike w:val="0"/>
      <w:outline w:val="0"/>
      <w:color w:val="0d0d0d"/>
      <w:spacing w:val="0"/>
      <w:kern w:val="0"/>
      <w:position w:val="0"/>
      <w:sz w:val="24"/>
      <w:szCs w:val="24"/>
      <w:u w:val="none" w:color="0d0d0d"/>
      <w:shd w:val="nil" w:color="auto" w:fill="auto"/>
      <w:vertAlign w:val="baseline"/>
      <w:lang w:val="en-US"/>
      <w14:textOutline w14:w="12700" w14:cap="flat">
        <w14:noFill/>
        <w14:miter w14:lim="400000"/>
      </w14:textOutline>
      <w14:textFill>
        <w14:solidFill>
          <w14:srgbClr w14:val="0D0D0D"/>
        </w14:solidFill>
      </w14:textFill>
    </w:rPr>
  </w:style>
  <w:style w:type="paragraph" w:styleId="Body B">
    <w:name w:val="Body B"/>
    <w:next w:val="Body B"/>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Outline w14:w="12700" w14:cap="flat">
        <w14:noFill/>
        <w14:miter w14:lim="400000"/>
      </w14:textOutline>
      <w14:textFill>
        <w14:solidFill>
          <w14:srgbClr w14:val="000000"/>
        </w14:solidFill>
      </w14:textFill>
    </w:rPr>
  </w:style>
  <w:style w:type="paragraph" w:styleId="footer">
    <w:name w:val="footer"/>
    <w:next w:val="footer"/>
    <w:pPr>
      <w:keepNext w:val="0"/>
      <w:keepLines w:val="0"/>
      <w:pageBreakBefore w:val="0"/>
      <w:widowControl w:val="1"/>
      <w:shd w:val="clear" w:color="auto" w:fill="auto"/>
      <w:tabs>
        <w:tab w:val="center" w:pos="4513"/>
        <w:tab w:val="right" w:pos="9026"/>
      </w:tabs>
      <w:suppressAutoHyphens w:val="0"/>
      <w:bidi w:val="0"/>
      <w:spacing w:before="0" w:after="0" w:line="240" w:lineRule="auto"/>
      <w:ind w:left="0" w:right="0" w:firstLine="0"/>
      <w:jc w:val="left"/>
      <w:outlineLvl w:val="9"/>
    </w:pPr>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Fill>
        <w14:solidFill>
          <w14:srgbClr w14:val="000000"/>
        </w14:solidFill>
      </w14:textFill>
    </w:rPr>
  </w:style>
  <w:style w:type="paragraph" w:styleId="Default">
    <w:name w:val="Default"/>
    <w:next w:val="Default"/>
    <w:pPr>
      <w:keepNext w:val="0"/>
      <w:keepLines w:val="0"/>
      <w:pageBreakBefore w:val="0"/>
      <w:widowControl w:val="1"/>
      <w:shd w:val="clear" w:color="auto" w:fill="auto"/>
      <w:suppressAutoHyphens w:val="0"/>
      <w:bidi w:val="0"/>
      <w:spacing w:before="160" w:after="0" w:line="288"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Outline w14:w="12700" w14:cap="flat">
        <w14:noFill/>
        <w14:miter w14:lim="400000"/>
      </w14:textOutline>
      <w14:textFill>
        <w14:solidFill>
          <w14:srgbClr w14:val="000000"/>
        </w14:solidFill>
      </w14:textFill>
    </w:rPr>
  </w:style>
  <w:style w:type="paragraph" w:styleId="Body">
    <w:name w:val="Body"/>
    <w:next w:val="Body"/>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14:textOutline>
        <w14:noFill/>
      </w14:textOutline>
      <w14:textFill>
        <w14:solidFill>
          <w14:srgbClr w14:val="000000"/>
        </w14:solidFill>
      </w14:textFill>
    </w:rPr>
  </w:style>
  <w:style w:type="numbering" w:styleId="Numbered">
    <w:name w:val="Numbered"/>
    <w:pPr>
      <w:numPr>
        <w:numId w:val="1"/>
      </w:numPr>
    </w:p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image" Target="media/image1.jpeg"/><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image" Target="media/image1.png"/><Relationship Id="rId10" Type="http://schemas.openxmlformats.org/officeDocument/2006/relationships/image" Target="media/image2.png"/><Relationship Id="rId11" Type="http://schemas.openxmlformats.org/officeDocument/2006/relationships/image" Target="media/image2.jpeg"/><Relationship Id="rId12" Type="http://schemas.openxmlformats.org/officeDocument/2006/relationships/image" Target="media/image3.jpeg"/><Relationship Id="rId13" Type="http://schemas.openxmlformats.org/officeDocument/2006/relationships/header" Target="header3.xml"/><Relationship Id="rId14" Type="http://schemas.openxmlformats.org/officeDocument/2006/relationships/header" Target="header4.xml"/><Relationship Id="rId15" Type="http://schemas.openxmlformats.org/officeDocument/2006/relationships/footer" Target="footer3.xml"/><Relationship Id="rId16" Type="http://schemas.openxmlformats.org/officeDocument/2006/relationships/footer" Target="footer4.xml"/><Relationship Id="rId17" Type="http://schemas.openxmlformats.org/officeDocument/2006/relationships/numbering" Target="numbering.xml"/><Relationship Id="rId18"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50800" tIns="50800" rIns="50800" bIns="50800"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