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AB1223" w14:textId="77777777" w:rsidR="00F05B76" w:rsidRPr="006C2CCC" w:rsidRDefault="009C566D" w:rsidP="00F05B76">
      <w:pPr>
        <w:jc w:val="center"/>
        <w:rPr>
          <w:rFonts w:asciiTheme="majorBidi" w:hAnsiTheme="majorBidi" w:cstheme="majorBidi"/>
          <w:sz w:val="24"/>
          <w:szCs w:val="24"/>
          <w:rtl/>
        </w:rPr>
      </w:pPr>
      <w:bookmarkStart w:id="0" w:name="_GoBack"/>
      <w:bookmarkEnd w:id="0"/>
      <w:r>
        <w:rPr>
          <w:rFonts w:asciiTheme="majorBidi" w:hAnsiTheme="majorBidi" w:cstheme="majorBidi"/>
          <w:noProof/>
          <w:sz w:val="24"/>
          <w:szCs w:val="24"/>
        </w:rPr>
        <w:drawing>
          <wp:anchor distT="0" distB="0" distL="114300" distR="114300" simplePos="0" relativeHeight="251659264" behindDoc="1" locked="0" layoutInCell="1" allowOverlap="1" wp14:anchorId="7B6846BD" wp14:editId="6A6EB925">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34C19D47" wp14:editId="02BB88A9">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10">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14:paraId="05E3B152" w14:textId="77777777"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14:paraId="0B1639C9" w14:textId="77777777" w:rsidR="006C2CCC" w:rsidRDefault="006C2CCC" w:rsidP="00F93603">
      <w:pPr>
        <w:jc w:val="center"/>
        <w:rPr>
          <w:rFonts w:asciiTheme="majorBidi" w:hAnsiTheme="majorBidi" w:cstheme="majorBidi"/>
          <w:sz w:val="24"/>
          <w:szCs w:val="24"/>
        </w:rPr>
      </w:pPr>
    </w:p>
    <w:p w14:paraId="6EB380D3" w14:textId="77777777" w:rsidR="00F05B76" w:rsidRPr="00F05B76" w:rsidRDefault="00F05B76" w:rsidP="00F05B76">
      <w:pPr>
        <w:jc w:val="center"/>
        <w:rPr>
          <w:rFonts w:asciiTheme="majorBidi" w:hAnsiTheme="majorBidi" w:cstheme="majorBidi"/>
          <w:b/>
          <w:bCs/>
          <w:sz w:val="28"/>
          <w:szCs w:val="28"/>
        </w:rPr>
      </w:pPr>
    </w:p>
    <w:p w14:paraId="77621051" w14:textId="77777777" w:rsidR="00F05B76" w:rsidRPr="00F05B76" w:rsidRDefault="00753EF6" w:rsidP="00F05B76">
      <w:pPr>
        <w:jc w:val="right"/>
        <w:rPr>
          <w:rFonts w:asciiTheme="majorBidi" w:hAnsiTheme="majorBidi" w:cstheme="majorBidi"/>
          <w:b/>
          <w:bCs/>
          <w:sz w:val="24"/>
          <w:szCs w:val="24"/>
          <w:rtl/>
        </w:rPr>
      </w:pPr>
      <w:r>
        <w:rPr>
          <w:rFonts w:asciiTheme="majorBidi" w:hAnsiTheme="majorBidi" w:cstheme="majorBidi"/>
          <w:sz w:val="24"/>
          <w:szCs w:val="24"/>
          <w:rtl/>
        </w:rPr>
        <w:tab/>
      </w:r>
      <w:r w:rsidR="00F05B76">
        <w:rPr>
          <w:rFonts w:asciiTheme="majorBidi" w:hAnsiTheme="majorBidi" w:cstheme="majorBidi" w:hint="cs"/>
          <w:b/>
          <w:bCs/>
          <w:sz w:val="24"/>
          <w:szCs w:val="24"/>
          <w:rtl/>
        </w:rPr>
        <w:t xml:space="preserve">                   </w:t>
      </w:r>
    </w:p>
    <w:p w14:paraId="0818E266" w14:textId="77777777" w:rsidR="00F05B76" w:rsidRDefault="00F05B76" w:rsidP="00753EF6">
      <w:pPr>
        <w:tabs>
          <w:tab w:val="left" w:pos="2891"/>
        </w:tabs>
        <w:rPr>
          <w:rFonts w:asciiTheme="majorBidi" w:hAnsiTheme="majorBidi" w:cstheme="majorBidi"/>
          <w:sz w:val="24"/>
          <w:szCs w:val="24"/>
          <w:rtl/>
        </w:rPr>
      </w:pPr>
    </w:p>
    <w:p w14:paraId="3DB216FB" w14:textId="77777777" w:rsidR="006C2CCC" w:rsidRDefault="006C2CCC" w:rsidP="006C2CCC">
      <w:pPr>
        <w:rPr>
          <w:rFonts w:asciiTheme="majorBidi" w:hAnsiTheme="majorBidi" w:cstheme="majorBidi"/>
          <w:sz w:val="24"/>
          <w:szCs w:val="24"/>
          <w:rtl/>
        </w:rPr>
      </w:pPr>
    </w:p>
    <w:p w14:paraId="7428704D" w14:textId="77777777" w:rsidR="007F2BD1" w:rsidRPr="0062228F" w:rsidRDefault="0062228F" w:rsidP="0062228F">
      <w:pPr>
        <w:bidi w:val="0"/>
        <w:spacing w:line="480" w:lineRule="auto"/>
        <w:jc w:val="center"/>
        <w:rPr>
          <w:rFonts w:asciiTheme="majorBidi" w:hAnsiTheme="majorBidi" w:cstheme="majorBidi"/>
          <w:sz w:val="32"/>
          <w:szCs w:val="32"/>
        </w:rPr>
      </w:pPr>
      <w:r w:rsidRPr="0062228F">
        <w:rPr>
          <w:rFonts w:ascii="Baskerville Old Face" w:hAnsi="Baskerville Old Face" w:cstheme="majorBidi"/>
          <w:b/>
          <w:bCs/>
          <w:sz w:val="36"/>
          <w:szCs w:val="36"/>
        </w:rPr>
        <w:t xml:space="preserve">The incidence rate of Asymptomatic Bacteriuria among LIMU students </w:t>
      </w:r>
      <w:r w:rsidR="006C2CCC" w:rsidRPr="0062228F">
        <w:rPr>
          <w:rFonts w:asciiTheme="majorBidi" w:hAnsiTheme="majorBidi" w:cstheme="majorBidi"/>
          <w:sz w:val="36"/>
          <w:szCs w:val="36"/>
        </w:rPr>
        <w:br/>
      </w:r>
      <w:r w:rsidRPr="0062228F">
        <w:rPr>
          <w:rFonts w:asciiTheme="majorBidi" w:hAnsiTheme="majorBidi" w:cstheme="majorBidi"/>
          <w:sz w:val="32"/>
          <w:szCs w:val="32"/>
        </w:rPr>
        <w:t>Ahmed hasan alsahili</w:t>
      </w:r>
    </w:p>
    <w:p w14:paraId="4E692100" w14:textId="77777777" w:rsidR="00996EED" w:rsidRDefault="0062228F" w:rsidP="00996EED">
      <w:pPr>
        <w:bidi w:val="0"/>
        <w:spacing w:line="480" w:lineRule="auto"/>
        <w:jc w:val="center"/>
        <w:rPr>
          <w:rFonts w:asciiTheme="majorBidi" w:hAnsiTheme="majorBidi" w:cstheme="majorBidi"/>
          <w:sz w:val="32"/>
          <w:szCs w:val="32"/>
        </w:rPr>
      </w:pPr>
      <w:r w:rsidRPr="0062228F">
        <w:rPr>
          <w:rFonts w:asciiTheme="majorBidi" w:hAnsiTheme="majorBidi" w:cstheme="majorBidi"/>
          <w:sz w:val="32"/>
          <w:szCs w:val="32"/>
        </w:rPr>
        <w:t>2805</w:t>
      </w:r>
    </w:p>
    <w:p w14:paraId="3223CD8D" w14:textId="77777777" w:rsidR="00C77D34" w:rsidRPr="004648E3" w:rsidRDefault="00C77D34" w:rsidP="00C77D34">
      <w:pPr>
        <w:jc w:val="center"/>
        <w:rPr>
          <w:rFonts w:asciiTheme="majorBidi" w:hAnsiTheme="majorBidi" w:cstheme="majorBidi"/>
          <w:sz w:val="32"/>
          <w:szCs w:val="32"/>
        </w:rPr>
      </w:pPr>
      <w:r w:rsidRPr="004648E3">
        <w:rPr>
          <w:rFonts w:asciiTheme="majorBidi" w:hAnsiTheme="majorBidi" w:cstheme="majorBidi"/>
          <w:sz w:val="32"/>
          <w:szCs w:val="32"/>
        </w:rPr>
        <w:t>Instructor:</w:t>
      </w:r>
      <w:r>
        <w:rPr>
          <w:rFonts w:asciiTheme="majorBidi" w:hAnsiTheme="majorBidi" w:cstheme="majorBidi"/>
          <w:sz w:val="32"/>
          <w:szCs w:val="32"/>
        </w:rPr>
        <w:t xml:space="preserve"> dr. asma</w:t>
      </w:r>
    </w:p>
    <w:p w14:paraId="229157D1" w14:textId="77777777" w:rsidR="00C77D34" w:rsidRPr="0062228F" w:rsidRDefault="00C77D34" w:rsidP="00C77D34">
      <w:pPr>
        <w:bidi w:val="0"/>
        <w:spacing w:line="480" w:lineRule="auto"/>
        <w:jc w:val="center"/>
        <w:rPr>
          <w:rFonts w:asciiTheme="majorBidi" w:hAnsiTheme="majorBidi" w:cstheme="majorBidi"/>
          <w:sz w:val="32"/>
          <w:szCs w:val="32"/>
        </w:rPr>
      </w:pPr>
    </w:p>
    <w:p w14:paraId="3CE2AC3E" w14:textId="77777777" w:rsidR="007F2BD1" w:rsidRDefault="007F2BD1" w:rsidP="0062228F">
      <w:pPr>
        <w:bidi w:val="0"/>
        <w:spacing w:line="480" w:lineRule="auto"/>
        <w:jc w:val="center"/>
        <w:rPr>
          <w:rFonts w:asciiTheme="majorBidi" w:hAnsiTheme="majorBidi" w:cstheme="majorBidi"/>
          <w:sz w:val="32"/>
          <w:szCs w:val="32"/>
          <w:lang w:bidi="ar-LY"/>
        </w:rPr>
      </w:pPr>
      <w:r w:rsidRPr="0062228F">
        <w:rPr>
          <w:rFonts w:asciiTheme="majorBidi" w:hAnsiTheme="majorBidi" w:cstheme="majorBidi"/>
          <w:sz w:val="32"/>
          <w:szCs w:val="32"/>
        </w:rPr>
        <w:t>Report Submitted to fulfill the requirements for Scientific Research  Activity</w:t>
      </w:r>
    </w:p>
    <w:p w14:paraId="5EF68CA8" w14:textId="77777777" w:rsidR="00996EED" w:rsidRPr="0062228F" w:rsidRDefault="00996EED" w:rsidP="00996EED">
      <w:pPr>
        <w:bidi w:val="0"/>
        <w:spacing w:line="480" w:lineRule="auto"/>
        <w:jc w:val="center"/>
        <w:rPr>
          <w:rFonts w:asciiTheme="majorBidi" w:hAnsiTheme="majorBidi" w:cstheme="majorBidi"/>
          <w:sz w:val="32"/>
          <w:szCs w:val="32"/>
        </w:rPr>
      </w:pPr>
      <w:r>
        <w:rPr>
          <w:rFonts w:asciiTheme="majorBidi" w:hAnsiTheme="majorBidi" w:cstheme="majorBidi"/>
          <w:sz w:val="32"/>
          <w:szCs w:val="32"/>
          <w:lang w:bidi="ar-LY"/>
        </w:rPr>
        <w:t xml:space="preserve">teaching </w:t>
      </w:r>
    </w:p>
    <w:p w14:paraId="337EE379" w14:textId="77777777" w:rsidR="007F2BD1" w:rsidRPr="0062228F" w:rsidRDefault="0062228F" w:rsidP="0062228F">
      <w:pPr>
        <w:bidi w:val="0"/>
        <w:spacing w:line="480" w:lineRule="auto"/>
        <w:jc w:val="center"/>
        <w:rPr>
          <w:rFonts w:asciiTheme="majorBidi" w:hAnsiTheme="majorBidi" w:cstheme="majorBidi"/>
          <w:sz w:val="32"/>
          <w:szCs w:val="32"/>
        </w:rPr>
      </w:pPr>
      <w:r>
        <w:rPr>
          <w:rFonts w:asciiTheme="majorBidi" w:hAnsiTheme="majorBidi" w:cstheme="majorBidi"/>
          <w:sz w:val="32"/>
          <w:szCs w:val="32"/>
        </w:rPr>
        <w:t>Date of Submission: 18/06</w:t>
      </w:r>
      <w:r w:rsidR="007F2BD1" w:rsidRPr="0062228F">
        <w:rPr>
          <w:rFonts w:asciiTheme="majorBidi" w:hAnsiTheme="majorBidi" w:cstheme="majorBidi"/>
          <w:sz w:val="32"/>
          <w:szCs w:val="32"/>
        </w:rPr>
        <w:t>/ 2022</w:t>
      </w:r>
    </w:p>
    <w:p w14:paraId="25E955A7" w14:textId="77777777" w:rsidR="007F2BD1" w:rsidRDefault="007F2BD1" w:rsidP="00F93603">
      <w:pPr>
        <w:spacing w:line="480" w:lineRule="auto"/>
        <w:jc w:val="center"/>
        <w:rPr>
          <w:rFonts w:asciiTheme="majorBidi" w:hAnsiTheme="majorBidi" w:cstheme="majorBidi"/>
          <w:sz w:val="28"/>
          <w:szCs w:val="28"/>
          <w:rtl/>
        </w:rPr>
      </w:pPr>
      <w:r>
        <w:rPr>
          <w:rFonts w:asciiTheme="majorBidi" w:hAnsiTheme="majorBidi" w:cstheme="majorBidi"/>
          <w:sz w:val="28"/>
          <w:szCs w:val="28"/>
        </w:rPr>
        <w:t xml:space="preserve"> </w:t>
      </w:r>
    </w:p>
    <w:p w14:paraId="0387A018"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lastRenderedPageBreak/>
        <w:t xml:space="preserve"> </w:t>
      </w:r>
    </w:p>
    <w:p w14:paraId="05156395" w14:textId="77777777" w:rsidR="007F2BD1" w:rsidRDefault="007F2BD1" w:rsidP="00F93603">
      <w:pPr>
        <w:spacing w:line="480" w:lineRule="auto"/>
        <w:jc w:val="center"/>
        <w:rPr>
          <w:rFonts w:asciiTheme="majorBidi" w:hAnsiTheme="majorBidi" w:cstheme="majorBidi"/>
          <w:sz w:val="28"/>
          <w:szCs w:val="28"/>
        </w:rPr>
      </w:pPr>
    </w:p>
    <w:p w14:paraId="2099FAB6" w14:textId="77777777" w:rsidR="008C740D" w:rsidRDefault="008C740D" w:rsidP="008C740D">
      <w:pPr>
        <w:spacing w:line="360" w:lineRule="auto"/>
        <w:jc w:val="center"/>
        <w:rPr>
          <w:rFonts w:asciiTheme="majorBidi" w:hAnsiTheme="majorBidi" w:cstheme="majorBidi"/>
          <w:sz w:val="24"/>
          <w:szCs w:val="24"/>
        </w:rPr>
      </w:pPr>
    </w:p>
    <w:p w14:paraId="4E33D8B4" w14:textId="77777777" w:rsidR="009E3A23" w:rsidRPr="00FA684F" w:rsidRDefault="007F2BD1" w:rsidP="009E3A23">
      <w:pPr>
        <w:spacing w:line="360" w:lineRule="auto"/>
        <w:jc w:val="right"/>
        <w:rPr>
          <w:rFonts w:asciiTheme="majorBidi" w:hAnsiTheme="majorBidi" w:cstheme="majorBidi"/>
          <w:b/>
          <w:bCs/>
          <w:sz w:val="28"/>
          <w:szCs w:val="28"/>
          <w:u w:val="single"/>
          <w:rtl/>
        </w:rPr>
      </w:pPr>
      <w:r w:rsidRPr="00FA684F">
        <w:rPr>
          <w:rFonts w:ascii="Baskerville Old Face" w:hAnsi="Baskerville Old Face" w:cstheme="majorBidi"/>
          <w:b/>
          <w:bCs/>
          <w:sz w:val="28"/>
          <w:szCs w:val="28"/>
          <w:u w:val="single"/>
        </w:rPr>
        <w:t xml:space="preserve">Abstract : </w:t>
      </w:r>
    </w:p>
    <w:p w14:paraId="360D6142" w14:textId="77777777" w:rsidR="007F2BD1" w:rsidRPr="009E3A23" w:rsidRDefault="008C740D" w:rsidP="009E3A23">
      <w:pPr>
        <w:spacing w:line="360" w:lineRule="auto"/>
        <w:jc w:val="right"/>
        <w:rPr>
          <w:rFonts w:asciiTheme="majorBidi" w:hAnsiTheme="majorBidi" w:cstheme="majorBidi"/>
          <w:sz w:val="24"/>
          <w:szCs w:val="24"/>
        </w:rPr>
      </w:pPr>
      <w:r w:rsidRPr="008C740D">
        <w:rPr>
          <w:rFonts w:ascii="Baskerville Old Face" w:hAnsi="Baskerville Old Face" w:cstheme="majorBidi"/>
          <w:sz w:val="24"/>
          <w:szCs w:val="24"/>
        </w:rPr>
        <w:t>Asymptomatic bacteriuria</w:t>
      </w:r>
      <w:r w:rsidR="00501DB8">
        <w:rPr>
          <w:rFonts w:ascii="Baskerville Old Face" w:hAnsi="Baskerville Old Face" w:cstheme="majorBidi"/>
          <w:sz w:val="24"/>
          <w:szCs w:val="24"/>
        </w:rPr>
        <w:t>(ASB )</w:t>
      </w:r>
      <w:r w:rsidRPr="008C740D">
        <w:rPr>
          <w:rFonts w:ascii="Baskerville Old Face" w:hAnsi="Baskerville Old Face" w:cstheme="majorBidi"/>
          <w:sz w:val="24"/>
          <w:szCs w:val="24"/>
        </w:rPr>
        <w:t xml:space="preserve"> is characterized as a 'UTI without clinical symptoms,' in which the person has significant growth of bacteria on their urine culture medium but no obvious signs of UTI. The incidence rate of asymptomatic bacteriuria is examined in this study among 24 male and female students at LIMU to see if there is a link between gender and Asymptomatic bacteriuria. Females are at a higher risk of having asymptomatic UTI when compared to males of the same age, according to research using urine samples. These findings point to a female susceptibility to UTI, which can be explained by a variety of reasons.</w:t>
      </w:r>
    </w:p>
    <w:p w14:paraId="3A590216" w14:textId="77777777" w:rsidR="009E3A23" w:rsidRDefault="009E3A23" w:rsidP="008C740D">
      <w:pPr>
        <w:spacing w:line="360" w:lineRule="auto"/>
        <w:jc w:val="right"/>
        <w:rPr>
          <w:rFonts w:ascii="Baskerville Old Face" w:hAnsi="Baskerville Old Face" w:cstheme="majorBidi"/>
          <w:sz w:val="24"/>
          <w:szCs w:val="24"/>
        </w:rPr>
      </w:pPr>
    </w:p>
    <w:p w14:paraId="03B1C90F" w14:textId="77777777" w:rsidR="009E3A23" w:rsidRDefault="009E3A23" w:rsidP="008C740D">
      <w:pPr>
        <w:spacing w:line="360" w:lineRule="auto"/>
        <w:jc w:val="right"/>
        <w:rPr>
          <w:rFonts w:ascii="Baskerville Old Face" w:hAnsi="Baskerville Old Face" w:cstheme="majorBidi"/>
          <w:sz w:val="24"/>
          <w:szCs w:val="24"/>
        </w:rPr>
      </w:pPr>
    </w:p>
    <w:p w14:paraId="567AE75D" w14:textId="77777777" w:rsidR="009E3A23" w:rsidRDefault="009E3A23" w:rsidP="008C740D">
      <w:pPr>
        <w:spacing w:line="360" w:lineRule="auto"/>
        <w:jc w:val="right"/>
        <w:rPr>
          <w:rFonts w:ascii="Baskerville Old Face" w:hAnsi="Baskerville Old Face" w:cstheme="majorBidi"/>
          <w:sz w:val="24"/>
          <w:szCs w:val="24"/>
        </w:rPr>
      </w:pPr>
    </w:p>
    <w:p w14:paraId="440ACD5A" w14:textId="77777777" w:rsidR="009E3A23" w:rsidRDefault="009E3A23" w:rsidP="008C740D">
      <w:pPr>
        <w:spacing w:line="360" w:lineRule="auto"/>
        <w:jc w:val="right"/>
        <w:rPr>
          <w:rFonts w:ascii="Baskerville Old Face" w:hAnsi="Baskerville Old Face" w:cstheme="majorBidi"/>
          <w:sz w:val="24"/>
          <w:szCs w:val="24"/>
        </w:rPr>
      </w:pPr>
    </w:p>
    <w:p w14:paraId="6D74C51E" w14:textId="77777777" w:rsidR="009E3A23" w:rsidRPr="008C740D" w:rsidRDefault="009E3A23" w:rsidP="008C740D">
      <w:pPr>
        <w:spacing w:line="360" w:lineRule="auto"/>
        <w:jc w:val="right"/>
        <w:rPr>
          <w:rFonts w:asciiTheme="majorBidi" w:hAnsiTheme="majorBidi" w:cstheme="majorBidi"/>
          <w:sz w:val="24"/>
          <w:szCs w:val="24"/>
        </w:rPr>
      </w:pPr>
    </w:p>
    <w:p w14:paraId="33BAFE6B" w14:textId="77777777" w:rsidR="007F2BD1" w:rsidRPr="008C740D" w:rsidRDefault="007F2BD1" w:rsidP="008C740D">
      <w:pPr>
        <w:autoSpaceDE w:val="0"/>
        <w:autoSpaceDN w:val="0"/>
        <w:bidi w:val="0"/>
        <w:adjustRightInd w:val="0"/>
        <w:spacing w:after="0" w:line="360" w:lineRule="auto"/>
        <w:rPr>
          <w:rFonts w:ascii="Baskerville Old Face" w:hAnsi="Baskerville Old Face" w:cstheme="majorBidi"/>
          <w:sz w:val="24"/>
          <w:szCs w:val="24"/>
        </w:rPr>
      </w:pPr>
    </w:p>
    <w:p w14:paraId="27BF25B7" w14:textId="77777777" w:rsidR="007F2BD1" w:rsidRPr="007F2BD1" w:rsidRDefault="007F2BD1" w:rsidP="008C740D">
      <w:pPr>
        <w:autoSpaceDE w:val="0"/>
        <w:autoSpaceDN w:val="0"/>
        <w:bidi w:val="0"/>
        <w:adjustRightInd w:val="0"/>
        <w:spacing w:after="0" w:line="360" w:lineRule="auto"/>
        <w:rPr>
          <w:rFonts w:ascii="Baskerville Old Face" w:hAnsi="Baskerville Old Face" w:cstheme="majorBidi"/>
          <w:sz w:val="40"/>
          <w:szCs w:val="40"/>
          <w:lang w:bidi="ar-LY"/>
        </w:rPr>
      </w:pPr>
    </w:p>
    <w:p w14:paraId="6B16A4F6" w14:textId="77777777" w:rsidR="009E3A23" w:rsidRDefault="009E3A23" w:rsidP="008C740D">
      <w:pPr>
        <w:autoSpaceDE w:val="0"/>
        <w:autoSpaceDN w:val="0"/>
        <w:bidi w:val="0"/>
        <w:adjustRightInd w:val="0"/>
        <w:spacing w:after="0" w:line="360" w:lineRule="auto"/>
        <w:rPr>
          <w:rFonts w:ascii="Baskerville Old Face" w:hAnsi="Baskerville Old Face" w:cstheme="majorBidi"/>
          <w:sz w:val="32"/>
          <w:szCs w:val="32"/>
        </w:rPr>
      </w:pPr>
    </w:p>
    <w:p w14:paraId="5EC35625"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06CCAF1F"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63D8CDF2" w14:textId="77777777" w:rsidR="00016AA4" w:rsidRDefault="00016AA4" w:rsidP="009E3A23">
      <w:pPr>
        <w:autoSpaceDE w:val="0"/>
        <w:autoSpaceDN w:val="0"/>
        <w:bidi w:val="0"/>
        <w:adjustRightInd w:val="0"/>
        <w:spacing w:after="0" w:line="360" w:lineRule="auto"/>
        <w:rPr>
          <w:rFonts w:ascii="Baskerville Old Face" w:hAnsi="Baskerville Old Face" w:cstheme="majorBidi"/>
          <w:sz w:val="32"/>
          <w:szCs w:val="32"/>
        </w:rPr>
        <w:sectPr w:rsidR="00016AA4">
          <w:headerReference w:type="even" r:id="rId11"/>
          <w:footerReference w:type="even" r:id="rId12"/>
          <w:pgSz w:w="12240" w:h="15840"/>
          <w:pgMar w:top="1440" w:right="1800" w:bottom="1440" w:left="1800" w:header="720" w:footer="720" w:gutter="0"/>
          <w:cols w:space="720"/>
        </w:sectPr>
      </w:pPr>
    </w:p>
    <w:p w14:paraId="7566FE64"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0B3A4322"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552E2C1E"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675F60A6"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510BB3C5" w14:textId="77777777" w:rsidR="009E3A23" w:rsidRDefault="009E3A23" w:rsidP="009E3A23">
      <w:pPr>
        <w:autoSpaceDE w:val="0"/>
        <w:autoSpaceDN w:val="0"/>
        <w:bidi w:val="0"/>
        <w:adjustRightInd w:val="0"/>
        <w:spacing w:after="0" w:line="360" w:lineRule="auto"/>
        <w:rPr>
          <w:rFonts w:ascii="Baskerville Old Face" w:hAnsi="Baskerville Old Face" w:cstheme="majorBidi"/>
          <w:sz w:val="32"/>
          <w:szCs w:val="32"/>
        </w:rPr>
      </w:pPr>
    </w:p>
    <w:p w14:paraId="48FC62E2" w14:textId="77777777" w:rsidR="00927A46" w:rsidRPr="00FA684F" w:rsidRDefault="007F2BD1" w:rsidP="009E3A23">
      <w:pPr>
        <w:autoSpaceDE w:val="0"/>
        <w:autoSpaceDN w:val="0"/>
        <w:bidi w:val="0"/>
        <w:adjustRightInd w:val="0"/>
        <w:spacing w:after="0" w:line="360" w:lineRule="auto"/>
        <w:rPr>
          <w:rFonts w:ascii="Baskerville Old Face" w:hAnsi="Baskerville Old Face" w:cstheme="majorBidi"/>
          <w:b/>
          <w:bCs/>
          <w:sz w:val="28"/>
          <w:szCs w:val="28"/>
          <w:u w:val="single"/>
        </w:rPr>
      </w:pPr>
      <w:r w:rsidRPr="00FA684F">
        <w:rPr>
          <w:rFonts w:ascii="Baskerville Old Face" w:hAnsi="Baskerville Old Face" w:cstheme="majorBidi"/>
          <w:b/>
          <w:bCs/>
          <w:sz w:val="28"/>
          <w:szCs w:val="28"/>
          <w:u w:val="single"/>
        </w:rPr>
        <w:t>Introduction :</w:t>
      </w:r>
    </w:p>
    <w:p w14:paraId="156A5B89" w14:textId="77777777" w:rsidR="002C6859" w:rsidRDefault="002C6859" w:rsidP="00540D7A">
      <w:pPr>
        <w:autoSpaceDE w:val="0"/>
        <w:autoSpaceDN w:val="0"/>
        <w:bidi w:val="0"/>
        <w:adjustRightInd w:val="0"/>
        <w:spacing w:after="0" w:line="360" w:lineRule="auto"/>
        <w:rPr>
          <w:rFonts w:ascii="Baskerville Old Face" w:hAnsi="Baskerville Old Face" w:cstheme="majorBidi"/>
          <w:sz w:val="24"/>
          <w:szCs w:val="24"/>
        </w:rPr>
      </w:pPr>
      <w:r w:rsidRPr="002C6859">
        <w:rPr>
          <w:rFonts w:ascii="Baskerville Old Face" w:hAnsi="Baskerville Old Face" w:cstheme="majorBidi"/>
          <w:sz w:val="24"/>
          <w:szCs w:val="24"/>
        </w:rPr>
        <w:t>Asymptomatic bacteriuria</w:t>
      </w:r>
      <w:r w:rsidR="00540D7A">
        <w:rPr>
          <w:rFonts w:ascii="Baskerville Old Face" w:hAnsi="Baskerville Old Face" w:cstheme="majorBidi"/>
          <w:sz w:val="24"/>
          <w:szCs w:val="24"/>
        </w:rPr>
        <w:t xml:space="preserve"> (ASB) </w:t>
      </w:r>
      <w:r w:rsidRPr="002C6859">
        <w:rPr>
          <w:rFonts w:ascii="Baskerville Old Face" w:hAnsi="Baskerville Old Face" w:cstheme="majorBidi"/>
          <w:sz w:val="24"/>
          <w:szCs w:val="24"/>
        </w:rPr>
        <w:t xml:space="preserve"> is the presence of bacteria in</w:t>
      </w:r>
      <w:r w:rsidR="00540D7A">
        <w:rPr>
          <w:rFonts w:ascii="Baskerville Old Face" w:hAnsi="Baskerville Old Face" w:cstheme="majorBidi"/>
          <w:sz w:val="24"/>
          <w:szCs w:val="24"/>
        </w:rPr>
        <w:t xml:space="preserve"> the urine, but patient has no UTI symptoms , in the culture the colonies less than 10</w:t>
      </w:r>
      <w:r w:rsidR="00540D7A">
        <w:rPr>
          <w:rFonts w:ascii="Baskerville Old Face" w:hAnsi="Baskerville Old Face" w:cstheme="majorBidi"/>
          <w:sz w:val="24"/>
          <w:szCs w:val="24"/>
          <w:vertAlign w:val="superscript"/>
        </w:rPr>
        <w:t xml:space="preserve">5 </w:t>
      </w:r>
      <w:r w:rsidR="00540D7A">
        <w:rPr>
          <w:rFonts w:ascii="Baskerville Old Face" w:hAnsi="Baskerville Old Face" w:cstheme="majorBidi"/>
          <w:sz w:val="24"/>
          <w:szCs w:val="24"/>
        </w:rPr>
        <w:t xml:space="preserve"> , </w:t>
      </w:r>
      <w:r w:rsidR="009E3A23">
        <w:rPr>
          <w:color w:val="000000"/>
          <w:shd w:val="clear" w:color="auto" w:fill="FFFFFF"/>
        </w:rPr>
        <w:t>Most patients with asymptomatic bacteriuria will never develop symptomatic urinary tract infections and will have no adverse consequences from asymptomatic bacteriuria.</w:t>
      </w:r>
      <w:r w:rsidR="009E3A23">
        <w:rPr>
          <w:rFonts w:ascii="Baskerville Old Face" w:hAnsi="Baskerville Old Face" w:cstheme="majorBidi"/>
          <w:sz w:val="24"/>
          <w:szCs w:val="24"/>
        </w:rPr>
        <w:t xml:space="preserve"> </w:t>
      </w:r>
      <w:r w:rsidRPr="002C6859">
        <w:rPr>
          <w:rFonts w:ascii="Baskerville Old Face" w:hAnsi="Baskerville Old Face" w:cstheme="majorBidi"/>
          <w:sz w:val="24"/>
          <w:szCs w:val="24"/>
        </w:rPr>
        <w:t>The term asymptomatic bacteriuria is used when bacteria with a quantitative value of 100,000 CFU or larger are discovered in two consecutive micturition samples obtained in a contamination-free manner in women. To properly utilize the term asymptomatic bacteriuria, only one clean-catch void sample is necessary to detect the bacterial species with a quantitative count of at least 100,000 CFU.</w:t>
      </w:r>
    </w:p>
    <w:p w14:paraId="2C464BAC" w14:textId="77777777" w:rsidR="00D364F4" w:rsidRPr="002C6859" w:rsidRDefault="00D364F4" w:rsidP="00D364F4">
      <w:pPr>
        <w:autoSpaceDE w:val="0"/>
        <w:autoSpaceDN w:val="0"/>
        <w:bidi w:val="0"/>
        <w:adjustRightInd w:val="0"/>
        <w:spacing w:after="0" w:line="360" w:lineRule="auto"/>
        <w:rPr>
          <w:rFonts w:ascii="Baskerville Old Face" w:hAnsi="Baskerville Old Face" w:cstheme="majorBidi"/>
          <w:sz w:val="24"/>
          <w:szCs w:val="24"/>
        </w:rPr>
      </w:pPr>
      <w:r w:rsidRPr="00FA684F">
        <w:rPr>
          <w:rFonts w:ascii="Baskerville Old Face" w:hAnsi="Baskerville Old Face" w:cstheme="majorBidi"/>
          <w:sz w:val="28"/>
          <w:szCs w:val="28"/>
        </w:rPr>
        <w:t>The main objective</w:t>
      </w:r>
      <w:r w:rsidRPr="00D364F4">
        <w:rPr>
          <w:rFonts w:ascii="Baskerville Old Face" w:hAnsi="Baskerville Old Face" w:cstheme="majorBidi"/>
          <w:sz w:val="24"/>
          <w:szCs w:val="24"/>
        </w:rPr>
        <w:t xml:space="preserve"> of this study is to find out if there is a relationship between infectious with asymptomatic bacteriuria and sex</w:t>
      </w:r>
      <w:r>
        <w:rPr>
          <w:rFonts w:ascii="Baskerville Old Face" w:hAnsi="Baskerville Old Face" w:cstheme="majorBidi"/>
          <w:sz w:val="24"/>
          <w:szCs w:val="24"/>
        </w:rPr>
        <w:t>.</w:t>
      </w:r>
    </w:p>
    <w:p w14:paraId="1FD1C21B" w14:textId="77777777" w:rsidR="002C6859" w:rsidRPr="002C6859" w:rsidRDefault="002C6859" w:rsidP="00D364F4">
      <w:pPr>
        <w:autoSpaceDE w:val="0"/>
        <w:autoSpaceDN w:val="0"/>
        <w:bidi w:val="0"/>
        <w:adjustRightInd w:val="0"/>
        <w:spacing w:after="0" w:line="360" w:lineRule="auto"/>
        <w:rPr>
          <w:rFonts w:ascii="Baskerville Old Face" w:hAnsi="Baskerville Old Face" w:cstheme="majorBidi"/>
          <w:sz w:val="24"/>
          <w:szCs w:val="24"/>
        </w:rPr>
      </w:pPr>
      <w:r w:rsidRPr="00D364F4">
        <w:rPr>
          <w:rFonts w:ascii="Baskerville Old Face" w:hAnsi="Baskerville Old Face" w:cstheme="majorBidi"/>
          <w:sz w:val="24"/>
          <w:szCs w:val="24"/>
        </w:rPr>
        <w:t>In clinical practice, asymptomatic bacteriuria is fairly prevalent</w:t>
      </w:r>
      <w:r w:rsidRPr="002C6859">
        <w:rPr>
          <w:rFonts w:ascii="Baskerville Old Face" w:hAnsi="Baskerville Old Face" w:cstheme="majorBidi"/>
          <w:sz w:val="24"/>
          <w:szCs w:val="24"/>
        </w:rPr>
        <w:t xml:space="preserve">. While asymptomatic bacteriuria becomes more common as they become older. In women and men aged 65 to 80 years, the incidence can be as high as 15% or more, and it can be as high as 40% to 50% beyond that. That means it is more common in females than males (1). </w:t>
      </w:r>
    </w:p>
    <w:p w14:paraId="4D103743" w14:textId="77777777" w:rsidR="002C6859" w:rsidRPr="002C6859" w:rsidRDefault="002C6859" w:rsidP="008C740D">
      <w:pPr>
        <w:autoSpaceDE w:val="0"/>
        <w:autoSpaceDN w:val="0"/>
        <w:bidi w:val="0"/>
        <w:adjustRightInd w:val="0"/>
        <w:spacing w:after="0" w:line="360" w:lineRule="auto"/>
        <w:rPr>
          <w:rFonts w:ascii="Baskerville Old Face" w:hAnsi="Baskerville Old Face" w:cstheme="majorBidi"/>
          <w:sz w:val="24"/>
          <w:szCs w:val="24"/>
        </w:rPr>
      </w:pPr>
      <w:r w:rsidRPr="002C6859">
        <w:rPr>
          <w:rFonts w:ascii="Baskerville Old Face" w:hAnsi="Baskerville Old Face" w:cstheme="majorBidi"/>
          <w:sz w:val="24"/>
          <w:szCs w:val="24"/>
        </w:rPr>
        <w:t>Women get UTIs up to 30 times more often than men; due to many reasons: 1. long of the urethra ( the female urethra is much shorter in length in women than men), 2. placement of urethra ( the female urethra is located closer to rectum),  3. sexual contact, 4. menopause, and 5. Pregnancy (2).</w:t>
      </w:r>
    </w:p>
    <w:p w14:paraId="0224DAB0" w14:textId="77777777" w:rsidR="00927A46" w:rsidRPr="00927A46" w:rsidRDefault="002C6859" w:rsidP="009E3A23">
      <w:pPr>
        <w:autoSpaceDE w:val="0"/>
        <w:autoSpaceDN w:val="0"/>
        <w:bidi w:val="0"/>
        <w:adjustRightInd w:val="0"/>
        <w:spacing w:after="0" w:line="360" w:lineRule="auto"/>
        <w:rPr>
          <w:rFonts w:ascii="Baskerville Old Face" w:hAnsi="Baskerville Old Face" w:cstheme="majorBidi"/>
          <w:sz w:val="24"/>
          <w:szCs w:val="24"/>
        </w:rPr>
      </w:pPr>
      <w:r w:rsidRPr="002C6859">
        <w:rPr>
          <w:rFonts w:ascii="Baskerville Old Face" w:hAnsi="Baskerville Old Face" w:cstheme="majorBidi"/>
          <w:sz w:val="24"/>
          <w:szCs w:val="24"/>
        </w:rPr>
        <w:t>The most common bacterium is Escherichia coli, which is found in the majority of healthy people. Germs such as Enterococcus species and group B streptococcus, on the other hand, may be discovered. Enterococcus species and gram-negative bacilli are commonly seen in males (1).</w:t>
      </w:r>
    </w:p>
    <w:p w14:paraId="5AE64124" w14:textId="77777777" w:rsidR="007F2BD1" w:rsidRPr="00FA684F" w:rsidRDefault="007F2BD1" w:rsidP="008C740D">
      <w:pPr>
        <w:autoSpaceDE w:val="0"/>
        <w:autoSpaceDN w:val="0"/>
        <w:bidi w:val="0"/>
        <w:adjustRightInd w:val="0"/>
        <w:spacing w:after="0" w:line="360" w:lineRule="auto"/>
        <w:rPr>
          <w:rFonts w:ascii="Baskerville Old Face" w:hAnsi="Baskerville Old Face" w:cstheme="majorBidi"/>
          <w:b/>
          <w:bCs/>
          <w:sz w:val="28"/>
          <w:szCs w:val="28"/>
          <w:u w:val="single"/>
        </w:rPr>
      </w:pPr>
      <w:r w:rsidRPr="00FA684F">
        <w:rPr>
          <w:rFonts w:ascii="Baskerville Old Face" w:hAnsi="Baskerville Old Face" w:cstheme="majorBidi"/>
          <w:b/>
          <w:bCs/>
          <w:sz w:val="28"/>
          <w:szCs w:val="28"/>
          <w:u w:val="single"/>
        </w:rPr>
        <w:t xml:space="preserve">Materials and Methods : </w:t>
      </w:r>
    </w:p>
    <w:p w14:paraId="4E5DEC8E" w14:textId="77777777" w:rsidR="00FF63BA" w:rsidRDefault="00FF63BA" w:rsidP="008C740D">
      <w:pPr>
        <w:autoSpaceDE w:val="0"/>
        <w:autoSpaceDN w:val="0"/>
        <w:bidi w:val="0"/>
        <w:adjustRightInd w:val="0"/>
        <w:spacing w:after="0" w:line="360" w:lineRule="auto"/>
        <w:rPr>
          <w:rFonts w:ascii="Baskerville Old Face" w:hAnsi="Baskerville Old Face" w:cstheme="majorBidi"/>
          <w:sz w:val="24"/>
          <w:szCs w:val="24"/>
        </w:rPr>
      </w:pPr>
      <w:r w:rsidRPr="00FF63BA">
        <w:rPr>
          <w:rFonts w:ascii="Baskerville Old Face" w:hAnsi="Baskerville Old Face" w:cstheme="majorBidi"/>
          <w:sz w:val="24"/>
          <w:szCs w:val="24"/>
        </w:rPr>
        <w:t>This study analyzed 24 urine samples taken from LIMU students. 12 samples from males and 12 samples from females. To</w:t>
      </w:r>
      <w:r w:rsidR="009E1401">
        <w:rPr>
          <w:rFonts w:ascii="Baskerville Old Face" w:hAnsi="Baskerville Old Face" w:cstheme="majorBidi"/>
          <w:sz w:val="24"/>
          <w:szCs w:val="24"/>
        </w:rPr>
        <w:t xml:space="preserve"> detect asymptomatic UTI </w:t>
      </w:r>
      <w:r w:rsidRPr="00FF63BA">
        <w:rPr>
          <w:rFonts w:ascii="Baskerville Old Face" w:hAnsi="Baskerville Old Face" w:cstheme="majorBidi"/>
          <w:sz w:val="24"/>
          <w:szCs w:val="24"/>
        </w:rPr>
        <w:t xml:space="preserve"> and to confirm that there is a relationship b</w:t>
      </w:r>
      <w:r w:rsidR="009E1401">
        <w:rPr>
          <w:rFonts w:ascii="Baskerville Old Face" w:hAnsi="Baskerville Old Face" w:cstheme="majorBidi"/>
          <w:sz w:val="24"/>
          <w:szCs w:val="24"/>
        </w:rPr>
        <w:t xml:space="preserve">etween sex and </w:t>
      </w:r>
      <w:r w:rsidR="009E1401" w:rsidRPr="009E3A23">
        <w:rPr>
          <w:rFonts w:ascii="Baskerville Old Face" w:hAnsi="Baskerville Old Face" w:cstheme="majorBidi"/>
          <w:sz w:val="24"/>
          <w:szCs w:val="24"/>
        </w:rPr>
        <w:t>ASB</w:t>
      </w:r>
      <w:r w:rsidRPr="00FF63BA">
        <w:rPr>
          <w:rFonts w:ascii="Baskerville Old Face" w:hAnsi="Baskerville Old Face" w:cstheme="majorBidi"/>
          <w:sz w:val="24"/>
          <w:szCs w:val="24"/>
        </w:rPr>
        <w:t>.</w:t>
      </w:r>
    </w:p>
    <w:p w14:paraId="0448D257" w14:textId="77777777" w:rsidR="00B54C16" w:rsidRPr="00501DB8" w:rsidRDefault="00B54C16" w:rsidP="00D364F4">
      <w:pPr>
        <w:autoSpaceDE w:val="0"/>
        <w:autoSpaceDN w:val="0"/>
        <w:bidi w:val="0"/>
        <w:adjustRightInd w:val="0"/>
        <w:spacing w:after="0" w:line="360" w:lineRule="auto"/>
        <w:rPr>
          <w:rFonts w:ascii="Baskerville Old Face" w:hAnsi="Baskerville Old Face" w:cstheme="majorBidi"/>
          <w:sz w:val="24"/>
          <w:szCs w:val="24"/>
          <w:highlight w:val="yellow"/>
        </w:rPr>
      </w:pPr>
      <w:r w:rsidRPr="00B54C16">
        <w:rPr>
          <w:rFonts w:ascii="Baskerville Old Face" w:hAnsi="Baskerville Old Face" w:cstheme="majorBidi"/>
          <w:sz w:val="24"/>
          <w:szCs w:val="24"/>
        </w:rPr>
        <w:t>Urine sample, wire/plastic loops, Bunsen burner, incubator, and culture media (5% sheep blood agar plate) are all part of the experiment</w:t>
      </w:r>
      <w:r w:rsidRPr="00D364F4">
        <w:rPr>
          <w:rFonts w:ascii="Baskerville Old Face" w:hAnsi="Baskerville Old Face" w:cstheme="majorBidi"/>
          <w:sz w:val="24"/>
          <w:szCs w:val="24"/>
        </w:rPr>
        <w:t xml:space="preserve">. Media used in urine culture can vary </w:t>
      </w:r>
      <w:r w:rsidRPr="00501DB8">
        <w:rPr>
          <w:rFonts w:ascii="Baskerville Old Face" w:hAnsi="Baskerville Old Face" w:cstheme="majorBidi"/>
          <w:sz w:val="24"/>
          <w:szCs w:val="24"/>
        </w:rPr>
        <w:t xml:space="preserve">between - 5% sheep blood agar plate, </w:t>
      </w:r>
      <w:r w:rsidR="00D364F4">
        <w:rPr>
          <w:rFonts w:ascii="Baskerville Old Face" w:hAnsi="Baskerville Old Face" w:cstheme="majorBidi"/>
          <w:sz w:val="24"/>
          <w:szCs w:val="24"/>
        </w:rPr>
        <w:t xml:space="preserve">and </w:t>
      </w:r>
      <w:r w:rsidRPr="00501DB8">
        <w:rPr>
          <w:rFonts w:ascii="Baskerville Old Face" w:hAnsi="Baskerville Old Face" w:cstheme="majorBidi"/>
          <w:sz w:val="24"/>
          <w:szCs w:val="24"/>
        </w:rPr>
        <w:t>MacConkey agar</w:t>
      </w:r>
      <w:r w:rsidR="00D364F4">
        <w:rPr>
          <w:rFonts w:ascii="Baskerville Old Face" w:hAnsi="Baskerville Old Face" w:cstheme="majorBidi"/>
          <w:sz w:val="24"/>
          <w:szCs w:val="24"/>
        </w:rPr>
        <w:t xml:space="preserve">. </w:t>
      </w:r>
      <w:r w:rsidR="00D364F4" w:rsidRPr="00D364F4">
        <w:rPr>
          <w:rFonts w:ascii="Baskerville Old Face" w:hAnsi="Baskerville Old Face" w:cstheme="majorBidi"/>
          <w:b/>
          <w:bCs/>
          <w:sz w:val="24"/>
          <w:szCs w:val="24"/>
        </w:rPr>
        <w:t>or</w:t>
      </w:r>
      <w:r w:rsidRPr="00501DB8">
        <w:rPr>
          <w:rFonts w:ascii="Baskerville Old Face" w:hAnsi="Baskerville Old Face" w:cstheme="majorBidi"/>
          <w:sz w:val="24"/>
          <w:szCs w:val="24"/>
        </w:rPr>
        <w:t xml:space="preserve"> CLED </w:t>
      </w:r>
      <w:r w:rsidR="00D364F4">
        <w:rPr>
          <w:rFonts w:ascii="Baskerville Old Face" w:hAnsi="Baskerville Old Face" w:cstheme="majorBidi"/>
          <w:sz w:val="24"/>
          <w:szCs w:val="24"/>
        </w:rPr>
        <w:t xml:space="preserve">to </w:t>
      </w:r>
      <w:r w:rsidRPr="00501DB8">
        <w:rPr>
          <w:rFonts w:ascii="Baskerville Old Face" w:hAnsi="Baskerville Old Face" w:cstheme="majorBidi"/>
          <w:sz w:val="24"/>
          <w:szCs w:val="24"/>
        </w:rPr>
        <w:t>allow for the</w:t>
      </w:r>
      <w:r w:rsidRPr="00B54C16">
        <w:rPr>
          <w:rFonts w:ascii="Baskerville Old Face" w:hAnsi="Baskerville Old Face" w:cstheme="majorBidi"/>
          <w:sz w:val="24"/>
          <w:szCs w:val="24"/>
        </w:rPr>
        <w:t xml:space="preserve"> </w:t>
      </w:r>
      <w:r w:rsidRPr="00D364F4">
        <w:rPr>
          <w:rFonts w:ascii="Baskerville Old Face" w:hAnsi="Baskerville Old Face" w:cstheme="majorBidi"/>
          <w:sz w:val="24"/>
          <w:szCs w:val="24"/>
        </w:rPr>
        <w:t>detection of many staphylococci, streptococci, gram-negative bacilli, and enterococci.</w:t>
      </w:r>
    </w:p>
    <w:p w14:paraId="78BA0368" w14:textId="77777777" w:rsidR="00B54C16" w:rsidRPr="00B54C16" w:rsidRDefault="00B54C16" w:rsidP="00D364F4">
      <w:pPr>
        <w:autoSpaceDE w:val="0"/>
        <w:autoSpaceDN w:val="0"/>
        <w:bidi w:val="0"/>
        <w:adjustRightInd w:val="0"/>
        <w:spacing w:after="0" w:line="360" w:lineRule="auto"/>
        <w:rPr>
          <w:rFonts w:ascii="Baskerville Old Face" w:hAnsi="Baskerville Old Face" w:cstheme="majorBidi"/>
          <w:sz w:val="24"/>
          <w:szCs w:val="24"/>
        </w:rPr>
      </w:pPr>
      <w:r w:rsidRPr="006B3468">
        <w:rPr>
          <w:rFonts w:ascii="Baskerville Old Face" w:hAnsi="Baskerville Old Face" w:cstheme="majorBidi"/>
          <w:sz w:val="24"/>
          <w:szCs w:val="24"/>
        </w:rPr>
        <w:t>steps of urine culture:</w:t>
      </w:r>
      <w:r w:rsidR="006B3468">
        <w:rPr>
          <w:rFonts w:ascii="Baskerville Old Face" w:hAnsi="Baskerville Old Face" w:cstheme="majorBidi"/>
          <w:sz w:val="24"/>
          <w:szCs w:val="24"/>
        </w:rPr>
        <w:t xml:space="preserve"> </w:t>
      </w:r>
    </w:p>
    <w:p w14:paraId="1321A8A4" w14:textId="77777777" w:rsidR="00B54C16" w:rsidRPr="00B54C16" w:rsidRDefault="008C740D" w:rsidP="008C740D">
      <w:pPr>
        <w:autoSpaceDE w:val="0"/>
        <w:autoSpaceDN w:val="0"/>
        <w:bidi w:val="0"/>
        <w:adjustRightInd w:val="0"/>
        <w:spacing w:after="0" w:line="360" w:lineRule="auto"/>
        <w:rPr>
          <w:rFonts w:ascii="Baskerville Old Face" w:hAnsi="Baskerville Old Face" w:cstheme="majorBidi"/>
          <w:sz w:val="24"/>
          <w:szCs w:val="24"/>
        </w:rPr>
      </w:pPr>
      <w:r>
        <w:rPr>
          <w:rFonts w:ascii="Baskerville Old Face" w:hAnsi="Baskerville Old Face" w:cstheme="majorBidi"/>
          <w:sz w:val="24"/>
          <w:szCs w:val="24"/>
        </w:rPr>
        <w:t>1-</w:t>
      </w:r>
      <w:r w:rsidR="00B54C16" w:rsidRPr="00B54C16">
        <w:rPr>
          <w:rFonts w:ascii="Baskerville Old Face" w:hAnsi="Baskerville Old Face" w:cstheme="majorBidi"/>
          <w:sz w:val="24"/>
          <w:szCs w:val="24"/>
        </w:rPr>
        <w:t>Urine collection: this urine sample</w:t>
      </w:r>
      <w:r w:rsidR="00D364F4">
        <w:rPr>
          <w:rFonts w:ascii="Baskerville Old Face" w:hAnsi="Baskerville Old Face" w:cstheme="majorBidi"/>
          <w:sz w:val="24"/>
          <w:szCs w:val="24"/>
        </w:rPr>
        <w:t xml:space="preserve"> should be the first sample in the morning, and it</w:t>
      </w:r>
      <w:r w:rsidR="00B54C16" w:rsidRPr="00B54C16">
        <w:rPr>
          <w:rFonts w:ascii="Baskerville Old Face" w:hAnsi="Baskerville Old Face" w:cstheme="majorBidi"/>
          <w:sz w:val="24"/>
          <w:szCs w:val="24"/>
        </w:rPr>
        <w:t xml:space="preserve"> was collected from each student by the midstream clean-catch method. To keep tests legitimate, samples must be analyzed within an hour of collection.</w:t>
      </w:r>
    </w:p>
    <w:p w14:paraId="0D4F58CC" w14:textId="77777777" w:rsidR="00D364F4" w:rsidRDefault="00B54C16" w:rsidP="00F940F4">
      <w:pPr>
        <w:autoSpaceDE w:val="0"/>
        <w:autoSpaceDN w:val="0"/>
        <w:bidi w:val="0"/>
        <w:adjustRightInd w:val="0"/>
        <w:spacing w:after="0" w:line="360" w:lineRule="auto"/>
        <w:rPr>
          <w:noProof/>
        </w:rPr>
      </w:pPr>
      <w:r w:rsidRPr="00B54C16">
        <w:rPr>
          <w:rFonts w:ascii="Baskerville Old Face" w:hAnsi="Baskerville Old Face" w:cstheme="majorBidi"/>
          <w:sz w:val="24"/>
          <w:szCs w:val="24"/>
        </w:rPr>
        <w:t>2- After heating the wire loop over a flame, it was put into the urine sample to collect a measured volume of urine</w:t>
      </w:r>
      <w:r w:rsidR="00F940F4">
        <w:rPr>
          <w:rFonts w:ascii="Baskerville Old Face" w:hAnsi="Baskerville Old Face" w:cstheme="majorBidi"/>
          <w:sz w:val="24"/>
          <w:szCs w:val="24"/>
        </w:rPr>
        <w:t xml:space="preserve"> </w:t>
      </w:r>
      <w:r w:rsidR="00F940F4">
        <w:rPr>
          <w:rFonts w:ascii="Baskerville Old Face" w:hAnsi="Baskerville Old Face" w:cstheme="majorBidi"/>
          <w:b/>
          <w:bCs/>
          <w:sz w:val="24"/>
          <w:szCs w:val="24"/>
        </w:rPr>
        <w:t>(</w:t>
      </w:r>
      <w:r w:rsidR="00F940F4" w:rsidRPr="00F940F4">
        <w:rPr>
          <w:rFonts w:ascii="Baskerville Old Face" w:hAnsi="Baskerville Old Face" w:cstheme="majorBidi"/>
          <w:sz w:val="24"/>
          <w:szCs w:val="24"/>
        </w:rPr>
        <w:t>As shown in</w:t>
      </w:r>
      <w:r w:rsidR="00F940F4">
        <w:rPr>
          <w:rFonts w:ascii="Baskerville Old Face" w:hAnsi="Baskerville Old Face" w:cstheme="majorBidi" w:hint="cs"/>
          <w:sz w:val="24"/>
          <w:szCs w:val="24"/>
          <w:rtl/>
        </w:rPr>
        <w:t xml:space="preserve"> </w:t>
      </w:r>
      <w:r w:rsidR="00F940F4">
        <w:rPr>
          <w:rFonts w:ascii="Baskerville Old Face" w:hAnsi="Baskerville Old Face" w:cstheme="majorBidi"/>
          <w:b/>
          <w:bCs/>
          <w:sz w:val="24"/>
          <w:szCs w:val="24"/>
        </w:rPr>
        <w:t>figure1</w:t>
      </w:r>
      <w:r w:rsidR="00F940F4">
        <w:rPr>
          <w:rFonts w:ascii="Baskerville Old Face" w:hAnsi="Baskerville Old Face" w:cstheme="majorBidi"/>
          <w:sz w:val="24"/>
          <w:szCs w:val="24"/>
        </w:rPr>
        <w:t xml:space="preserve"> and </w:t>
      </w:r>
      <w:r w:rsidR="00F940F4">
        <w:rPr>
          <w:rFonts w:ascii="Baskerville Old Face" w:hAnsi="Baskerville Old Face" w:cstheme="majorBidi"/>
          <w:b/>
          <w:bCs/>
          <w:sz w:val="24"/>
          <w:szCs w:val="24"/>
        </w:rPr>
        <w:t>figure2 )</w:t>
      </w:r>
      <w:r w:rsidRPr="00B54C16">
        <w:rPr>
          <w:rFonts w:ascii="Baskerville Old Face" w:hAnsi="Baskerville Old Face" w:cstheme="majorBidi"/>
          <w:sz w:val="24"/>
          <w:szCs w:val="24"/>
        </w:rPr>
        <w:t>.</w:t>
      </w:r>
      <w:r w:rsidR="00D364F4">
        <w:rPr>
          <w:rFonts w:ascii="Baskerville Old Face" w:hAnsi="Baskerville Old Face" w:cstheme="majorBidi"/>
          <w:sz w:val="24"/>
          <w:szCs w:val="24"/>
        </w:rPr>
        <w:t xml:space="preserve"> </w:t>
      </w:r>
    </w:p>
    <w:p w14:paraId="380E4CF2" w14:textId="77777777" w:rsidR="00F940F4" w:rsidRPr="00F940F4" w:rsidRDefault="00F940F4" w:rsidP="00F940F4">
      <w:pPr>
        <w:autoSpaceDE w:val="0"/>
        <w:autoSpaceDN w:val="0"/>
        <w:bidi w:val="0"/>
        <w:adjustRightInd w:val="0"/>
        <w:spacing w:after="0" w:line="360" w:lineRule="auto"/>
        <w:rPr>
          <w:b/>
          <w:bCs/>
          <w:noProof/>
        </w:rPr>
      </w:pPr>
      <w:r>
        <w:rPr>
          <w:b/>
          <w:bCs/>
          <w:noProof/>
        </w:rPr>
        <w:t>Figuer 1:                                                                       Figure 2:</w:t>
      </w:r>
    </w:p>
    <w:p w14:paraId="17AABAA8" w14:textId="77777777" w:rsidR="00B54C16" w:rsidRPr="00B54C16" w:rsidRDefault="00D364F4" w:rsidP="00F940F4">
      <w:pPr>
        <w:autoSpaceDE w:val="0"/>
        <w:autoSpaceDN w:val="0"/>
        <w:bidi w:val="0"/>
        <w:adjustRightInd w:val="0"/>
        <w:spacing w:after="0" w:line="360" w:lineRule="auto"/>
        <w:rPr>
          <w:rFonts w:ascii="Baskerville Old Face" w:hAnsi="Baskerville Old Face" w:cstheme="majorBidi"/>
          <w:sz w:val="24"/>
          <w:szCs w:val="24"/>
        </w:rPr>
      </w:pPr>
      <w:r>
        <w:rPr>
          <w:noProof/>
        </w:rPr>
        <w:drawing>
          <wp:inline distT="0" distB="0" distL="0" distR="0" wp14:anchorId="6F766307" wp14:editId="2BC2071F">
            <wp:extent cx="2590799" cy="1609725"/>
            <wp:effectExtent l="0" t="0" r="635"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595330" cy="1612540"/>
                    </a:xfrm>
                    <a:prstGeom prst="rect">
                      <a:avLst/>
                    </a:prstGeom>
                  </pic:spPr>
                </pic:pic>
              </a:graphicData>
            </a:graphic>
          </wp:inline>
        </w:drawing>
      </w:r>
      <w:r w:rsidR="00F940F4">
        <w:rPr>
          <w:rFonts w:ascii="Baskerville Old Face" w:hAnsi="Baskerville Old Face" w:cstheme="majorBidi"/>
          <w:sz w:val="24"/>
          <w:szCs w:val="24"/>
        </w:rPr>
        <w:t xml:space="preserve"> </w:t>
      </w:r>
      <w:r w:rsidR="00F940F4">
        <w:rPr>
          <w:noProof/>
        </w:rPr>
        <w:drawing>
          <wp:inline distT="0" distB="0" distL="0" distR="0" wp14:anchorId="4D97F951" wp14:editId="5A447616">
            <wp:extent cx="2276475" cy="1609725"/>
            <wp:effectExtent l="0" t="0" r="9525" b="952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276694" cy="1609880"/>
                    </a:xfrm>
                    <a:prstGeom prst="rect">
                      <a:avLst/>
                    </a:prstGeom>
                  </pic:spPr>
                </pic:pic>
              </a:graphicData>
            </a:graphic>
          </wp:inline>
        </w:drawing>
      </w:r>
      <w:r w:rsidR="00F940F4">
        <w:rPr>
          <w:rFonts w:ascii="Baskerville Old Face" w:hAnsi="Baskerville Old Face" w:cstheme="majorBidi"/>
          <w:sz w:val="24"/>
          <w:szCs w:val="24"/>
        </w:rPr>
        <w:t xml:space="preserve">  </w:t>
      </w:r>
    </w:p>
    <w:p w14:paraId="0BC7713D"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r>
        <w:rPr>
          <w:rFonts w:ascii="Baskerville Old Face" w:hAnsi="Baskerville Old Face" w:cstheme="majorBidi"/>
          <w:sz w:val="24"/>
          <w:szCs w:val="24"/>
        </w:rPr>
        <w:t xml:space="preserve">3- </w:t>
      </w:r>
      <w:r w:rsidRPr="001E59FD">
        <w:rPr>
          <w:rFonts w:ascii="Baskerville Old Face" w:hAnsi="Baskerville Old Face" w:cstheme="majorBidi"/>
          <w:sz w:val="24"/>
          <w:szCs w:val="24"/>
        </w:rPr>
        <w:t xml:space="preserve">spread the urine over the surface of  </w:t>
      </w:r>
      <w:r>
        <w:rPr>
          <w:rFonts w:ascii="Baskerville Old Face" w:hAnsi="Baskerville Old Face" w:cstheme="majorBidi"/>
          <w:sz w:val="24"/>
          <w:szCs w:val="24"/>
        </w:rPr>
        <w:t>the agar plate, by urine plate technique (as showon in figure 3 , figure 4, and figure 5 )</w:t>
      </w:r>
    </w:p>
    <w:p w14:paraId="7D4FD918" w14:textId="77777777" w:rsidR="001E59FD" w:rsidRPr="001E59FD" w:rsidRDefault="001E59FD" w:rsidP="001E59FD">
      <w:pPr>
        <w:autoSpaceDE w:val="0"/>
        <w:autoSpaceDN w:val="0"/>
        <w:bidi w:val="0"/>
        <w:adjustRightInd w:val="0"/>
        <w:spacing w:after="0" w:line="360" w:lineRule="auto"/>
        <w:rPr>
          <w:rFonts w:ascii="Baskerville Old Face" w:hAnsi="Baskerville Old Face" w:cstheme="majorBidi"/>
          <w:b/>
          <w:bCs/>
          <w:sz w:val="24"/>
          <w:szCs w:val="24"/>
        </w:rPr>
      </w:pPr>
      <w:r>
        <w:rPr>
          <w:rFonts w:ascii="Baskerville Old Face" w:hAnsi="Baskerville Old Face" w:cstheme="majorBidi"/>
          <w:b/>
          <w:bCs/>
          <w:sz w:val="24"/>
          <w:szCs w:val="24"/>
        </w:rPr>
        <w:t>Figure 3 :</w:t>
      </w:r>
    </w:p>
    <w:p w14:paraId="7B4866CD"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r>
        <w:rPr>
          <w:noProof/>
        </w:rPr>
        <w:drawing>
          <wp:inline distT="0" distB="0" distL="0" distR="0" wp14:anchorId="0F7305C8" wp14:editId="4AB190B0">
            <wp:extent cx="2762250" cy="1543050"/>
            <wp:effectExtent l="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762250" cy="1543050"/>
                    </a:xfrm>
                    <a:prstGeom prst="rect">
                      <a:avLst/>
                    </a:prstGeom>
                  </pic:spPr>
                </pic:pic>
              </a:graphicData>
            </a:graphic>
          </wp:inline>
        </w:drawing>
      </w:r>
    </w:p>
    <w:p w14:paraId="239CB4B2"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p>
    <w:p w14:paraId="4DCCCBA2"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p>
    <w:p w14:paraId="44ACDDD1"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p>
    <w:p w14:paraId="36C67E35"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p>
    <w:p w14:paraId="77E48494" w14:textId="77777777" w:rsidR="004567AA" w:rsidRDefault="004567AA" w:rsidP="004567AA">
      <w:pPr>
        <w:autoSpaceDE w:val="0"/>
        <w:autoSpaceDN w:val="0"/>
        <w:bidi w:val="0"/>
        <w:adjustRightInd w:val="0"/>
        <w:spacing w:after="0" w:line="360" w:lineRule="auto"/>
        <w:rPr>
          <w:rFonts w:ascii="Baskerville Old Face" w:hAnsi="Baskerville Old Face" w:cstheme="majorBidi"/>
          <w:sz w:val="24"/>
          <w:szCs w:val="24"/>
        </w:rPr>
      </w:pPr>
    </w:p>
    <w:p w14:paraId="14BF0CFE" w14:textId="77777777" w:rsidR="004567AA" w:rsidRDefault="004567AA" w:rsidP="004567AA">
      <w:pPr>
        <w:autoSpaceDE w:val="0"/>
        <w:autoSpaceDN w:val="0"/>
        <w:bidi w:val="0"/>
        <w:adjustRightInd w:val="0"/>
        <w:spacing w:after="0" w:line="360" w:lineRule="auto"/>
        <w:rPr>
          <w:rFonts w:ascii="Baskerville Old Face" w:hAnsi="Baskerville Old Face" w:cstheme="majorBidi"/>
          <w:sz w:val="24"/>
          <w:szCs w:val="24"/>
        </w:rPr>
      </w:pPr>
    </w:p>
    <w:p w14:paraId="00621D0E"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p>
    <w:p w14:paraId="4F015F14" w14:textId="77777777" w:rsidR="001E59FD" w:rsidRPr="001E59FD" w:rsidRDefault="001E59FD" w:rsidP="001E59FD">
      <w:pPr>
        <w:autoSpaceDE w:val="0"/>
        <w:autoSpaceDN w:val="0"/>
        <w:bidi w:val="0"/>
        <w:adjustRightInd w:val="0"/>
        <w:spacing w:after="0" w:line="360" w:lineRule="auto"/>
        <w:rPr>
          <w:rFonts w:ascii="Baskerville Old Face" w:hAnsi="Baskerville Old Face" w:cstheme="majorBidi"/>
          <w:b/>
          <w:bCs/>
          <w:sz w:val="24"/>
          <w:szCs w:val="24"/>
        </w:rPr>
      </w:pPr>
      <w:r>
        <w:rPr>
          <w:rFonts w:ascii="Baskerville Old Face" w:hAnsi="Baskerville Old Face" w:cstheme="majorBidi"/>
          <w:b/>
          <w:bCs/>
          <w:sz w:val="24"/>
          <w:szCs w:val="24"/>
        </w:rPr>
        <w:t>Figure 4:                                                             Figure 5:</w:t>
      </w:r>
    </w:p>
    <w:p w14:paraId="02A95691"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r>
        <w:rPr>
          <w:noProof/>
        </w:rPr>
        <w:drawing>
          <wp:inline distT="0" distB="0" distL="0" distR="0" wp14:anchorId="19089146" wp14:editId="78B9DC07">
            <wp:extent cx="2752724" cy="1905000"/>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753296" cy="1905396"/>
                    </a:xfrm>
                    <a:prstGeom prst="rect">
                      <a:avLst/>
                    </a:prstGeom>
                  </pic:spPr>
                </pic:pic>
              </a:graphicData>
            </a:graphic>
          </wp:inline>
        </w:drawing>
      </w:r>
      <w:r>
        <w:rPr>
          <w:rFonts w:ascii="Baskerville Old Face" w:hAnsi="Baskerville Old Face" w:cstheme="majorBidi"/>
          <w:sz w:val="24"/>
          <w:szCs w:val="24"/>
        </w:rPr>
        <w:t xml:space="preserve">  </w:t>
      </w:r>
      <w:r>
        <w:rPr>
          <w:noProof/>
        </w:rPr>
        <w:drawing>
          <wp:inline distT="0" distB="0" distL="0" distR="0" wp14:anchorId="0D3B0231" wp14:editId="2BCFB8D7">
            <wp:extent cx="2562225" cy="1902757"/>
            <wp:effectExtent l="0" t="0" r="0" b="254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566051" cy="1905598"/>
                    </a:xfrm>
                    <a:prstGeom prst="rect">
                      <a:avLst/>
                    </a:prstGeom>
                  </pic:spPr>
                </pic:pic>
              </a:graphicData>
            </a:graphic>
          </wp:inline>
        </w:drawing>
      </w:r>
    </w:p>
    <w:p w14:paraId="356AA170" w14:textId="77777777" w:rsidR="001E59FD" w:rsidRDefault="001E59FD" w:rsidP="001E59FD">
      <w:pPr>
        <w:autoSpaceDE w:val="0"/>
        <w:autoSpaceDN w:val="0"/>
        <w:bidi w:val="0"/>
        <w:adjustRightInd w:val="0"/>
        <w:spacing w:after="0" w:line="360" w:lineRule="auto"/>
        <w:rPr>
          <w:rFonts w:ascii="Baskerville Old Face" w:hAnsi="Baskerville Old Face" w:cstheme="majorBidi"/>
          <w:sz w:val="24"/>
          <w:szCs w:val="24"/>
        </w:rPr>
      </w:pPr>
      <w:r>
        <w:rPr>
          <w:rFonts w:ascii="Baskerville Old Face" w:hAnsi="Baskerville Old Face" w:cstheme="majorBidi"/>
          <w:sz w:val="24"/>
          <w:szCs w:val="24"/>
        </w:rPr>
        <w:t xml:space="preserve">4- </w:t>
      </w:r>
      <w:r w:rsidRPr="001E59FD">
        <w:rPr>
          <w:rFonts w:ascii="Baskerville Old Face" w:hAnsi="Baskerville Old Face" w:cstheme="majorBidi"/>
          <w:sz w:val="24"/>
          <w:szCs w:val="24"/>
        </w:rPr>
        <w:t>w</w:t>
      </w:r>
      <w:r>
        <w:rPr>
          <w:rFonts w:ascii="Baskerville Old Face" w:hAnsi="Baskerville Old Face" w:cstheme="majorBidi"/>
          <w:sz w:val="24"/>
          <w:szCs w:val="24"/>
        </w:rPr>
        <w:t xml:space="preserve">ithout flaming insert the loop </w:t>
      </w:r>
      <w:r w:rsidRPr="001E59FD">
        <w:rPr>
          <w:rFonts w:ascii="Baskerville Old Face" w:hAnsi="Baskerville Old Face" w:cstheme="majorBidi"/>
          <w:sz w:val="24"/>
          <w:szCs w:val="24"/>
        </w:rPr>
        <w:t>vertically in</w:t>
      </w:r>
      <w:r>
        <w:rPr>
          <w:rFonts w:ascii="Baskerville Old Face" w:hAnsi="Baskerville Old Face" w:cstheme="majorBidi"/>
          <w:sz w:val="24"/>
          <w:szCs w:val="24"/>
        </w:rPr>
        <w:t xml:space="preserve">to the urine again to </w:t>
      </w:r>
      <w:r w:rsidRPr="001E59FD">
        <w:rPr>
          <w:rFonts w:ascii="Baskerville Old Face" w:hAnsi="Baskerville Old Face" w:cstheme="majorBidi"/>
          <w:sz w:val="24"/>
          <w:szCs w:val="24"/>
        </w:rPr>
        <w:t>transfer of loopful to a second plate.</w:t>
      </w:r>
    </w:p>
    <w:p w14:paraId="56C01856" w14:textId="77777777" w:rsidR="009E1401" w:rsidRDefault="00B54C16" w:rsidP="001E59FD">
      <w:pPr>
        <w:autoSpaceDE w:val="0"/>
        <w:autoSpaceDN w:val="0"/>
        <w:bidi w:val="0"/>
        <w:adjustRightInd w:val="0"/>
        <w:spacing w:after="0" w:line="360" w:lineRule="auto"/>
        <w:rPr>
          <w:rFonts w:ascii="Baskerville Old Face" w:hAnsi="Baskerville Old Face" w:cstheme="majorBidi"/>
          <w:sz w:val="24"/>
          <w:szCs w:val="24"/>
        </w:rPr>
      </w:pPr>
      <w:r w:rsidRPr="00B54C16">
        <w:rPr>
          <w:rFonts w:ascii="Baskerville Old Face" w:hAnsi="Baskerville Old Face" w:cstheme="majorBidi"/>
          <w:sz w:val="24"/>
          <w:szCs w:val="24"/>
        </w:rPr>
        <w:t>5- Finally, the cultures were incubated for 24 hours at 37 degrees Celsi</w:t>
      </w:r>
      <w:r w:rsidR="008C740D">
        <w:rPr>
          <w:rFonts w:ascii="Baskerville Old Face" w:hAnsi="Baskerville Old Face" w:cstheme="majorBidi"/>
          <w:sz w:val="24"/>
          <w:szCs w:val="24"/>
        </w:rPr>
        <w:t xml:space="preserve">us to promote observable growth (3)(4). </w:t>
      </w:r>
    </w:p>
    <w:p w14:paraId="22727323" w14:textId="77777777" w:rsidR="008C740D" w:rsidRPr="00B54C16" w:rsidRDefault="008C740D" w:rsidP="008C740D">
      <w:pPr>
        <w:autoSpaceDE w:val="0"/>
        <w:autoSpaceDN w:val="0"/>
        <w:bidi w:val="0"/>
        <w:adjustRightInd w:val="0"/>
        <w:spacing w:after="0" w:line="360" w:lineRule="auto"/>
        <w:rPr>
          <w:rFonts w:ascii="Baskerville Old Face" w:hAnsi="Baskerville Old Face" w:cstheme="majorBidi"/>
          <w:sz w:val="24"/>
          <w:szCs w:val="24"/>
        </w:rPr>
      </w:pPr>
      <w:r w:rsidRPr="008C740D">
        <w:rPr>
          <w:rFonts w:ascii="Baskerville Old Face" w:hAnsi="Baskerville Old Face" w:cstheme="majorBidi"/>
          <w:sz w:val="24"/>
          <w:szCs w:val="24"/>
        </w:rPr>
        <w:t>The data was gathered using a Pearson Chi-Square test to see if the two qualitative variables were independent. However, because more than 20% of the cells projected a count lower than 5, the expected frequency was too low, and Fisher's precise text was used instead.</w:t>
      </w:r>
      <w:r>
        <w:rPr>
          <w:rFonts w:ascii="Baskerville Old Face" w:hAnsi="Baskerville Old Face" w:cstheme="majorBidi"/>
          <w:sz w:val="24"/>
          <w:szCs w:val="24"/>
        </w:rPr>
        <w:t xml:space="preserve"> </w:t>
      </w:r>
    </w:p>
    <w:p w14:paraId="1BB7BBAA" w14:textId="77777777" w:rsidR="009E1401" w:rsidRPr="00FF63BA" w:rsidRDefault="009E1401" w:rsidP="008C740D">
      <w:pPr>
        <w:autoSpaceDE w:val="0"/>
        <w:autoSpaceDN w:val="0"/>
        <w:bidi w:val="0"/>
        <w:adjustRightInd w:val="0"/>
        <w:spacing w:after="0" w:line="360" w:lineRule="auto"/>
        <w:rPr>
          <w:rFonts w:ascii="Baskerville Old Face" w:hAnsi="Baskerville Old Face" w:cstheme="majorBidi"/>
          <w:sz w:val="24"/>
          <w:szCs w:val="24"/>
          <w:rtl/>
        </w:rPr>
      </w:pPr>
    </w:p>
    <w:p w14:paraId="72A73A34" w14:textId="77777777" w:rsidR="008C740D" w:rsidRPr="00FA684F" w:rsidRDefault="008C740D" w:rsidP="008C740D">
      <w:pPr>
        <w:spacing w:line="360" w:lineRule="auto"/>
        <w:jc w:val="right"/>
        <w:rPr>
          <w:rFonts w:ascii="Times New Roman" w:hAnsi="Times New Roman" w:cs="Times New Roman"/>
          <w:b/>
          <w:bCs/>
          <w:sz w:val="28"/>
          <w:szCs w:val="28"/>
          <w:u w:val="single"/>
          <w:rtl/>
        </w:rPr>
      </w:pPr>
      <w:r w:rsidRPr="00FA684F">
        <w:rPr>
          <w:rFonts w:ascii="Times New Roman" w:hAnsi="Times New Roman" w:cs="Times New Roman"/>
          <w:b/>
          <w:bCs/>
          <w:sz w:val="28"/>
          <w:szCs w:val="28"/>
          <w:u w:val="single"/>
        </w:rPr>
        <w:t xml:space="preserve">Results and Statistical </w:t>
      </w:r>
      <w:r w:rsidRPr="00FA684F">
        <w:rPr>
          <w:rFonts w:ascii="Baskerville Old Face" w:hAnsi="Baskerville Old Face" w:cs="Times New Roman"/>
          <w:b/>
          <w:bCs/>
          <w:sz w:val="28"/>
          <w:szCs w:val="28"/>
          <w:u w:val="single"/>
        </w:rPr>
        <w:t>analysis</w:t>
      </w:r>
      <w:r w:rsidRPr="00FA684F">
        <w:rPr>
          <w:rFonts w:ascii="Times New Roman" w:hAnsi="Times New Roman" w:cs="Times New Roman"/>
          <w:b/>
          <w:bCs/>
          <w:sz w:val="28"/>
          <w:szCs w:val="28"/>
          <w:u w:val="single"/>
        </w:rPr>
        <w:t xml:space="preserve">: </w:t>
      </w:r>
    </w:p>
    <w:p w14:paraId="1470C7BE" w14:textId="77777777" w:rsidR="00437BAF" w:rsidRDefault="008C740D" w:rsidP="00437BAF">
      <w:pPr>
        <w:spacing w:line="360" w:lineRule="auto"/>
        <w:jc w:val="right"/>
        <w:rPr>
          <w:rFonts w:ascii="Times New Roman" w:hAnsi="Times New Roman" w:cs="Times New Roman"/>
        </w:rPr>
      </w:pPr>
      <w:r w:rsidRPr="008C740D">
        <w:rPr>
          <w:rFonts w:ascii="Times New Roman" w:hAnsi="Times New Roman" w:cs="Times New Roman"/>
        </w:rPr>
        <w:t>Taking into consideration the method of urine collection, a CFU/ml greater or equal to 100,000 is considered a significant growth and the individual is diagnosed with UTI</w:t>
      </w:r>
      <w:r>
        <w:rPr>
          <w:rFonts w:ascii="Times New Roman" w:hAnsi="Times New Roman" w:cs="Times New Roman"/>
        </w:rPr>
        <w:t xml:space="preserve"> .</w:t>
      </w:r>
    </w:p>
    <w:p w14:paraId="45AB7866" w14:textId="77777777" w:rsidR="008C740D" w:rsidRPr="00437BAF" w:rsidRDefault="008C740D" w:rsidP="00437BAF">
      <w:pPr>
        <w:spacing w:line="360" w:lineRule="auto"/>
        <w:jc w:val="right"/>
        <w:rPr>
          <w:rFonts w:ascii="Times New Roman" w:hAnsi="Times New Roman" w:cs="Times New Roman"/>
        </w:rPr>
      </w:pPr>
      <w:r w:rsidRPr="00437BAF">
        <w:rPr>
          <w:rFonts w:ascii="Baskerville Old Face" w:hAnsi="Baskerville Old Face" w:cs="Times New Roman"/>
          <w:b/>
          <w:bCs/>
          <w:sz w:val="24"/>
          <w:szCs w:val="24"/>
        </w:rPr>
        <w:t>Table</w:t>
      </w:r>
      <w:r w:rsidR="0037334C" w:rsidRPr="00437BAF">
        <w:rPr>
          <w:rFonts w:ascii="Baskerville Old Face" w:hAnsi="Baskerville Old Face" w:cs="Times New Roman"/>
          <w:b/>
          <w:bCs/>
          <w:sz w:val="24"/>
          <w:szCs w:val="24"/>
        </w:rPr>
        <w:t xml:space="preserve"> 1</w:t>
      </w:r>
      <w:r w:rsidRPr="00437BAF">
        <w:rPr>
          <w:rFonts w:ascii="Baskerville Old Face" w:hAnsi="Baskerville Old Face" w:cs="Times New Roman"/>
          <w:b/>
          <w:bCs/>
          <w:sz w:val="24"/>
          <w:szCs w:val="24"/>
        </w:rPr>
        <w:t>:</w:t>
      </w:r>
      <w:r w:rsidR="00437BAF">
        <w:rPr>
          <w:rFonts w:ascii="Baskerville Old Face" w:hAnsi="Baskerville Old Face" w:cs="Times New Roman"/>
          <w:b/>
          <w:bCs/>
          <w:sz w:val="24"/>
          <w:szCs w:val="24"/>
        </w:rPr>
        <w:t xml:space="preserve"> </w:t>
      </w:r>
      <w:r w:rsidR="00437BAF">
        <w:rPr>
          <w:rFonts w:ascii="Baskerville Old Face" w:hAnsi="Baskerville Old Face" w:cs="Times New Roman"/>
          <w:sz w:val="24"/>
          <w:szCs w:val="24"/>
        </w:rPr>
        <w:t xml:space="preserve">summary table </w:t>
      </w:r>
      <w:r w:rsidRPr="00437BAF">
        <w:rPr>
          <w:rFonts w:ascii="Baskerville Old Face" w:hAnsi="Baskerville Old Face" w:cs="Times New Roman"/>
          <w:b/>
          <w:bCs/>
          <w:sz w:val="24"/>
          <w:szCs w:val="24"/>
        </w:rPr>
        <w:t xml:space="preserve"> </w:t>
      </w:r>
    </w:p>
    <w:tbl>
      <w:tblPr>
        <w:tblpPr w:leftFromText="180" w:rightFromText="180" w:bottomFromText="160" w:vertAnchor="text" w:horzAnchor="margin" w:tblpXSpec="center" w:tblpY="412"/>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80"/>
        <w:gridCol w:w="990"/>
        <w:gridCol w:w="1448"/>
        <w:gridCol w:w="1432"/>
        <w:gridCol w:w="1890"/>
        <w:gridCol w:w="1710"/>
        <w:gridCol w:w="1170"/>
      </w:tblGrid>
      <w:tr w:rsidR="00437BAF" w:rsidRPr="00437BAF" w14:paraId="747BD70F" w14:textId="77777777" w:rsidTr="00437BAF">
        <w:trPr>
          <w:cantSplit/>
        </w:trPr>
        <w:tc>
          <w:tcPr>
            <w:tcW w:w="9720" w:type="dxa"/>
            <w:gridSpan w:val="7"/>
            <w:tcBorders>
              <w:top w:val="nil"/>
              <w:left w:val="nil"/>
              <w:bottom w:val="nil"/>
              <w:right w:val="nil"/>
            </w:tcBorders>
            <w:shd w:val="clear" w:color="auto" w:fill="FFFFFF"/>
            <w:vAlign w:val="center"/>
            <w:hideMark/>
          </w:tcPr>
          <w:p w14:paraId="5E36B99E" w14:textId="77777777" w:rsidR="00437BAF" w:rsidRPr="00437BAF" w:rsidRDefault="00437BAF" w:rsidP="00437BAF">
            <w:pPr>
              <w:bidi w:val="0"/>
              <w:spacing w:line="360" w:lineRule="auto"/>
              <w:rPr>
                <w:rFonts w:ascii="Baskerville Old Face" w:hAnsi="Baskerville Old Face" w:cs="Times New Roman"/>
                <w:sz w:val="24"/>
                <w:szCs w:val="24"/>
              </w:rPr>
            </w:pPr>
            <w:bookmarkStart w:id="1" w:name="_Hlk104931815"/>
            <w:r w:rsidRPr="00437BAF">
              <w:rPr>
                <w:rFonts w:ascii="Baskerville Old Face" w:hAnsi="Baskerville Old Face" w:cs="Times New Roman"/>
                <w:b/>
                <w:bCs/>
                <w:sz w:val="24"/>
                <w:szCs w:val="24"/>
              </w:rPr>
              <w:t>Gender * CFUcat Crosstabulation</w:t>
            </w:r>
          </w:p>
        </w:tc>
      </w:tr>
      <w:tr w:rsidR="00437BAF" w:rsidRPr="00437BAF" w14:paraId="2522B5C0" w14:textId="77777777" w:rsidTr="00437BAF">
        <w:trPr>
          <w:cantSplit/>
        </w:trPr>
        <w:tc>
          <w:tcPr>
            <w:tcW w:w="3518" w:type="dxa"/>
            <w:gridSpan w:val="3"/>
            <w:vMerge w:val="restart"/>
            <w:tcBorders>
              <w:top w:val="nil"/>
              <w:left w:val="nil"/>
              <w:bottom w:val="nil"/>
              <w:right w:val="nil"/>
            </w:tcBorders>
            <w:shd w:val="clear" w:color="auto" w:fill="FFFFFF"/>
            <w:vAlign w:val="bottom"/>
          </w:tcPr>
          <w:p w14:paraId="4DF65388"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5032" w:type="dxa"/>
            <w:gridSpan w:val="3"/>
            <w:tcBorders>
              <w:top w:val="nil"/>
              <w:left w:val="nil"/>
              <w:bottom w:val="nil"/>
              <w:right w:val="single" w:sz="8" w:space="0" w:color="E0E0E0"/>
            </w:tcBorders>
            <w:shd w:val="clear" w:color="auto" w:fill="FFFFFF"/>
            <w:vAlign w:val="bottom"/>
            <w:hideMark/>
          </w:tcPr>
          <w:p w14:paraId="7DEF769F"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CFUcat</w:t>
            </w:r>
          </w:p>
        </w:tc>
        <w:tc>
          <w:tcPr>
            <w:tcW w:w="1170" w:type="dxa"/>
            <w:vMerge w:val="restart"/>
            <w:tcBorders>
              <w:top w:val="nil"/>
              <w:left w:val="single" w:sz="8" w:space="0" w:color="E0E0E0"/>
              <w:bottom w:val="nil"/>
              <w:right w:val="nil"/>
            </w:tcBorders>
            <w:shd w:val="clear" w:color="auto" w:fill="FFFFFF"/>
            <w:vAlign w:val="bottom"/>
            <w:hideMark/>
          </w:tcPr>
          <w:p w14:paraId="66A6B961"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Total</w:t>
            </w:r>
          </w:p>
        </w:tc>
      </w:tr>
      <w:tr w:rsidR="00437BAF" w:rsidRPr="00437BAF" w14:paraId="3E443F3C" w14:textId="77777777" w:rsidTr="00437BAF">
        <w:trPr>
          <w:cantSplit/>
        </w:trPr>
        <w:tc>
          <w:tcPr>
            <w:tcW w:w="3518" w:type="dxa"/>
            <w:gridSpan w:val="3"/>
            <w:vMerge/>
            <w:tcBorders>
              <w:top w:val="nil"/>
              <w:left w:val="nil"/>
              <w:bottom w:val="nil"/>
              <w:right w:val="nil"/>
            </w:tcBorders>
            <w:vAlign w:val="center"/>
            <w:hideMark/>
          </w:tcPr>
          <w:p w14:paraId="3FA355BA"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1432" w:type="dxa"/>
            <w:tcBorders>
              <w:top w:val="nil"/>
              <w:left w:val="nil"/>
              <w:bottom w:val="single" w:sz="8" w:space="0" w:color="152935"/>
              <w:right w:val="single" w:sz="8" w:space="0" w:color="E0E0E0"/>
            </w:tcBorders>
            <w:shd w:val="clear" w:color="auto" w:fill="FFFFFF"/>
            <w:vAlign w:val="bottom"/>
            <w:hideMark/>
          </w:tcPr>
          <w:p w14:paraId="781C8547"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No growth</w:t>
            </w:r>
          </w:p>
        </w:tc>
        <w:tc>
          <w:tcPr>
            <w:tcW w:w="1890" w:type="dxa"/>
            <w:tcBorders>
              <w:top w:val="nil"/>
              <w:left w:val="single" w:sz="8" w:space="0" w:color="E0E0E0"/>
              <w:bottom w:val="single" w:sz="8" w:space="0" w:color="152935"/>
              <w:right w:val="single" w:sz="8" w:space="0" w:color="E0E0E0"/>
            </w:tcBorders>
            <w:shd w:val="clear" w:color="auto" w:fill="FFFFFF"/>
            <w:vAlign w:val="bottom"/>
            <w:hideMark/>
          </w:tcPr>
          <w:p w14:paraId="7931E448"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No significant growth</w:t>
            </w:r>
          </w:p>
        </w:tc>
        <w:tc>
          <w:tcPr>
            <w:tcW w:w="1710" w:type="dxa"/>
            <w:tcBorders>
              <w:top w:val="nil"/>
              <w:left w:val="single" w:sz="8" w:space="0" w:color="E0E0E0"/>
              <w:bottom w:val="single" w:sz="8" w:space="0" w:color="152935"/>
              <w:right w:val="single" w:sz="8" w:space="0" w:color="E0E0E0"/>
            </w:tcBorders>
            <w:shd w:val="clear" w:color="auto" w:fill="FFFFFF"/>
            <w:vAlign w:val="bottom"/>
            <w:hideMark/>
          </w:tcPr>
          <w:p w14:paraId="0A0FA927"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Significant growth</w:t>
            </w:r>
          </w:p>
        </w:tc>
        <w:tc>
          <w:tcPr>
            <w:tcW w:w="1170" w:type="dxa"/>
            <w:vMerge/>
            <w:tcBorders>
              <w:top w:val="nil"/>
              <w:left w:val="single" w:sz="8" w:space="0" w:color="E0E0E0"/>
              <w:bottom w:val="nil"/>
              <w:right w:val="nil"/>
            </w:tcBorders>
            <w:vAlign w:val="center"/>
            <w:hideMark/>
          </w:tcPr>
          <w:p w14:paraId="15D8EE8C" w14:textId="77777777" w:rsidR="00437BAF" w:rsidRPr="00437BAF" w:rsidRDefault="00437BAF" w:rsidP="00437BAF">
            <w:pPr>
              <w:bidi w:val="0"/>
              <w:spacing w:line="360" w:lineRule="auto"/>
              <w:rPr>
                <w:rFonts w:ascii="Baskerville Old Face" w:hAnsi="Baskerville Old Face" w:cs="Times New Roman"/>
                <w:sz w:val="24"/>
                <w:szCs w:val="24"/>
              </w:rPr>
            </w:pPr>
          </w:p>
        </w:tc>
      </w:tr>
      <w:tr w:rsidR="00437BAF" w:rsidRPr="00437BAF" w14:paraId="2EE81B15" w14:textId="77777777" w:rsidTr="00437BAF">
        <w:trPr>
          <w:cantSplit/>
        </w:trPr>
        <w:tc>
          <w:tcPr>
            <w:tcW w:w="1080" w:type="dxa"/>
            <w:vMerge w:val="restart"/>
            <w:tcBorders>
              <w:top w:val="single" w:sz="8" w:space="0" w:color="152935"/>
              <w:left w:val="nil"/>
              <w:bottom w:val="nil"/>
              <w:right w:val="nil"/>
            </w:tcBorders>
            <w:shd w:val="clear" w:color="auto" w:fill="E0E0E0"/>
            <w:hideMark/>
          </w:tcPr>
          <w:p w14:paraId="5B3ABA7C"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Gender</w:t>
            </w:r>
          </w:p>
        </w:tc>
        <w:tc>
          <w:tcPr>
            <w:tcW w:w="990" w:type="dxa"/>
            <w:vMerge w:val="restart"/>
            <w:tcBorders>
              <w:top w:val="single" w:sz="8" w:space="0" w:color="152935"/>
              <w:left w:val="nil"/>
              <w:bottom w:val="nil"/>
              <w:right w:val="nil"/>
            </w:tcBorders>
            <w:shd w:val="clear" w:color="auto" w:fill="E0E0E0"/>
            <w:hideMark/>
          </w:tcPr>
          <w:p w14:paraId="77111124"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Male</w:t>
            </w:r>
          </w:p>
        </w:tc>
        <w:tc>
          <w:tcPr>
            <w:tcW w:w="1448" w:type="dxa"/>
            <w:tcBorders>
              <w:top w:val="single" w:sz="8" w:space="0" w:color="152935"/>
              <w:left w:val="nil"/>
              <w:bottom w:val="single" w:sz="8" w:space="0" w:color="AEAEAE"/>
              <w:right w:val="nil"/>
            </w:tcBorders>
            <w:shd w:val="clear" w:color="auto" w:fill="E0E0E0"/>
            <w:hideMark/>
          </w:tcPr>
          <w:p w14:paraId="64CB9A12"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Count</w:t>
            </w:r>
          </w:p>
        </w:tc>
        <w:tc>
          <w:tcPr>
            <w:tcW w:w="1432" w:type="dxa"/>
            <w:tcBorders>
              <w:top w:val="single" w:sz="8" w:space="0" w:color="152935"/>
              <w:left w:val="nil"/>
              <w:bottom w:val="single" w:sz="8" w:space="0" w:color="AEAEAE"/>
              <w:right w:val="single" w:sz="8" w:space="0" w:color="E0E0E0"/>
            </w:tcBorders>
            <w:shd w:val="clear" w:color="auto" w:fill="FFFFFF"/>
            <w:hideMark/>
          </w:tcPr>
          <w:p w14:paraId="71E29873"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9</w:t>
            </w:r>
          </w:p>
        </w:tc>
        <w:tc>
          <w:tcPr>
            <w:tcW w:w="1890" w:type="dxa"/>
            <w:tcBorders>
              <w:top w:val="single" w:sz="8" w:space="0" w:color="152935"/>
              <w:left w:val="single" w:sz="8" w:space="0" w:color="E0E0E0"/>
              <w:bottom w:val="single" w:sz="8" w:space="0" w:color="AEAEAE"/>
              <w:right w:val="single" w:sz="8" w:space="0" w:color="E0E0E0"/>
            </w:tcBorders>
            <w:shd w:val="clear" w:color="auto" w:fill="FFFFFF"/>
            <w:hideMark/>
          </w:tcPr>
          <w:p w14:paraId="1CFF73E8"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3</w:t>
            </w:r>
          </w:p>
        </w:tc>
        <w:tc>
          <w:tcPr>
            <w:tcW w:w="1710" w:type="dxa"/>
            <w:tcBorders>
              <w:top w:val="single" w:sz="8" w:space="0" w:color="152935"/>
              <w:left w:val="single" w:sz="8" w:space="0" w:color="E0E0E0"/>
              <w:bottom w:val="single" w:sz="8" w:space="0" w:color="AEAEAE"/>
              <w:right w:val="single" w:sz="8" w:space="0" w:color="E0E0E0"/>
            </w:tcBorders>
            <w:shd w:val="clear" w:color="auto" w:fill="FFFFFF"/>
            <w:hideMark/>
          </w:tcPr>
          <w:p w14:paraId="0F0E5623"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0</w:t>
            </w:r>
          </w:p>
        </w:tc>
        <w:tc>
          <w:tcPr>
            <w:tcW w:w="1170" w:type="dxa"/>
            <w:tcBorders>
              <w:top w:val="single" w:sz="8" w:space="0" w:color="152935"/>
              <w:left w:val="single" w:sz="8" w:space="0" w:color="E0E0E0"/>
              <w:bottom w:val="single" w:sz="8" w:space="0" w:color="AEAEAE"/>
              <w:right w:val="nil"/>
            </w:tcBorders>
            <w:shd w:val="clear" w:color="auto" w:fill="FFFFFF"/>
            <w:hideMark/>
          </w:tcPr>
          <w:p w14:paraId="340B41CD"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12</w:t>
            </w:r>
          </w:p>
        </w:tc>
      </w:tr>
      <w:tr w:rsidR="00437BAF" w:rsidRPr="00437BAF" w14:paraId="270D5DBB" w14:textId="77777777" w:rsidTr="00437BAF">
        <w:trPr>
          <w:gridAfter w:val="1"/>
          <w:wAfter w:w="1170" w:type="dxa"/>
          <w:cantSplit/>
        </w:trPr>
        <w:tc>
          <w:tcPr>
            <w:tcW w:w="1080" w:type="dxa"/>
            <w:vMerge/>
            <w:tcBorders>
              <w:top w:val="single" w:sz="8" w:space="0" w:color="152935"/>
              <w:left w:val="nil"/>
              <w:bottom w:val="nil"/>
              <w:right w:val="nil"/>
            </w:tcBorders>
            <w:vAlign w:val="center"/>
            <w:hideMark/>
          </w:tcPr>
          <w:p w14:paraId="1963C4A8"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990" w:type="dxa"/>
            <w:vMerge/>
            <w:tcBorders>
              <w:top w:val="single" w:sz="8" w:space="0" w:color="152935"/>
              <w:left w:val="nil"/>
              <w:bottom w:val="nil"/>
              <w:right w:val="nil"/>
            </w:tcBorders>
            <w:vAlign w:val="center"/>
            <w:hideMark/>
          </w:tcPr>
          <w:p w14:paraId="237C1436"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1448" w:type="dxa"/>
            <w:tcBorders>
              <w:top w:val="single" w:sz="8" w:space="0" w:color="AEAEAE"/>
              <w:left w:val="nil"/>
              <w:bottom w:val="nil"/>
              <w:right w:val="nil"/>
            </w:tcBorders>
            <w:shd w:val="clear" w:color="auto" w:fill="E0E0E0"/>
            <w:hideMark/>
          </w:tcPr>
          <w:p w14:paraId="6A20116A"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 Within CFUcat</w:t>
            </w:r>
          </w:p>
        </w:tc>
        <w:tc>
          <w:tcPr>
            <w:tcW w:w="1432" w:type="dxa"/>
            <w:tcBorders>
              <w:top w:val="single" w:sz="8" w:space="0" w:color="AEAEAE"/>
              <w:left w:val="nil"/>
              <w:bottom w:val="nil"/>
              <w:right w:val="single" w:sz="8" w:space="0" w:color="E0E0E0"/>
            </w:tcBorders>
            <w:shd w:val="clear" w:color="auto" w:fill="FFFFFF"/>
            <w:hideMark/>
          </w:tcPr>
          <w:p w14:paraId="6B48F961"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81.8%</w:t>
            </w:r>
          </w:p>
        </w:tc>
        <w:tc>
          <w:tcPr>
            <w:tcW w:w="1890" w:type="dxa"/>
            <w:tcBorders>
              <w:top w:val="single" w:sz="8" w:space="0" w:color="AEAEAE"/>
              <w:left w:val="single" w:sz="8" w:space="0" w:color="E0E0E0"/>
              <w:bottom w:val="nil"/>
              <w:right w:val="single" w:sz="8" w:space="0" w:color="E0E0E0"/>
            </w:tcBorders>
            <w:shd w:val="clear" w:color="auto" w:fill="FFFFFF"/>
            <w:hideMark/>
          </w:tcPr>
          <w:p w14:paraId="6993F153"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27.3%</w:t>
            </w:r>
          </w:p>
        </w:tc>
        <w:tc>
          <w:tcPr>
            <w:tcW w:w="1710" w:type="dxa"/>
            <w:tcBorders>
              <w:top w:val="single" w:sz="8" w:space="0" w:color="AEAEAE"/>
              <w:left w:val="single" w:sz="8" w:space="0" w:color="E0E0E0"/>
              <w:bottom w:val="nil"/>
              <w:right w:val="single" w:sz="8" w:space="0" w:color="E0E0E0"/>
            </w:tcBorders>
            <w:shd w:val="clear" w:color="auto" w:fill="FFFFFF"/>
            <w:hideMark/>
          </w:tcPr>
          <w:p w14:paraId="6B9DFD5A"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0.0%</w:t>
            </w:r>
          </w:p>
        </w:tc>
      </w:tr>
      <w:tr w:rsidR="00437BAF" w:rsidRPr="00437BAF" w14:paraId="4F9A4353" w14:textId="77777777" w:rsidTr="00437BAF">
        <w:trPr>
          <w:cantSplit/>
        </w:trPr>
        <w:tc>
          <w:tcPr>
            <w:tcW w:w="1080" w:type="dxa"/>
            <w:vMerge/>
            <w:tcBorders>
              <w:top w:val="single" w:sz="8" w:space="0" w:color="152935"/>
              <w:left w:val="nil"/>
              <w:bottom w:val="nil"/>
              <w:right w:val="nil"/>
            </w:tcBorders>
            <w:vAlign w:val="center"/>
            <w:hideMark/>
          </w:tcPr>
          <w:p w14:paraId="46D1A879"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990" w:type="dxa"/>
            <w:vMerge w:val="restart"/>
            <w:tcBorders>
              <w:top w:val="single" w:sz="8" w:space="0" w:color="AEAEAE"/>
              <w:left w:val="nil"/>
              <w:bottom w:val="nil"/>
              <w:right w:val="nil"/>
            </w:tcBorders>
            <w:shd w:val="clear" w:color="auto" w:fill="E0E0E0"/>
            <w:hideMark/>
          </w:tcPr>
          <w:p w14:paraId="7439061E"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Female</w:t>
            </w:r>
          </w:p>
        </w:tc>
        <w:tc>
          <w:tcPr>
            <w:tcW w:w="1448" w:type="dxa"/>
            <w:tcBorders>
              <w:top w:val="single" w:sz="8" w:space="0" w:color="AEAEAE"/>
              <w:left w:val="nil"/>
              <w:bottom w:val="single" w:sz="8" w:space="0" w:color="AEAEAE"/>
              <w:right w:val="nil"/>
            </w:tcBorders>
            <w:shd w:val="clear" w:color="auto" w:fill="E0E0E0"/>
            <w:hideMark/>
          </w:tcPr>
          <w:p w14:paraId="4AAC96C6"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Count</w:t>
            </w:r>
          </w:p>
        </w:tc>
        <w:tc>
          <w:tcPr>
            <w:tcW w:w="1432" w:type="dxa"/>
            <w:tcBorders>
              <w:top w:val="single" w:sz="8" w:space="0" w:color="AEAEAE"/>
              <w:left w:val="nil"/>
              <w:bottom w:val="single" w:sz="8" w:space="0" w:color="AEAEAE"/>
              <w:right w:val="single" w:sz="8" w:space="0" w:color="E0E0E0"/>
            </w:tcBorders>
            <w:shd w:val="clear" w:color="auto" w:fill="FFFFFF"/>
            <w:hideMark/>
          </w:tcPr>
          <w:p w14:paraId="5A20F6BB"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2</w:t>
            </w:r>
          </w:p>
        </w:tc>
        <w:tc>
          <w:tcPr>
            <w:tcW w:w="1890" w:type="dxa"/>
            <w:tcBorders>
              <w:top w:val="single" w:sz="8" w:space="0" w:color="AEAEAE"/>
              <w:left w:val="single" w:sz="8" w:space="0" w:color="E0E0E0"/>
              <w:bottom w:val="single" w:sz="8" w:space="0" w:color="AEAEAE"/>
              <w:right w:val="single" w:sz="8" w:space="0" w:color="E0E0E0"/>
            </w:tcBorders>
            <w:shd w:val="clear" w:color="auto" w:fill="FFFFFF"/>
            <w:hideMark/>
          </w:tcPr>
          <w:p w14:paraId="3DA644BE"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8</w:t>
            </w:r>
          </w:p>
        </w:tc>
        <w:tc>
          <w:tcPr>
            <w:tcW w:w="1710" w:type="dxa"/>
            <w:tcBorders>
              <w:top w:val="single" w:sz="8" w:space="0" w:color="AEAEAE"/>
              <w:left w:val="single" w:sz="8" w:space="0" w:color="E0E0E0"/>
              <w:bottom w:val="single" w:sz="8" w:space="0" w:color="AEAEAE"/>
              <w:right w:val="single" w:sz="8" w:space="0" w:color="E0E0E0"/>
            </w:tcBorders>
            <w:shd w:val="clear" w:color="auto" w:fill="FFFFFF"/>
            <w:hideMark/>
          </w:tcPr>
          <w:p w14:paraId="2EA7FA93"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2</w:t>
            </w:r>
          </w:p>
        </w:tc>
        <w:tc>
          <w:tcPr>
            <w:tcW w:w="1170" w:type="dxa"/>
            <w:tcBorders>
              <w:top w:val="single" w:sz="8" w:space="0" w:color="AEAEAE"/>
              <w:left w:val="single" w:sz="8" w:space="0" w:color="E0E0E0"/>
              <w:bottom w:val="single" w:sz="8" w:space="0" w:color="AEAEAE"/>
              <w:right w:val="nil"/>
            </w:tcBorders>
            <w:shd w:val="clear" w:color="auto" w:fill="FFFFFF"/>
            <w:hideMark/>
          </w:tcPr>
          <w:p w14:paraId="7D44B32A"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12</w:t>
            </w:r>
          </w:p>
        </w:tc>
      </w:tr>
      <w:tr w:rsidR="00437BAF" w:rsidRPr="00437BAF" w14:paraId="62C1A8C5" w14:textId="77777777" w:rsidTr="00437BAF">
        <w:trPr>
          <w:gridAfter w:val="1"/>
          <w:wAfter w:w="1170" w:type="dxa"/>
          <w:cantSplit/>
        </w:trPr>
        <w:tc>
          <w:tcPr>
            <w:tcW w:w="1080" w:type="dxa"/>
            <w:vMerge/>
            <w:tcBorders>
              <w:top w:val="single" w:sz="8" w:space="0" w:color="152935"/>
              <w:left w:val="nil"/>
              <w:bottom w:val="nil"/>
              <w:right w:val="nil"/>
            </w:tcBorders>
            <w:vAlign w:val="center"/>
            <w:hideMark/>
          </w:tcPr>
          <w:p w14:paraId="6C15A4BC"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990" w:type="dxa"/>
            <w:vMerge/>
            <w:tcBorders>
              <w:top w:val="single" w:sz="8" w:space="0" w:color="AEAEAE"/>
              <w:left w:val="nil"/>
              <w:bottom w:val="nil"/>
              <w:right w:val="nil"/>
            </w:tcBorders>
            <w:vAlign w:val="center"/>
            <w:hideMark/>
          </w:tcPr>
          <w:p w14:paraId="155DBB7B"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1448" w:type="dxa"/>
            <w:tcBorders>
              <w:top w:val="single" w:sz="8" w:space="0" w:color="AEAEAE"/>
              <w:left w:val="nil"/>
              <w:bottom w:val="nil"/>
              <w:right w:val="nil"/>
            </w:tcBorders>
            <w:shd w:val="clear" w:color="auto" w:fill="E0E0E0"/>
            <w:hideMark/>
          </w:tcPr>
          <w:p w14:paraId="47EE28D6"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 Within CFUcat</w:t>
            </w:r>
          </w:p>
        </w:tc>
        <w:tc>
          <w:tcPr>
            <w:tcW w:w="1432" w:type="dxa"/>
            <w:tcBorders>
              <w:top w:val="single" w:sz="8" w:space="0" w:color="AEAEAE"/>
              <w:left w:val="nil"/>
              <w:bottom w:val="nil"/>
              <w:right w:val="single" w:sz="8" w:space="0" w:color="E0E0E0"/>
            </w:tcBorders>
            <w:shd w:val="clear" w:color="auto" w:fill="FFFFFF"/>
            <w:hideMark/>
          </w:tcPr>
          <w:p w14:paraId="16A17AB4"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18.2%</w:t>
            </w:r>
          </w:p>
        </w:tc>
        <w:tc>
          <w:tcPr>
            <w:tcW w:w="1890" w:type="dxa"/>
            <w:tcBorders>
              <w:top w:val="single" w:sz="8" w:space="0" w:color="AEAEAE"/>
              <w:left w:val="single" w:sz="8" w:space="0" w:color="E0E0E0"/>
              <w:bottom w:val="nil"/>
              <w:right w:val="single" w:sz="8" w:space="0" w:color="E0E0E0"/>
            </w:tcBorders>
            <w:shd w:val="clear" w:color="auto" w:fill="FFFFFF"/>
            <w:hideMark/>
          </w:tcPr>
          <w:p w14:paraId="4BED0084"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72.7%</w:t>
            </w:r>
          </w:p>
        </w:tc>
        <w:tc>
          <w:tcPr>
            <w:tcW w:w="1710" w:type="dxa"/>
            <w:tcBorders>
              <w:top w:val="single" w:sz="8" w:space="0" w:color="AEAEAE"/>
              <w:left w:val="single" w:sz="8" w:space="0" w:color="E0E0E0"/>
              <w:bottom w:val="nil"/>
              <w:right w:val="single" w:sz="8" w:space="0" w:color="E0E0E0"/>
            </w:tcBorders>
            <w:shd w:val="clear" w:color="auto" w:fill="FFFFFF"/>
            <w:hideMark/>
          </w:tcPr>
          <w:p w14:paraId="5E399979"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100.0%</w:t>
            </w:r>
          </w:p>
        </w:tc>
      </w:tr>
      <w:tr w:rsidR="00437BAF" w:rsidRPr="00437BAF" w14:paraId="15182989" w14:textId="77777777" w:rsidTr="00437BAF">
        <w:trPr>
          <w:cantSplit/>
          <w:trHeight w:val="475"/>
        </w:trPr>
        <w:tc>
          <w:tcPr>
            <w:tcW w:w="2070" w:type="dxa"/>
            <w:gridSpan w:val="2"/>
            <w:tcBorders>
              <w:top w:val="single" w:sz="8" w:space="0" w:color="AEAEAE"/>
              <w:left w:val="nil"/>
              <w:bottom w:val="single" w:sz="8" w:space="0" w:color="152935"/>
              <w:right w:val="nil"/>
            </w:tcBorders>
            <w:shd w:val="clear" w:color="auto" w:fill="E0E0E0"/>
            <w:hideMark/>
          </w:tcPr>
          <w:p w14:paraId="3A748A66"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 xml:space="preserve">         Total count      </w:t>
            </w:r>
          </w:p>
        </w:tc>
        <w:tc>
          <w:tcPr>
            <w:tcW w:w="1448" w:type="dxa"/>
            <w:tcBorders>
              <w:top w:val="single" w:sz="8" w:space="0" w:color="AEAEAE"/>
              <w:left w:val="nil"/>
              <w:bottom w:val="single" w:sz="8" w:space="0" w:color="AEAEAE"/>
              <w:right w:val="nil"/>
            </w:tcBorders>
            <w:shd w:val="clear" w:color="auto" w:fill="E0E0E0"/>
          </w:tcPr>
          <w:p w14:paraId="23EE360F" w14:textId="77777777" w:rsidR="00437BAF" w:rsidRPr="00437BAF" w:rsidRDefault="00437BAF" w:rsidP="00437BAF">
            <w:pPr>
              <w:bidi w:val="0"/>
              <w:spacing w:line="360" w:lineRule="auto"/>
              <w:rPr>
                <w:rFonts w:ascii="Baskerville Old Face" w:hAnsi="Baskerville Old Face" w:cs="Times New Roman"/>
                <w:sz w:val="24"/>
                <w:szCs w:val="24"/>
              </w:rPr>
            </w:pPr>
          </w:p>
        </w:tc>
        <w:tc>
          <w:tcPr>
            <w:tcW w:w="1432" w:type="dxa"/>
            <w:tcBorders>
              <w:top w:val="single" w:sz="8" w:space="0" w:color="AEAEAE"/>
              <w:left w:val="nil"/>
              <w:bottom w:val="single" w:sz="8" w:space="0" w:color="AEAEAE"/>
              <w:right w:val="single" w:sz="8" w:space="0" w:color="E0E0E0"/>
            </w:tcBorders>
            <w:shd w:val="clear" w:color="auto" w:fill="FFFFFF"/>
            <w:hideMark/>
          </w:tcPr>
          <w:p w14:paraId="049CB079"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11</w:t>
            </w:r>
          </w:p>
        </w:tc>
        <w:tc>
          <w:tcPr>
            <w:tcW w:w="1890" w:type="dxa"/>
            <w:tcBorders>
              <w:top w:val="single" w:sz="8" w:space="0" w:color="AEAEAE"/>
              <w:left w:val="single" w:sz="8" w:space="0" w:color="E0E0E0"/>
              <w:bottom w:val="single" w:sz="8" w:space="0" w:color="AEAEAE"/>
              <w:right w:val="single" w:sz="8" w:space="0" w:color="E0E0E0"/>
            </w:tcBorders>
            <w:shd w:val="clear" w:color="auto" w:fill="FFFFFF"/>
            <w:hideMark/>
          </w:tcPr>
          <w:p w14:paraId="0A2ACF54"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11</w:t>
            </w:r>
          </w:p>
        </w:tc>
        <w:tc>
          <w:tcPr>
            <w:tcW w:w="1710" w:type="dxa"/>
            <w:tcBorders>
              <w:top w:val="single" w:sz="8" w:space="0" w:color="AEAEAE"/>
              <w:left w:val="single" w:sz="8" w:space="0" w:color="E0E0E0"/>
              <w:bottom w:val="single" w:sz="8" w:space="0" w:color="AEAEAE"/>
              <w:right w:val="single" w:sz="8" w:space="0" w:color="E0E0E0"/>
            </w:tcBorders>
            <w:shd w:val="clear" w:color="auto" w:fill="FFFFFF"/>
            <w:hideMark/>
          </w:tcPr>
          <w:p w14:paraId="276073ED"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2</w:t>
            </w:r>
          </w:p>
        </w:tc>
        <w:tc>
          <w:tcPr>
            <w:tcW w:w="1170" w:type="dxa"/>
            <w:tcBorders>
              <w:top w:val="single" w:sz="8" w:space="0" w:color="AEAEAE"/>
              <w:left w:val="single" w:sz="8" w:space="0" w:color="E0E0E0"/>
              <w:bottom w:val="single" w:sz="8" w:space="0" w:color="AEAEAE"/>
              <w:right w:val="nil"/>
            </w:tcBorders>
            <w:shd w:val="clear" w:color="auto" w:fill="FFFFFF"/>
            <w:hideMark/>
          </w:tcPr>
          <w:p w14:paraId="3A4C1D98" w14:textId="77777777" w:rsidR="00437BAF" w:rsidRPr="00437BAF" w:rsidRDefault="00437BAF" w:rsidP="00437BAF">
            <w:pPr>
              <w:bidi w:val="0"/>
              <w:spacing w:line="360" w:lineRule="auto"/>
              <w:rPr>
                <w:rFonts w:ascii="Baskerville Old Face" w:hAnsi="Baskerville Old Face" w:cs="Times New Roman"/>
                <w:sz w:val="24"/>
                <w:szCs w:val="24"/>
              </w:rPr>
            </w:pPr>
            <w:r w:rsidRPr="00437BAF">
              <w:rPr>
                <w:rFonts w:ascii="Baskerville Old Face" w:hAnsi="Baskerville Old Face" w:cs="Times New Roman"/>
                <w:sz w:val="24"/>
                <w:szCs w:val="24"/>
              </w:rPr>
              <w:t>24</w:t>
            </w:r>
          </w:p>
        </w:tc>
      </w:tr>
      <w:bookmarkEnd w:id="1"/>
    </w:tbl>
    <w:p w14:paraId="5AFE3406" w14:textId="77777777" w:rsidR="00437BAF" w:rsidRPr="008C740D" w:rsidRDefault="00437BAF" w:rsidP="00437BAF">
      <w:pPr>
        <w:bidi w:val="0"/>
        <w:spacing w:line="360" w:lineRule="auto"/>
        <w:rPr>
          <w:rFonts w:ascii="Baskerville Old Face" w:hAnsi="Baskerville Old Face" w:cs="Times New Roman"/>
          <w:sz w:val="24"/>
          <w:szCs w:val="24"/>
        </w:rPr>
      </w:pPr>
    </w:p>
    <w:p w14:paraId="651EC06A" w14:textId="77777777" w:rsidR="0037334C" w:rsidRDefault="008C740D" w:rsidP="00437BAF">
      <w:pPr>
        <w:bidi w:val="0"/>
        <w:spacing w:line="360" w:lineRule="auto"/>
        <w:rPr>
          <w:rFonts w:ascii="Baskerville Old Face" w:hAnsi="Baskerville Old Face" w:cs="Times New Roman"/>
          <w:sz w:val="24"/>
          <w:szCs w:val="24"/>
        </w:rPr>
      </w:pPr>
      <w:r w:rsidRPr="008C740D">
        <w:rPr>
          <w:rFonts w:ascii="Baskerville Old Face" w:hAnsi="Baskerville Old Face" w:cs="Times New Roman"/>
          <w:sz w:val="24"/>
          <w:szCs w:val="24"/>
        </w:rPr>
        <w:t>According to (table 1), male students accounted for 81.8 percent (9/11) of the urine cultures that did not develop, whereas female students accounted for just 18.2 percent (2/11). The female students provided 100 percent of the cultures with significant bacterial growth. The only two significant growth culture medias came from female students, and none of the men had asymptomatic bacteriuria</w:t>
      </w:r>
      <w:r>
        <w:rPr>
          <w:rFonts w:ascii="Baskerville Old Face" w:hAnsi="Baskerville Old Face" w:cs="Times New Roman"/>
          <w:sz w:val="24"/>
          <w:szCs w:val="24"/>
        </w:rPr>
        <w:t>.</w:t>
      </w:r>
    </w:p>
    <w:p w14:paraId="67C89479" w14:textId="77777777" w:rsidR="008C740D" w:rsidRDefault="0037334C" w:rsidP="008C740D">
      <w:pPr>
        <w:spacing w:line="360" w:lineRule="auto"/>
        <w:jc w:val="right"/>
        <w:rPr>
          <w:rFonts w:ascii="Baskerville Old Face" w:hAnsi="Baskerville Old Face" w:cs="Times New Roman"/>
          <w:sz w:val="24"/>
          <w:szCs w:val="24"/>
        </w:rPr>
      </w:pPr>
      <w:r>
        <w:rPr>
          <w:rFonts w:ascii="Baskerville Old Face" w:hAnsi="Baskerville Old Face" w:cs="Times New Roman"/>
          <w:b/>
          <w:bCs/>
          <w:sz w:val="24"/>
          <w:szCs w:val="24"/>
        </w:rPr>
        <w:t>Figure 6:</w:t>
      </w:r>
      <w:r w:rsidR="008C740D">
        <w:rPr>
          <w:rFonts w:ascii="Baskerville Old Face" w:hAnsi="Baskerville Old Face" w:cs="Times New Roman"/>
          <w:sz w:val="24"/>
          <w:szCs w:val="24"/>
        </w:rPr>
        <w:t xml:space="preserve"> </w:t>
      </w:r>
    </w:p>
    <w:p w14:paraId="14F4CA5D" w14:textId="77777777" w:rsidR="008C740D" w:rsidRPr="008C740D" w:rsidRDefault="008C740D" w:rsidP="008C740D">
      <w:pPr>
        <w:jc w:val="right"/>
        <w:rPr>
          <w:rFonts w:ascii="Baskerville Old Face" w:hAnsi="Baskerville Old Face" w:cs="Times New Roman"/>
          <w:sz w:val="24"/>
          <w:szCs w:val="24"/>
          <w:rtl/>
        </w:rPr>
      </w:pPr>
      <w:r>
        <w:rPr>
          <w:noProof/>
        </w:rPr>
        <w:drawing>
          <wp:inline distT="0" distB="0" distL="0" distR="0" wp14:anchorId="5AF2DBEE" wp14:editId="31EC32C5">
            <wp:extent cx="5066215" cy="3072650"/>
            <wp:effectExtent l="0" t="0" r="127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066215" cy="3072650"/>
                    </a:xfrm>
                    <a:prstGeom prst="rect">
                      <a:avLst/>
                    </a:prstGeom>
                  </pic:spPr>
                </pic:pic>
              </a:graphicData>
            </a:graphic>
          </wp:inline>
        </w:drawing>
      </w:r>
    </w:p>
    <w:p w14:paraId="0E04148D" w14:textId="77777777" w:rsidR="008C740D" w:rsidRDefault="008C740D" w:rsidP="008C740D">
      <w:pPr>
        <w:spacing w:line="360" w:lineRule="auto"/>
        <w:jc w:val="right"/>
        <w:rPr>
          <w:rFonts w:ascii="Times New Roman" w:hAnsi="Times New Roman" w:cs="Times New Roman"/>
          <w:sz w:val="24"/>
          <w:szCs w:val="24"/>
        </w:rPr>
      </w:pPr>
      <w:r w:rsidRPr="008C740D">
        <w:rPr>
          <w:rFonts w:ascii="Times New Roman" w:hAnsi="Times New Roman" w:cs="Times New Roman"/>
          <w:sz w:val="24"/>
          <w:szCs w:val="24"/>
        </w:rPr>
        <w:t>This pie chart only shows the CFU of male students. There was no growth in 75% (9 of 12) of the male students, 25%</w:t>
      </w:r>
      <w:r>
        <w:rPr>
          <w:rFonts w:ascii="Times New Roman" w:hAnsi="Times New Roman" w:cs="Times New Roman"/>
          <w:sz w:val="24"/>
          <w:szCs w:val="24"/>
        </w:rPr>
        <w:t xml:space="preserve"> (3 of 12) </w:t>
      </w:r>
      <w:r w:rsidRPr="008C740D">
        <w:rPr>
          <w:rFonts w:ascii="Times New Roman" w:hAnsi="Times New Roman" w:cs="Times New Roman"/>
          <w:sz w:val="24"/>
          <w:szCs w:val="24"/>
        </w:rPr>
        <w:t xml:space="preserve"> had insignificant growth, and zero had significant growth</w:t>
      </w:r>
      <w:r>
        <w:rPr>
          <w:rFonts w:ascii="Times New Roman" w:hAnsi="Times New Roman" w:cs="Times New Roman"/>
          <w:sz w:val="24"/>
          <w:szCs w:val="24"/>
        </w:rPr>
        <w:t>.</w:t>
      </w:r>
    </w:p>
    <w:p w14:paraId="4D9512A1" w14:textId="77777777" w:rsidR="008C740D" w:rsidRDefault="0037334C" w:rsidP="008C740D">
      <w:pPr>
        <w:bidi w:val="0"/>
        <w:jc w:val="both"/>
        <w:rPr>
          <w:rFonts w:ascii="Times New Roman" w:hAnsi="Times New Roman" w:cs="Times New Roman"/>
          <w:b/>
          <w:bCs/>
          <w:sz w:val="24"/>
          <w:szCs w:val="24"/>
        </w:rPr>
      </w:pPr>
      <w:r w:rsidRPr="0037334C">
        <w:rPr>
          <w:rFonts w:ascii="Times New Roman" w:hAnsi="Times New Roman" w:cs="Times New Roman"/>
          <w:b/>
          <w:bCs/>
          <w:sz w:val="24"/>
          <w:szCs w:val="24"/>
        </w:rPr>
        <w:t>Figure 7:</w:t>
      </w:r>
    </w:p>
    <w:p w14:paraId="6AF8872C" w14:textId="77777777" w:rsidR="0037334C" w:rsidRPr="0037334C" w:rsidRDefault="00437BAF" w:rsidP="0037334C">
      <w:pPr>
        <w:bidi w:val="0"/>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4D648C54" wp14:editId="25684769">
            <wp:extent cx="4950460" cy="2859405"/>
            <wp:effectExtent l="0" t="0" r="254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0460" cy="2859405"/>
                    </a:xfrm>
                    <a:prstGeom prst="rect">
                      <a:avLst/>
                    </a:prstGeom>
                    <a:noFill/>
                  </pic:spPr>
                </pic:pic>
              </a:graphicData>
            </a:graphic>
          </wp:inline>
        </w:drawing>
      </w:r>
    </w:p>
    <w:p w14:paraId="5B669746" w14:textId="77777777" w:rsidR="008C740D" w:rsidRPr="008C740D" w:rsidRDefault="008C740D" w:rsidP="008C740D">
      <w:pPr>
        <w:bidi w:val="0"/>
        <w:spacing w:line="360" w:lineRule="auto"/>
        <w:rPr>
          <w:rFonts w:ascii="Times New Roman" w:hAnsi="Times New Roman" w:cs="Times New Roman"/>
          <w:rtl/>
        </w:rPr>
      </w:pPr>
      <w:r w:rsidRPr="008C740D">
        <w:rPr>
          <w:rFonts w:ascii="Times New Roman" w:hAnsi="Times New Roman" w:cs="Times New Roman"/>
        </w:rPr>
        <w:t>This</w:t>
      </w:r>
      <w:r>
        <w:rPr>
          <w:rFonts w:ascii="Times New Roman" w:hAnsi="Times New Roman" w:cs="Times New Roman"/>
        </w:rPr>
        <w:t xml:space="preserve"> pie chart counts the CFU of the </w:t>
      </w:r>
      <w:r w:rsidRPr="008C740D">
        <w:rPr>
          <w:rFonts w:ascii="Times New Roman" w:hAnsi="Times New Roman" w:cs="Times New Roman"/>
        </w:rPr>
        <w:t>female students only. Indicating that 16.67% of females had no growth and 66.67% had no significant growth, 16.67% had significant bacterial growth on urine culture and were diagnosed with ASB.</w:t>
      </w:r>
    </w:p>
    <w:p w14:paraId="09C62EAD" w14:textId="77777777" w:rsidR="008C740D" w:rsidRPr="008C740D" w:rsidRDefault="008C740D" w:rsidP="008C740D">
      <w:pPr>
        <w:jc w:val="right"/>
        <w:rPr>
          <w:rFonts w:ascii="Baskerville Old Face" w:hAnsi="Baskerville Old Face" w:cs="Times New Roman"/>
          <w:b/>
          <w:bCs/>
          <w:sz w:val="24"/>
          <w:szCs w:val="24"/>
          <w:rtl/>
        </w:rPr>
      </w:pPr>
      <w:r w:rsidRPr="008C740D">
        <w:rPr>
          <w:rFonts w:ascii="Baskerville Old Face" w:hAnsi="Baskerville Old Face" w:cs="Times New Roman"/>
          <w:b/>
          <w:bCs/>
          <w:sz w:val="24"/>
          <w:szCs w:val="24"/>
        </w:rPr>
        <w:t xml:space="preserve">Table </w:t>
      </w:r>
      <w:r>
        <w:rPr>
          <w:rFonts w:ascii="Baskerville Old Face" w:hAnsi="Baskerville Old Face" w:cs="Times New Roman"/>
          <w:b/>
          <w:bCs/>
          <w:sz w:val="24"/>
          <w:szCs w:val="24"/>
        </w:rPr>
        <w:t>2</w:t>
      </w:r>
      <w:r w:rsidRPr="008C740D">
        <w:rPr>
          <w:rFonts w:ascii="Baskerville Old Face" w:hAnsi="Baskerville Old Face" w:cs="Times New Roman"/>
          <w:b/>
          <w:bCs/>
          <w:sz w:val="24"/>
          <w:szCs w:val="24"/>
        </w:rPr>
        <w:t>:</w:t>
      </w:r>
    </w:p>
    <w:p w14:paraId="12F958F3" w14:textId="77777777" w:rsidR="007F2BD1" w:rsidRDefault="008C740D" w:rsidP="008C740D">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noProof/>
          <w:sz w:val="40"/>
          <w:szCs w:val="40"/>
        </w:rPr>
        <w:drawing>
          <wp:inline distT="0" distB="0" distL="0" distR="0" wp14:anchorId="2C885944" wp14:editId="05D5628B">
            <wp:extent cx="6060558" cy="2030819"/>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71887" cy="2034615"/>
                    </a:xfrm>
                    <a:prstGeom prst="rect">
                      <a:avLst/>
                    </a:prstGeom>
                    <a:noFill/>
                  </pic:spPr>
                </pic:pic>
              </a:graphicData>
            </a:graphic>
          </wp:inline>
        </w:drawing>
      </w:r>
    </w:p>
    <w:p w14:paraId="02D61B4D" w14:textId="77777777" w:rsidR="00437BAF" w:rsidRPr="00FA684F" w:rsidRDefault="007F2BD1" w:rsidP="00437BAF">
      <w:pPr>
        <w:autoSpaceDE w:val="0"/>
        <w:autoSpaceDN w:val="0"/>
        <w:bidi w:val="0"/>
        <w:adjustRightInd w:val="0"/>
        <w:spacing w:after="0" w:line="360" w:lineRule="auto"/>
        <w:rPr>
          <w:rFonts w:ascii="Baskerville Old Face" w:hAnsi="Baskerville Old Face" w:cstheme="majorBidi"/>
          <w:b/>
          <w:bCs/>
          <w:sz w:val="28"/>
          <w:szCs w:val="28"/>
          <w:u w:val="single"/>
        </w:rPr>
      </w:pPr>
      <w:r w:rsidRPr="00FA684F">
        <w:rPr>
          <w:rFonts w:ascii="Baskerville Old Face" w:hAnsi="Baskerville Old Face" w:cstheme="majorBidi"/>
          <w:b/>
          <w:bCs/>
          <w:sz w:val="28"/>
          <w:szCs w:val="28"/>
          <w:u w:val="single"/>
        </w:rPr>
        <w:t>Discussion :</w:t>
      </w:r>
    </w:p>
    <w:p w14:paraId="6AE21536" w14:textId="77777777" w:rsidR="00090C94" w:rsidRDefault="00090C94" w:rsidP="008C740D">
      <w:pPr>
        <w:autoSpaceDE w:val="0"/>
        <w:autoSpaceDN w:val="0"/>
        <w:bidi w:val="0"/>
        <w:adjustRightInd w:val="0"/>
        <w:spacing w:after="0" w:line="360" w:lineRule="auto"/>
        <w:rPr>
          <w:rFonts w:ascii="Baskerville Old Face" w:hAnsi="Baskerville Old Face" w:cstheme="majorBidi"/>
          <w:sz w:val="24"/>
          <w:szCs w:val="24"/>
        </w:rPr>
      </w:pPr>
      <w:r w:rsidRPr="00090C94">
        <w:rPr>
          <w:rFonts w:ascii="Baskerville Old Face" w:hAnsi="Baskerville Old Face" w:cstheme="majorBidi"/>
          <w:sz w:val="24"/>
          <w:szCs w:val="24"/>
        </w:rPr>
        <w:t>As shown, the p-value is 0.018, which is less than 0.05, indicating that there is a link between gender and CFU, which supports our hypothesis. Comparing values in Figure 6 and Figure 7 reveals that females are more likely to develop asymptomatic bacteriuria, which could be due to a variety of factors, including sexual intercourse and the use of spermicidal contraceptives, as well as anatomical factors (5).</w:t>
      </w:r>
    </w:p>
    <w:p w14:paraId="7E54BA51" w14:textId="77777777" w:rsidR="008C740D" w:rsidRDefault="008C740D" w:rsidP="00090C94">
      <w:pPr>
        <w:autoSpaceDE w:val="0"/>
        <w:autoSpaceDN w:val="0"/>
        <w:bidi w:val="0"/>
        <w:adjustRightInd w:val="0"/>
        <w:spacing w:after="0" w:line="360" w:lineRule="auto"/>
        <w:rPr>
          <w:rFonts w:ascii="Baskerville Old Face" w:hAnsi="Baskerville Old Face" w:cstheme="majorBidi"/>
          <w:sz w:val="24"/>
          <w:szCs w:val="24"/>
        </w:rPr>
      </w:pPr>
      <w:r w:rsidRPr="008C740D">
        <w:rPr>
          <w:rFonts w:ascii="Baskerville Old Face" w:hAnsi="Baskerville Old Face" w:cstheme="majorBidi"/>
          <w:sz w:val="24"/>
          <w:szCs w:val="24"/>
        </w:rPr>
        <w:t xml:space="preserve">Though our initial hypothesis was met, the results and data obtained are lacking in terms of illustrating a more descriptive comparison between males and females, in addition to the data encountering a few difficulties during analysis, which is due to a variety of factors, the most significant of which is the sample size. Including additional students in the sample would enhance the results and give a more statistically valid comparison. It should be noted, however, that increasing the sample size makes the experiment more expensive and difficult to carry out. Another aspect that contributed </w:t>
      </w:r>
      <w:r w:rsidRPr="00090C94">
        <w:rPr>
          <w:rFonts w:ascii="Baskerville Old Face" w:hAnsi="Baskerville Old Face" w:cstheme="majorBidi"/>
          <w:sz w:val="24"/>
          <w:szCs w:val="24"/>
        </w:rPr>
        <w:t>to our poor results</w:t>
      </w:r>
      <w:r w:rsidRPr="008C740D">
        <w:rPr>
          <w:rFonts w:ascii="Baskerville Old Face" w:hAnsi="Baskerville Old Face" w:cstheme="majorBidi"/>
          <w:sz w:val="24"/>
          <w:szCs w:val="24"/>
        </w:rPr>
        <w:t xml:space="preserve"> was the fact that the subjects were all in the same age range. Varying the age group within the sample would </w:t>
      </w:r>
      <w:r w:rsidRPr="00090C94">
        <w:rPr>
          <w:rFonts w:ascii="Baskerville Old Face" w:hAnsi="Baskerville Old Face" w:cstheme="majorBidi"/>
          <w:sz w:val="24"/>
          <w:szCs w:val="24"/>
        </w:rPr>
        <w:t>provide stronger data to illustrate a more precise comparison.</w:t>
      </w:r>
      <w:r>
        <w:rPr>
          <w:rFonts w:ascii="Baskerville Old Face" w:hAnsi="Baskerville Old Face" w:cstheme="majorBidi"/>
          <w:sz w:val="24"/>
          <w:szCs w:val="24"/>
        </w:rPr>
        <w:t xml:space="preserve"> </w:t>
      </w:r>
    </w:p>
    <w:p w14:paraId="137CB661" w14:textId="77777777" w:rsidR="00090C94" w:rsidRDefault="00090C94" w:rsidP="00090C94">
      <w:pPr>
        <w:autoSpaceDE w:val="0"/>
        <w:autoSpaceDN w:val="0"/>
        <w:bidi w:val="0"/>
        <w:adjustRightInd w:val="0"/>
        <w:spacing w:after="0" w:line="360" w:lineRule="auto"/>
        <w:rPr>
          <w:rFonts w:ascii="Baskerville Old Face" w:hAnsi="Baskerville Old Face" w:cstheme="majorBidi"/>
          <w:sz w:val="24"/>
          <w:szCs w:val="24"/>
        </w:rPr>
      </w:pPr>
      <w:r w:rsidRPr="00090C94">
        <w:rPr>
          <w:rFonts w:ascii="Baskerville Old Face" w:hAnsi="Baskerville Old Face" w:cstheme="majorBidi"/>
          <w:sz w:val="24"/>
          <w:szCs w:val="24"/>
        </w:rPr>
        <w:t>Even though the sample size was limited, the findings were consistent with earlier research suggesting that females are more prone to asymptomatic bacteriuria. According to one study, premenopausal women had a 5% chance of asymptomatic bacteriuria, whereas men and women between the ages of 65 and 80 have a 15% risk, which rises to 40-50 percent by the age of 80. Regardless, women are more likely than males to develop asymptomatic bacteriuria at any given age (1).</w:t>
      </w:r>
    </w:p>
    <w:p w14:paraId="326D71F1" w14:textId="77777777" w:rsidR="008C740D" w:rsidRDefault="008C740D" w:rsidP="00090C94">
      <w:pPr>
        <w:autoSpaceDE w:val="0"/>
        <w:autoSpaceDN w:val="0"/>
        <w:bidi w:val="0"/>
        <w:adjustRightInd w:val="0"/>
        <w:spacing w:after="0" w:line="360" w:lineRule="auto"/>
        <w:rPr>
          <w:rFonts w:ascii="Baskerville Old Face" w:hAnsi="Baskerville Old Face" w:cstheme="majorBidi"/>
          <w:sz w:val="24"/>
          <w:szCs w:val="24"/>
        </w:rPr>
      </w:pPr>
      <w:r w:rsidRPr="008C740D">
        <w:rPr>
          <w:rFonts w:ascii="Baskerville Old Face" w:hAnsi="Baskerville Old Face" w:cstheme="majorBidi"/>
          <w:sz w:val="24"/>
          <w:szCs w:val="24"/>
        </w:rPr>
        <w:t xml:space="preserve">The experiment's goal of assessing the microbial spectrum of asymptomatic bacteriuria was not achieved because the sample size was too small and inappropriate for such a finding, as only two samples showed significant E. coli growth, which according to multiple researchers is the most common pathogen of asymptomatic bacteriuria, accounting for roughly </w:t>
      </w:r>
      <w:r>
        <w:rPr>
          <w:rFonts w:ascii="Baskerville Old Face" w:hAnsi="Baskerville Old Face" w:cstheme="majorBidi"/>
          <w:sz w:val="24"/>
          <w:szCs w:val="24"/>
        </w:rPr>
        <w:t xml:space="preserve">70-80 percent of clinical cases (3). </w:t>
      </w:r>
    </w:p>
    <w:p w14:paraId="2BB90810" w14:textId="77777777" w:rsidR="008C740D" w:rsidRPr="008C740D" w:rsidRDefault="008C740D" w:rsidP="008C740D">
      <w:pPr>
        <w:autoSpaceDE w:val="0"/>
        <w:autoSpaceDN w:val="0"/>
        <w:bidi w:val="0"/>
        <w:adjustRightInd w:val="0"/>
        <w:spacing w:after="0" w:line="360" w:lineRule="auto"/>
        <w:rPr>
          <w:rFonts w:ascii="Baskerville Old Face" w:hAnsi="Baskerville Old Face" w:cstheme="majorBidi"/>
          <w:sz w:val="24"/>
          <w:szCs w:val="24"/>
        </w:rPr>
      </w:pPr>
      <w:r w:rsidRPr="00D31B07">
        <w:rPr>
          <w:rFonts w:ascii="Baskerville Old Face" w:hAnsi="Baskerville Old Face" w:cstheme="majorBidi"/>
          <w:sz w:val="24"/>
          <w:szCs w:val="24"/>
        </w:rPr>
        <w:t>Klebsiella, Proteus mirabilis, and pseudomonas aeruginosa are among the gram-negative bacteria that can cause asymptomatic bacteriuria. In addition to candida species, Gram positive bacteria such as enterococcus species, staphylococcus saprophyticus, and group B streptococci can produce asymptomatic bacteriuria (1).</w:t>
      </w:r>
    </w:p>
    <w:p w14:paraId="74771BA9" w14:textId="77777777" w:rsidR="007F2BD1" w:rsidRPr="00FA684F" w:rsidRDefault="007F2BD1" w:rsidP="008C740D">
      <w:pPr>
        <w:autoSpaceDE w:val="0"/>
        <w:autoSpaceDN w:val="0"/>
        <w:bidi w:val="0"/>
        <w:adjustRightInd w:val="0"/>
        <w:spacing w:after="0" w:line="360" w:lineRule="auto"/>
        <w:rPr>
          <w:rFonts w:ascii="Baskerville Old Face" w:hAnsi="Baskerville Old Face" w:cstheme="majorBidi"/>
          <w:b/>
          <w:bCs/>
          <w:sz w:val="28"/>
          <w:szCs w:val="28"/>
          <w:u w:val="single"/>
        </w:rPr>
      </w:pPr>
      <w:r w:rsidRPr="00FA684F">
        <w:rPr>
          <w:rFonts w:ascii="Baskerville Old Face" w:hAnsi="Baskerville Old Face" w:cstheme="majorBidi"/>
          <w:b/>
          <w:bCs/>
          <w:sz w:val="28"/>
          <w:szCs w:val="28"/>
          <w:u w:val="single"/>
        </w:rPr>
        <w:t>Conclusion :</w:t>
      </w:r>
    </w:p>
    <w:p w14:paraId="186D1809" w14:textId="77777777" w:rsidR="008C740D" w:rsidRDefault="00FA684F" w:rsidP="008C740D">
      <w:pPr>
        <w:autoSpaceDE w:val="0"/>
        <w:autoSpaceDN w:val="0"/>
        <w:bidi w:val="0"/>
        <w:adjustRightInd w:val="0"/>
        <w:spacing w:after="0" w:line="360" w:lineRule="auto"/>
        <w:rPr>
          <w:rFonts w:ascii="Baskerville Old Face" w:hAnsi="Baskerville Old Face" w:cstheme="majorBidi"/>
          <w:sz w:val="24"/>
          <w:szCs w:val="24"/>
        </w:rPr>
      </w:pPr>
      <w:r w:rsidRPr="00FA684F">
        <w:rPr>
          <w:rFonts w:ascii="Baskerville Old Face" w:hAnsi="Baskerville Old Face" w:cstheme="majorBidi"/>
          <w:sz w:val="24"/>
          <w:szCs w:val="24"/>
        </w:rPr>
        <w:t>This experiment was conducted on 24 students at the Libyan International Medical University, half of whom were male and the other half were female, and found that there were bacteria with significant bacterial growth in two female samples and non-significant growth in 8 samples. of females. this indicates there is a significant difference in the growth of bacteriuria in females more than in males, and it means that there is a link between infection with asymptomatic bacteria and sex.</w:t>
      </w:r>
    </w:p>
    <w:p w14:paraId="2C3FCBA4" w14:textId="77777777" w:rsidR="00FA684F" w:rsidRDefault="00FA684F" w:rsidP="00FA684F">
      <w:pPr>
        <w:autoSpaceDE w:val="0"/>
        <w:autoSpaceDN w:val="0"/>
        <w:bidi w:val="0"/>
        <w:adjustRightInd w:val="0"/>
        <w:spacing w:after="0" w:line="360" w:lineRule="auto"/>
        <w:rPr>
          <w:rFonts w:ascii="Baskerville Old Face" w:hAnsi="Baskerville Old Face" w:cstheme="majorBidi"/>
          <w:sz w:val="24"/>
          <w:szCs w:val="24"/>
        </w:rPr>
      </w:pPr>
      <w:r w:rsidRPr="00FA684F">
        <w:rPr>
          <w:rFonts w:ascii="Baskerville Old Face" w:hAnsi="Baskerville Old Face" w:cstheme="majorBidi"/>
          <w:sz w:val="24"/>
          <w:szCs w:val="24"/>
        </w:rPr>
        <w:t>Most patients with asymptomatic bacteriuria will never develop symptomatic urinary tract infections and will have no adverse consequences from asymptomatic bacteriuria. Only patients with asymptomatic bacteriuria that will benefit from treatment should be treated, and most patients will not benefit from treatment. There are, however, a few exceptions. There is sufficient evidence that a pregnant woman with asymptomatic bacteriuria should be treated.</w:t>
      </w:r>
    </w:p>
    <w:p w14:paraId="2674192A" w14:textId="77777777" w:rsidR="007F2BD1" w:rsidRPr="00FA684F" w:rsidRDefault="007F2BD1" w:rsidP="008C740D">
      <w:pPr>
        <w:autoSpaceDE w:val="0"/>
        <w:autoSpaceDN w:val="0"/>
        <w:bidi w:val="0"/>
        <w:adjustRightInd w:val="0"/>
        <w:spacing w:after="0" w:line="360" w:lineRule="auto"/>
        <w:rPr>
          <w:rFonts w:ascii="Baskerville Old Face" w:hAnsi="Baskerville Old Face" w:cstheme="majorBidi"/>
          <w:b/>
          <w:bCs/>
          <w:sz w:val="28"/>
          <w:szCs w:val="28"/>
          <w:u w:val="single"/>
        </w:rPr>
      </w:pPr>
      <w:r w:rsidRPr="00FA684F">
        <w:rPr>
          <w:rFonts w:ascii="Baskerville Old Face" w:hAnsi="Baskerville Old Face" w:cstheme="majorBidi"/>
          <w:b/>
          <w:bCs/>
          <w:sz w:val="28"/>
          <w:szCs w:val="28"/>
          <w:u w:val="single"/>
        </w:rPr>
        <w:t xml:space="preserve">References : </w:t>
      </w:r>
    </w:p>
    <w:p w14:paraId="4EF617C7" w14:textId="77777777" w:rsidR="00504994" w:rsidRDefault="00504994" w:rsidP="008C740D">
      <w:pPr>
        <w:pStyle w:val="a8"/>
        <w:numPr>
          <w:ilvl w:val="0"/>
          <w:numId w:val="1"/>
        </w:numPr>
        <w:spacing w:line="360" w:lineRule="auto"/>
      </w:pPr>
      <w:r>
        <w:rPr>
          <w:rStyle w:val="selectable"/>
          <w:color w:val="000000"/>
        </w:rPr>
        <w:t>Givler D, Givler A. Asymptomatic Bacteriuria. Ncbi.nlm.nih.gov. https://www.ncbi.nlm.nih.gov/books/NBK441848/. Published 2022. Accessed June 10, 2022.</w:t>
      </w:r>
      <w:r>
        <w:t xml:space="preserve"> </w:t>
      </w:r>
    </w:p>
    <w:p w14:paraId="51FB1DFC" w14:textId="77777777" w:rsidR="00504994" w:rsidRDefault="009A5F03" w:rsidP="008C740D">
      <w:pPr>
        <w:pStyle w:val="a7"/>
        <w:numPr>
          <w:ilvl w:val="0"/>
          <w:numId w:val="1"/>
        </w:numPr>
        <w:autoSpaceDE w:val="0"/>
        <w:autoSpaceDN w:val="0"/>
        <w:bidi w:val="0"/>
        <w:adjustRightInd w:val="0"/>
        <w:spacing w:after="0" w:line="360" w:lineRule="auto"/>
        <w:rPr>
          <w:rFonts w:ascii="Baskerville Old Face" w:hAnsi="Baskerville Old Face" w:cstheme="majorBidi"/>
          <w:sz w:val="24"/>
          <w:szCs w:val="24"/>
        </w:rPr>
      </w:pPr>
      <w:r>
        <w:rPr>
          <w:rFonts w:ascii="Open Sans" w:hAnsi="Open Sans" w:cs="Open Sans"/>
          <w:color w:val="000000"/>
          <w:sz w:val="20"/>
          <w:szCs w:val="20"/>
          <w:shd w:val="clear" w:color="auto" w:fill="FFFFFF"/>
        </w:rPr>
        <w:t>7 Reasons Why Women Get More UTIs Than Men. Virginia Physicians for Women. https://vpfw.com/blog/7-reasons-why-women-get-more-utis-than-men/. Published 2022. Accessed June 11, 2022</w:t>
      </w:r>
    </w:p>
    <w:p w14:paraId="29BA2D95" w14:textId="77777777" w:rsidR="008C740D" w:rsidRDefault="008C740D" w:rsidP="008C740D">
      <w:pPr>
        <w:pStyle w:val="a7"/>
        <w:numPr>
          <w:ilvl w:val="0"/>
          <w:numId w:val="1"/>
        </w:numPr>
        <w:autoSpaceDE w:val="0"/>
        <w:autoSpaceDN w:val="0"/>
        <w:bidi w:val="0"/>
        <w:adjustRightInd w:val="0"/>
        <w:spacing w:after="0" w:line="360" w:lineRule="auto"/>
        <w:rPr>
          <w:rFonts w:ascii="Baskerville Old Face" w:hAnsi="Baskerville Old Face" w:cstheme="majorBidi"/>
          <w:sz w:val="24"/>
          <w:szCs w:val="24"/>
        </w:rPr>
      </w:pPr>
      <w:r>
        <w:t>Levinson, Warren. Review of medical microbiology and immunology. 13rd ed. The McGraw-Hill Companies, 2014.</w:t>
      </w:r>
    </w:p>
    <w:p w14:paraId="66736938" w14:textId="77777777" w:rsidR="008C740D" w:rsidRDefault="008C740D" w:rsidP="008C740D">
      <w:pPr>
        <w:pStyle w:val="a7"/>
        <w:numPr>
          <w:ilvl w:val="0"/>
          <w:numId w:val="1"/>
        </w:numPr>
        <w:autoSpaceDE w:val="0"/>
        <w:autoSpaceDN w:val="0"/>
        <w:bidi w:val="0"/>
        <w:adjustRightInd w:val="0"/>
        <w:spacing w:after="0" w:line="360" w:lineRule="auto"/>
        <w:rPr>
          <w:rFonts w:ascii="Baskerville Old Face" w:hAnsi="Baskerville Old Face" w:cstheme="majorBidi"/>
          <w:sz w:val="24"/>
          <w:szCs w:val="24"/>
        </w:rPr>
      </w:pPr>
      <w:r>
        <w:t>Bailey&amp;scotts, diagnostic microbiology,12th ed</w:t>
      </w:r>
    </w:p>
    <w:p w14:paraId="74987D1B" w14:textId="77777777" w:rsidR="008C740D" w:rsidRPr="00A73EA9" w:rsidRDefault="008C740D" w:rsidP="008C740D">
      <w:pPr>
        <w:pStyle w:val="a7"/>
        <w:numPr>
          <w:ilvl w:val="0"/>
          <w:numId w:val="1"/>
        </w:numPr>
        <w:bidi w:val="0"/>
        <w:spacing w:line="360" w:lineRule="auto"/>
        <w:rPr>
          <w:rStyle w:val="Hyperlink"/>
        </w:rPr>
      </w:pPr>
      <w:r w:rsidRPr="00043690">
        <w:rPr>
          <w:rFonts w:ascii="Open Sans" w:hAnsi="Open Sans" w:cs="Open Sans"/>
          <w:color w:val="000000"/>
          <w:sz w:val="20"/>
          <w:szCs w:val="20"/>
          <w:shd w:val="clear" w:color="auto" w:fill="FFFFFF"/>
        </w:rPr>
        <w:t xml:space="preserve">RD H, TM H. Urinary tract infection risk factors and gender [Internet]. PubMed. 2022 [cited 31 May 2022]. Available from: </w:t>
      </w:r>
      <w:hyperlink r:id="rId21" w:history="1">
        <w:r w:rsidRPr="00043690">
          <w:rPr>
            <w:rStyle w:val="Hyperlink"/>
            <w:rFonts w:ascii="Open Sans" w:hAnsi="Open Sans" w:cs="Open Sans"/>
            <w:sz w:val="20"/>
            <w:szCs w:val="20"/>
            <w:shd w:val="clear" w:color="auto" w:fill="FFFFFF"/>
          </w:rPr>
          <w:t>https://pubmed.ncbi.nlm.nih.gov/11253265/</w:t>
        </w:r>
      </w:hyperlink>
    </w:p>
    <w:p w14:paraId="19046701" w14:textId="77777777" w:rsidR="008C740D" w:rsidRPr="00504994" w:rsidRDefault="008C740D" w:rsidP="008C740D">
      <w:pPr>
        <w:pStyle w:val="a7"/>
        <w:autoSpaceDE w:val="0"/>
        <w:autoSpaceDN w:val="0"/>
        <w:bidi w:val="0"/>
        <w:adjustRightInd w:val="0"/>
        <w:spacing w:after="0" w:line="240" w:lineRule="auto"/>
        <w:rPr>
          <w:rFonts w:ascii="Baskerville Old Face" w:hAnsi="Baskerville Old Face" w:cstheme="majorBidi"/>
          <w:sz w:val="24"/>
          <w:szCs w:val="24"/>
        </w:rPr>
      </w:pPr>
    </w:p>
    <w:p w14:paraId="58F03DF2" w14:textId="77777777" w:rsidR="007F2BD1" w:rsidRPr="00753EF6" w:rsidRDefault="007F2BD1" w:rsidP="007F2BD1">
      <w:pPr>
        <w:autoSpaceDE w:val="0"/>
        <w:autoSpaceDN w:val="0"/>
        <w:bidi w:val="0"/>
        <w:adjustRightInd w:val="0"/>
        <w:spacing w:after="0" w:line="240" w:lineRule="auto"/>
        <w:rPr>
          <w:rFonts w:asciiTheme="majorBidi" w:hAnsiTheme="majorBidi" w:cstheme="majorBidi"/>
          <w:sz w:val="24"/>
          <w:szCs w:val="24"/>
        </w:rPr>
      </w:pPr>
    </w:p>
    <w:p w14:paraId="138549AE" w14:textId="77777777" w:rsidR="006C2CCC" w:rsidRPr="00753EF6" w:rsidRDefault="006C2CCC" w:rsidP="00753EF6">
      <w:pPr>
        <w:tabs>
          <w:tab w:val="left" w:pos="7016"/>
        </w:tabs>
        <w:bidi w:val="0"/>
        <w:rPr>
          <w:rFonts w:asciiTheme="majorBidi" w:hAnsiTheme="majorBidi" w:cstheme="majorBidi"/>
          <w:sz w:val="24"/>
          <w:szCs w:val="24"/>
          <w:rtl/>
        </w:rPr>
      </w:pPr>
    </w:p>
    <w:sectPr w:rsidR="006C2CCC" w:rsidRPr="00753EF6">
      <w:footerReference w:type="default" r:id="rId2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E9EF50" w14:textId="77777777" w:rsidR="00D849E6" w:rsidRDefault="00D849E6" w:rsidP="00F93603">
      <w:pPr>
        <w:spacing w:after="0" w:line="240" w:lineRule="auto"/>
      </w:pPr>
      <w:r>
        <w:separator/>
      </w:r>
    </w:p>
  </w:endnote>
  <w:endnote w:type="continuationSeparator" w:id="0">
    <w:p w14:paraId="20B53E2E" w14:textId="77777777" w:rsidR="00D849E6" w:rsidRDefault="00D849E6"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65A750" w14:textId="77777777" w:rsidR="00806EC3" w:rsidRDefault="00806EC3">
    <w: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0529719"/>
      <w:docPartObj>
        <w:docPartGallery w:val="Page Numbers (Bottom of Page)"/>
        <w:docPartUnique/>
      </w:docPartObj>
    </w:sdtPr>
    <w:sdtEndPr>
      <w:rPr>
        <w:noProof/>
      </w:rPr>
    </w:sdtEndPr>
    <w:sdtContent>
      <w:p w14:paraId="3890E9DA" w14:textId="6795D086" w:rsidR="00016AA4" w:rsidRDefault="00016AA4">
        <w:pPr>
          <w:pStyle w:val="a6"/>
          <w:jc w:val="center"/>
        </w:pPr>
        <w:r>
          <w:fldChar w:fldCharType="begin"/>
        </w:r>
        <w:r>
          <w:instrText xml:space="preserve"> PAGE   \* MERGEFORMAT </w:instrText>
        </w:r>
        <w:r>
          <w:fldChar w:fldCharType="separate"/>
        </w:r>
        <w:r>
          <w:rPr>
            <w:noProof/>
          </w:rPr>
          <w:t>2</w:t>
        </w:r>
        <w:r>
          <w:rPr>
            <w:noProof/>
          </w:rPr>
          <w:fldChar w:fldCharType="end"/>
        </w:r>
      </w:p>
    </w:sdtContent>
  </w:sdt>
  <w:p w14:paraId="7798652C" w14:textId="77777777" w:rsidR="00016AA4" w:rsidRDefault="00016AA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9BCD46" w14:textId="77777777" w:rsidR="00D849E6" w:rsidRDefault="00D849E6" w:rsidP="00F93603">
      <w:pPr>
        <w:spacing w:after="0" w:line="240" w:lineRule="auto"/>
      </w:pPr>
      <w:r>
        <w:separator/>
      </w:r>
    </w:p>
  </w:footnote>
  <w:footnote w:type="continuationSeparator" w:id="0">
    <w:p w14:paraId="751210CA" w14:textId="77777777" w:rsidR="00D849E6" w:rsidRDefault="00D849E6" w:rsidP="00F936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F21A26" w14:textId="77777777" w:rsidR="00806EC3" w:rsidRDefault="00806EC3">
    <w: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31BC"/>
    <w:multiLevelType w:val="hybridMultilevel"/>
    <w:tmpl w:val="0CD82C78"/>
    <w:lvl w:ilvl="0" w:tplc="14CAF4E2">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8E71D9F"/>
    <w:multiLevelType w:val="hybridMultilevel"/>
    <w:tmpl w:val="698A4892"/>
    <w:lvl w:ilvl="0" w:tplc="AFE220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6FC788D"/>
    <w:multiLevelType w:val="hybridMultilevel"/>
    <w:tmpl w:val="8B943EA8"/>
    <w:lvl w:ilvl="0" w:tplc="B4B864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AAD0842"/>
    <w:multiLevelType w:val="hybridMultilevel"/>
    <w:tmpl w:val="D4D2F6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5B"/>
    <w:rsid w:val="000051A5"/>
    <w:rsid w:val="00016AA4"/>
    <w:rsid w:val="00032D3F"/>
    <w:rsid w:val="0008033D"/>
    <w:rsid w:val="00090C94"/>
    <w:rsid w:val="000D0F2C"/>
    <w:rsid w:val="000D5B27"/>
    <w:rsid w:val="000E3258"/>
    <w:rsid w:val="00112279"/>
    <w:rsid w:val="00181E9A"/>
    <w:rsid w:val="001A21CF"/>
    <w:rsid w:val="001E59FD"/>
    <w:rsid w:val="00271B70"/>
    <w:rsid w:val="00280D73"/>
    <w:rsid w:val="002C6859"/>
    <w:rsid w:val="003200F1"/>
    <w:rsid w:val="0037334C"/>
    <w:rsid w:val="003B38E9"/>
    <w:rsid w:val="003C0B6D"/>
    <w:rsid w:val="00437BAF"/>
    <w:rsid w:val="004567AA"/>
    <w:rsid w:val="00501548"/>
    <w:rsid w:val="00501DB8"/>
    <w:rsid w:val="00504994"/>
    <w:rsid w:val="00537DD1"/>
    <w:rsid w:val="00540D7A"/>
    <w:rsid w:val="0062228F"/>
    <w:rsid w:val="006B3468"/>
    <w:rsid w:val="006C2CCC"/>
    <w:rsid w:val="006F0450"/>
    <w:rsid w:val="007031AC"/>
    <w:rsid w:val="00707E0D"/>
    <w:rsid w:val="00724367"/>
    <w:rsid w:val="007427C9"/>
    <w:rsid w:val="00753EF6"/>
    <w:rsid w:val="00790D23"/>
    <w:rsid w:val="007F2BD1"/>
    <w:rsid w:val="00806EC3"/>
    <w:rsid w:val="008C740D"/>
    <w:rsid w:val="00927A46"/>
    <w:rsid w:val="00956ED9"/>
    <w:rsid w:val="00985BBE"/>
    <w:rsid w:val="00996EED"/>
    <w:rsid w:val="009A5F03"/>
    <w:rsid w:val="009C566D"/>
    <w:rsid w:val="009E1401"/>
    <w:rsid w:val="009E3A23"/>
    <w:rsid w:val="00AE3302"/>
    <w:rsid w:val="00B54C16"/>
    <w:rsid w:val="00C75C5B"/>
    <w:rsid w:val="00C77D34"/>
    <w:rsid w:val="00C900FF"/>
    <w:rsid w:val="00D31B07"/>
    <w:rsid w:val="00D364F4"/>
    <w:rsid w:val="00D849E6"/>
    <w:rsid w:val="00E263DA"/>
    <w:rsid w:val="00E83FE9"/>
    <w:rsid w:val="00E93044"/>
    <w:rsid w:val="00F05B76"/>
    <w:rsid w:val="00F93603"/>
    <w:rsid w:val="00F940F4"/>
    <w:rsid w:val="00FA684F"/>
    <w:rsid w:val="00FF63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DB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List Paragraph"/>
    <w:basedOn w:val="a"/>
    <w:uiPriority w:val="34"/>
    <w:qFormat/>
    <w:rsid w:val="00504994"/>
    <w:pPr>
      <w:ind w:left="720"/>
      <w:contextualSpacing/>
    </w:pPr>
  </w:style>
  <w:style w:type="paragraph" w:styleId="a8">
    <w:name w:val="Normal (Web)"/>
    <w:basedOn w:val="a"/>
    <w:uiPriority w:val="99"/>
    <w:semiHidden/>
    <w:unhideWhenUsed/>
    <w:rsid w:val="0050499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lectable">
    <w:name w:val="selectable"/>
    <w:basedOn w:val="a0"/>
    <w:rsid w:val="00504994"/>
  </w:style>
  <w:style w:type="character" w:styleId="Hyperlink">
    <w:name w:val="Hyperlink"/>
    <w:basedOn w:val="a0"/>
    <w:uiPriority w:val="99"/>
    <w:semiHidden/>
    <w:unhideWhenUsed/>
    <w:rsid w:val="0050499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List Paragraph"/>
    <w:basedOn w:val="a"/>
    <w:uiPriority w:val="34"/>
    <w:qFormat/>
    <w:rsid w:val="00504994"/>
    <w:pPr>
      <w:ind w:left="720"/>
      <w:contextualSpacing/>
    </w:pPr>
  </w:style>
  <w:style w:type="paragraph" w:styleId="a8">
    <w:name w:val="Normal (Web)"/>
    <w:basedOn w:val="a"/>
    <w:uiPriority w:val="99"/>
    <w:semiHidden/>
    <w:unhideWhenUsed/>
    <w:rsid w:val="0050499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lectable">
    <w:name w:val="selectable"/>
    <w:basedOn w:val="a0"/>
    <w:rsid w:val="00504994"/>
  </w:style>
  <w:style w:type="character" w:styleId="Hyperlink">
    <w:name w:val="Hyperlink"/>
    <w:basedOn w:val="a0"/>
    <w:uiPriority w:val="99"/>
    <w:semiHidden/>
    <w:unhideWhenUsed/>
    <w:rsid w:val="005049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908374">
      <w:bodyDiv w:val="1"/>
      <w:marLeft w:val="0"/>
      <w:marRight w:val="0"/>
      <w:marTop w:val="0"/>
      <w:marBottom w:val="0"/>
      <w:divBdr>
        <w:top w:val="none" w:sz="0" w:space="0" w:color="auto"/>
        <w:left w:val="none" w:sz="0" w:space="0" w:color="auto"/>
        <w:bottom w:val="none" w:sz="0" w:space="0" w:color="auto"/>
        <w:right w:val="none" w:sz="0" w:space="0" w:color="auto"/>
      </w:divBdr>
    </w:div>
    <w:div w:id="263612667">
      <w:bodyDiv w:val="1"/>
      <w:marLeft w:val="0"/>
      <w:marRight w:val="0"/>
      <w:marTop w:val="0"/>
      <w:marBottom w:val="0"/>
      <w:divBdr>
        <w:top w:val="none" w:sz="0" w:space="0" w:color="auto"/>
        <w:left w:val="none" w:sz="0" w:space="0" w:color="auto"/>
        <w:bottom w:val="none" w:sz="0" w:space="0" w:color="auto"/>
        <w:right w:val="none" w:sz="0" w:space="0" w:color="auto"/>
      </w:divBdr>
    </w:div>
    <w:div w:id="502820425">
      <w:bodyDiv w:val="1"/>
      <w:marLeft w:val="0"/>
      <w:marRight w:val="0"/>
      <w:marTop w:val="0"/>
      <w:marBottom w:val="0"/>
      <w:divBdr>
        <w:top w:val="none" w:sz="0" w:space="0" w:color="auto"/>
        <w:left w:val="none" w:sz="0" w:space="0" w:color="auto"/>
        <w:bottom w:val="none" w:sz="0" w:space="0" w:color="auto"/>
        <w:right w:val="none" w:sz="0" w:space="0" w:color="auto"/>
      </w:divBdr>
    </w:div>
    <w:div w:id="503937178">
      <w:bodyDiv w:val="1"/>
      <w:marLeft w:val="0"/>
      <w:marRight w:val="0"/>
      <w:marTop w:val="0"/>
      <w:marBottom w:val="0"/>
      <w:divBdr>
        <w:top w:val="none" w:sz="0" w:space="0" w:color="auto"/>
        <w:left w:val="none" w:sz="0" w:space="0" w:color="auto"/>
        <w:bottom w:val="none" w:sz="0" w:space="0" w:color="auto"/>
        <w:right w:val="none" w:sz="0" w:space="0" w:color="auto"/>
      </w:divBdr>
    </w:div>
    <w:div w:id="513570533">
      <w:bodyDiv w:val="1"/>
      <w:marLeft w:val="0"/>
      <w:marRight w:val="0"/>
      <w:marTop w:val="0"/>
      <w:marBottom w:val="0"/>
      <w:divBdr>
        <w:top w:val="none" w:sz="0" w:space="0" w:color="auto"/>
        <w:left w:val="none" w:sz="0" w:space="0" w:color="auto"/>
        <w:bottom w:val="none" w:sz="0" w:space="0" w:color="auto"/>
        <w:right w:val="none" w:sz="0" w:space="0" w:color="auto"/>
      </w:divBdr>
    </w:div>
    <w:div w:id="514928964">
      <w:bodyDiv w:val="1"/>
      <w:marLeft w:val="0"/>
      <w:marRight w:val="0"/>
      <w:marTop w:val="0"/>
      <w:marBottom w:val="0"/>
      <w:divBdr>
        <w:top w:val="none" w:sz="0" w:space="0" w:color="auto"/>
        <w:left w:val="none" w:sz="0" w:space="0" w:color="auto"/>
        <w:bottom w:val="none" w:sz="0" w:space="0" w:color="auto"/>
        <w:right w:val="none" w:sz="0" w:space="0" w:color="auto"/>
      </w:divBdr>
    </w:div>
    <w:div w:id="696078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https://pubmed.ncbi.nlm.nih.gov/11253265/"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8CC64-3EE7-4380-97FA-3FF9E33F9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1494</Words>
  <Characters>8517</Characters>
  <Application>Microsoft Office Word</Application>
  <DocSecurity>0</DocSecurity>
  <Lines>70</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Maher</cp:lastModifiedBy>
  <cp:revision>2</cp:revision>
  <cp:lastPrinted>2019-02-24T10:35:00Z</cp:lastPrinted>
  <dcterms:created xsi:type="dcterms:W3CDTF">2022-06-19T21:56:00Z</dcterms:created>
  <dcterms:modified xsi:type="dcterms:W3CDTF">2022-06-19T21:56:00Z</dcterms:modified>
</cp:coreProperties>
</file>