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24C0" w:rsidRDefault="00CF24C0" w:rsidP="00CF24C0">
      <w:pPr>
        <w:bidi w:val="0"/>
        <w:rPr>
          <w:rFonts w:asciiTheme="majorBidi" w:hAnsiTheme="majorBidi" w:cstheme="majorBidi"/>
          <w:sz w:val="36"/>
          <w:szCs w:val="36"/>
          <w:lang w:val="en-GB" w:bidi="ar-LY"/>
        </w:rPr>
      </w:pPr>
      <w:r>
        <w:rPr>
          <w:rFonts w:asciiTheme="majorBidi" w:hAnsiTheme="majorBidi" w:cstheme="majorBidi"/>
          <w:noProof/>
          <w:sz w:val="36"/>
          <w:szCs w:val="36"/>
        </w:rPr>
        <w:drawing>
          <wp:anchor distT="0" distB="0" distL="114300" distR="114300" simplePos="0" relativeHeight="251658240" behindDoc="0" locked="0" layoutInCell="1" allowOverlap="1" wp14:anchorId="7E3B0A1A" wp14:editId="39FF7178">
            <wp:simplePos x="0" y="0"/>
            <wp:positionH relativeFrom="column">
              <wp:align>left</wp:align>
            </wp:positionH>
            <wp:positionV relativeFrom="paragraph">
              <wp:align>top</wp:align>
            </wp:positionV>
            <wp:extent cx="939165" cy="762000"/>
            <wp:effectExtent l="0" t="0" r="0" b="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39165" cy="762000"/>
                    </a:xfrm>
                    <a:prstGeom prst="rect">
                      <a:avLst/>
                    </a:prstGeom>
                    <a:noFill/>
                  </pic:spPr>
                </pic:pic>
              </a:graphicData>
            </a:graphic>
          </wp:anchor>
        </w:drawing>
      </w:r>
      <w:r>
        <w:rPr>
          <w:rFonts w:asciiTheme="majorBidi" w:hAnsiTheme="majorBidi" w:cstheme="majorBidi"/>
          <w:sz w:val="36"/>
          <w:szCs w:val="36"/>
          <w:lang w:val="en-GB" w:bidi="ar-LY"/>
        </w:rPr>
        <w:t xml:space="preserve">                                                   </w:t>
      </w:r>
      <w:r>
        <w:rPr>
          <w:rFonts w:asciiTheme="majorBidi" w:hAnsiTheme="majorBidi" w:cstheme="majorBidi"/>
          <w:noProof/>
          <w:sz w:val="36"/>
          <w:szCs w:val="36"/>
        </w:rPr>
        <w:drawing>
          <wp:inline distT="0" distB="0" distL="0" distR="0" wp14:anchorId="69FD65BA" wp14:editId="39347ECA">
            <wp:extent cx="1061085" cy="829310"/>
            <wp:effectExtent l="0" t="0" r="0" b="889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1085" cy="829310"/>
                    </a:xfrm>
                    <a:prstGeom prst="rect">
                      <a:avLst/>
                    </a:prstGeom>
                    <a:noFill/>
                  </pic:spPr>
                </pic:pic>
              </a:graphicData>
            </a:graphic>
          </wp:inline>
        </w:drawing>
      </w:r>
      <w:r>
        <w:rPr>
          <w:rFonts w:asciiTheme="majorBidi" w:hAnsiTheme="majorBidi" w:cstheme="majorBidi"/>
          <w:sz w:val="36"/>
          <w:szCs w:val="36"/>
          <w:lang w:val="en-GB" w:bidi="ar-LY"/>
        </w:rPr>
        <w:t xml:space="preserve">                </w:t>
      </w:r>
      <w:r>
        <w:rPr>
          <w:rFonts w:asciiTheme="majorBidi" w:hAnsiTheme="majorBidi" w:cstheme="majorBidi"/>
          <w:sz w:val="36"/>
          <w:szCs w:val="36"/>
          <w:lang w:val="en-GB" w:bidi="ar-LY"/>
        </w:rPr>
        <w:br w:type="textWrapping" w:clear="all"/>
      </w:r>
    </w:p>
    <w:p w:rsidR="00CF24C0" w:rsidRDefault="00CF24C0" w:rsidP="00CF24C0">
      <w:pPr>
        <w:bidi w:val="0"/>
        <w:jc w:val="center"/>
        <w:rPr>
          <w:rFonts w:asciiTheme="majorBidi" w:hAnsiTheme="majorBidi" w:cstheme="majorBidi"/>
          <w:sz w:val="36"/>
          <w:szCs w:val="36"/>
          <w:lang w:val="en-GB" w:bidi="ar-LY"/>
        </w:rPr>
      </w:pPr>
    </w:p>
    <w:p w:rsidR="00CF24C0" w:rsidRDefault="00CF24C0" w:rsidP="009974D6">
      <w:pPr>
        <w:bidi w:val="0"/>
        <w:spacing w:line="360" w:lineRule="auto"/>
        <w:jc w:val="center"/>
        <w:rPr>
          <w:rFonts w:asciiTheme="majorBidi" w:hAnsiTheme="majorBidi" w:cstheme="majorBidi"/>
          <w:sz w:val="36"/>
          <w:szCs w:val="36"/>
          <w:lang w:bidi="ar-LY"/>
        </w:rPr>
      </w:pPr>
      <w:r w:rsidRPr="00966938">
        <w:rPr>
          <w:rFonts w:asciiTheme="majorBidi" w:hAnsiTheme="majorBidi" w:cstheme="majorBidi"/>
          <w:sz w:val="36"/>
          <w:szCs w:val="36"/>
          <w:lang w:bidi="ar-LY"/>
        </w:rPr>
        <w:t>LIBYAN INTERNATIONAL MEDICAL UNIVERSITY APPLIED MEDICAL SCIENCES</w:t>
      </w:r>
      <w:r w:rsidR="009974D6">
        <w:rPr>
          <w:rFonts w:asciiTheme="majorBidi" w:hAnsiTheme="majorBidi" w:cstheme="majorBidi"/>
          <w:sz w:val="36"/>
          <w:szCs w:val="36"/>
          <w:lang w:bidi="ar-LY"/>
        </w:rPr>
        <w:t xml:space="preserve"> </w:t>
      </w:r>
      <w:r w:rsidRPr="00261FDB">
        <w:rPr>
          <w:rFonts w:asciiTheme="majorBidi" w:hAnsiTheme="majorBidi" w:cstheme="majorBidi"/>
          <w:sz w:val="36"/>
          <w:szCs w:val="36"/>
          <w:lang w:bidi="ar-LY"/>
        </w:rPr>
        <w:t>FACULTY OF APPLIED MEDICAL SCLIENCES</w:t>
      </w:r>
    </w:p>
    <w:p w:rsidR="00CF24C0" w:rsidRPr="009974D6" w:rsidRDefault="00CF24C0" w:rsidP="00CF24C0">
      <w:pPr>
        <w:bidi w:val="0"/>
        <w:jc w:val="center"/>
        <w:rPr>
          <w:rFonts w:asciiTheme="majorBidi" w:hAnsiTheme="majorBidi" w:cstheme="majorBidi"/>
          <w:b/>
          <w:bCs/>
          <w:sz w:val="32"/>
          <w:szCs w:val="32"/>
          <w:lang w:bidi="ar-LY"/>
        </w:rPr>
      </w:pPr>
      <w:r w:rsidRPr="009974D6">
        <w:rPr>
          <w:rFonts w:asciiTheme="majorBidi" w:hAnsiTheme="majorBidi" w:cstheme="majorBidi"/>
          <w:b/>
          <w:bCs/>
          <w:sz w:val="32"/>
          <w:szCs w:val="32"/>
          <w:lang w:bidi="ar-LY"/>
        </w:rPr>
        <w:t>Difference Between Adult Male and Female in Urine Output After Lasix Consumption</w:t>
      </w:r>
    </w:p>
    <w:p w:rsidR="009974D6" w:rsidRPr="009974D6" w:rsidRDefault="009974D6" w:rsidP="009974D6">
      <w:pPr>
        <w:bidi w:val="0"/>
        <w:jc w:val="center"/>
        <w:rPr>
          <w:rFonts w:asciiTheme="majorBidi" w:hAnsiTheme="majorBidi" w:cstheme="majorBidi"/>
          <w:b/>
          <w:bCs/>
          <w:sz w:val="32"/>
          <w:szCs w:val="32"/>
          <w:lang w:bidi="ar-LY"/>
        </w:rPr>
      </w:pPr>
      <w:r w:rsidRPr="009974D6">
        <w:rPr>
          <w:rFonts w:asciiTheme="majorBidi" w:hAnsiTheme="majorBidi" w:cstheme="majorBidi"/>
          <w:b/>
          <w:bCs/>
          <w:sz w:val="32"/>
          <w:szCs w:val="32"/>
          <w:lang w:bidi="ar-LY"/>
        </w:rPr>
        <w:t>Supervisor:Dr.Basma</w:t>
      </w:r>
    </w:p>
    <w:p w:rsidR="00CF24C0" w:rsidRDefault="00CF24C0" w:rsidP="00CF24C0">
      <w:pPr>
        <w:bidi w:val="0"/>
        <w:jc w:val="center"/>
        <w:rPr>
          <w:rFonts w:asciiTheme="majorBidi" w:hAnsiTheme="majorBidi" w:cstheme="majorBidi"/>
          <w:sz w:val="36"/>
          <w:szCs w:val="36"/>
          <w:lang w:val="en-GB" w:bidi="ar-LY"/>
        </w:rPr>
      </w:pPr>
      <w:r>
        <w:rPr>
          <w:rFonts w:asciiTheme="majorBidi" w:hAnsiTheme="majorBidi" w:cstheme="majorBidi"/>
          <w:sz w:val="36"/>
          <w:szCs w:val="36"/>
          <w:lang w:bidi="ar-LY"/>
        </w:rPr>
        <w:t>S</w:t>
      </w:r>
      <w:r>
        <w:rPr>
          <w:rFonts w:asciiTheme="majorBidi" w:hAnsiTheme="majorBidi" w:cstheme="majorBidi"/>
          <w:sz w:val="36"/>
          <w:szCs w:val="36"/>
          <w:lang w:val="en-GB" w:bidi="ar-LY"/>
        </w:rPr>
        <w:t>tudent name:Ghassan fakheraldeen</w:t>
      </w:r>
    </w:p>
    <w:p w:rsidR="00CF24C0" w:rsidRDefault="00CF24C0" w:rsidP="00CF24C0">
      <w:pPr>
        <w:bidi w:val="0"/>
        <w:jc w:val="center"/>
        <w:rPr>
          <w:rFonts w:asciiTheme="majorBidi" w:hAnsiTheme="majorBidi" w:cstheme="majorBidi"/>
          <w:sz w:val="36"/>
          <w:szCs w:val="36"/>
          <w:lang w:val="en-GB" w:bidi="ar-LY"/>
        </w:rPr>
      </w:pPr>
      <w:r>
        <w:rPr>
          <w:rFonts w:asciiTheme="majorBidi" w:hAnsiTheme="majorBidi" w:cstheme="majorBidi"/>
          <w:sz w:val="36"/>
          <w:szCs w:val="36"/>
          <w:lang w:val="en-GB" w:bidi="ar-LY"/>
        </w:rPr>
        <w:t>Roll numb:2352</w:t>
      </w:r>
    </w:p>
    <w:p w:rsidR="00CF24C0" w:rsidRDefault="00CF24C0" w:rsidP="00CF24C0">
      <w:pPr>
        <w:bidi w:val="0"/>
        <w:jc w:val="center"/>
        <w:rPr>
          <w:rFonts w:asciiTheme="majorBidi" w:hAnsiTheme="majorBidi" w:cstheme="majorBidi"/>
          <w:sz w:val="36"/>
          <w:szCs w:val="36"/>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Pr="009974D6" w:rsidRDefault="009974D6" w:rsidP="009974D6">
      <w:pPr>
        <w:bidi w:val="0"/>
        <w:spacing w:line="360" w:lineRule="auto"/>
        <w:rPr>
          <w:rFonts w:asciiTheme="majorBidi" w:hAnsiTheme="majorBidi" w:cstheme="majorBidi"/>
          <w:b/>
          <w:bCs/>
          <w:sz w:val="28"/>
          <w:szCs w:val="28"/>
          <w:lang w:val="en-GB" w:bidi="ar-LY"/>
        </w:rPr>
      </w:pPr>
      <w:r w:rsidRPr="009974D6">
        <w:rPr>
          <w:rFonts w:asciiTheme="majorBidi" w:hAnsiTheme="majorBidi" w:cstheme="majorBidi"/>
          <w:b/>
          <w:bCs/>
          <w:sz w:val="28"/>
          <w:szCs w:val="28"/>
          <w:lang w:val="en-GB" w:bidi="ar-LY"/>
        </w:rPr>
        <w:lastRenderedPageBreak/>
        <w:t>ABSTRACT</w:t>
      </w:r>
    </w:p>
    <w:p w:rsidR="009974D6" w:rsidRPr="009974D6" w:rsidRDefault="009974D6" w:rsidP="009974D6">
      <w:pPr>
        <w:bidi w:val="0"/>
        <w:spacing w:line="360" w:lineRule="auto"/>
        <w:rPr>
          <w:rFonts w:asciiTheme="majorBidi" w:hAnsiTheme="majorBidi" w:cstheme="majorBidi"/>
          <w:sz w:val="24"/>
          <w:szCs w:val="24"/>
          <w:lang w:val="en-GB" w:bidi="ar-LY"/>
        </w:rPr>
      </w:pPr>
      <w:r w:rsidRPr="009974D6">
        <w:rPr>
          <w:rFonts w:asciiTheme="majorBidi" w:hAnsiTheme="majorBidi" w:cstheme="majorBidi"/>
          <w:sz w:val="24"/>
          <w:szCs w:val="24"/>
          <w:lang w:val="en-GB" w:bidi="ar-LY"/>
        </w:rPr>
        <w:t>Urine output is frequently employed as a measure of acute kidney damage, but it may also be used to guide fluid resuscitation. The purpose of this study is to determine the difference in urine production between adult males and females after taking Lasix. Each volunteer got a single dose intravenous infusion of furosemide in a dosage of 40 mg during lab stay, and a time of not less than 6 hours of urinary monitoring after treatment to determine and record the volume of urine output every hour. These statistics show the volume of urine produced after receiving furosemide and whether or not gender has a role in this study.</w:t>
      </w:r>
    </w:p>
    <w:p w:rsidR="00CF24C0" w:rsidRDefault="00CF24C0" w:rsidP="009974D6">
      <w:pPr>
        <w:bidi w:val="0"/>
        <w:spacing w:line="360" w:lineRule="auto"/>
        <w:jc w:val="center"/>
        <w:rPr>
          <w:rFonts w:asciiTheme="majorBidi" w:hAnsiTheme="majorBidi" w:cstheme="majorBidi"/>
          <w:sz w:val="36"/>
          <w:szCs w:val="36"/>
          <w:lang w:val="en-GB" w:bidi="ar-LY"/>
        </w:rPr>
      </w:pPr>
    </w:p>
    <w:p w:rsidR="00CF24C0" w:rsidRDefault="00CF24C0" w:rsidP="009974D6">
      <w:pPr>
        <w:bidi w:val="0"/>
        <w:spacing w:line="360" w:lineRule="auto"/>
        <w:jc w:val="center"/>
        <w:rPr>
          <w:rFonts w:asciiTheme="majorBidi" w:hAnsiTheme="majorBidi" w:cstheme="majorBidi"/>
          <w:sz w:val="36"/>
          <w:szCs w:val="36"/>
          <w:lang w:val="en-GB" w:bidi="ar-LY"/>
        </w:rPr>
      </w:pPr>
    </w:p>
    <w:p w:rsidR="009974D6" w:rsidRDefault="009974D6" w:rsidP="009974D6">
      <w:pPr>
        <w:bidi w:val="0"/>
        <w:spacing w:line="360" w:lineRule="auto"/>
        <w:rPr>
          <w:rFonts w:asciiTheme="majorBidi" w:hAnsiTheme="majorBidi" w:cstheme="majorBidi"/>
          <w:sz w:val="36"/>
          <w:szCs w:val="36"/>
          <w:lang w:val="en-GB" w:bidi="ar-LY"/>
        </w:rPr>
      </w:pPr>
    </w:p>
    <w:p w:rsidR="009974D6" w:rsidRDefault="009974D6" w:rsidP="009974D6">
      <w:pPr>
        <w:bidi w:val="0"/>
        <w:spacing w:line="360" w:lineRule="auto"/>
        <w:rPr>
          <w:rFonts w:asciiTheme="majorBidi" w:hAnsiTheme="majorBidi" w:cstheme="majorBidi"/>
          <w:sz w:val="36"/>
          <w:szCs w:val="36"/>
          <w:lang w:val="en-GB" w:bidi="ar-LY"/>
        </w:rPr>
      </w:pPr>
    </w:p>
    <w:p w:rsidR="009974D6" w:rsidRDefault="009974D6" w:rsidP="009974D6">
      <w:pPr>
        <w:bidi w:val="0"/>
        <w:spacing w:line="360" w:lineRule="auto"/>
        <w:rPr>
          <w:rFonts w:asciiTheme="majorBidi" w:hAnsiTheme="majorBidi" w:cstheme="majorBidi"/>
          <w:sz w:val="36"/>
          <w:szCs w:val="36"/>
          <w:lang w:val="en-GB" w:bidi="ar-LY"/>
        </w:rPr>
      </w:pPr>
    </w:p>
    <w:p w:rsidR="009974D6" w:rsidRDefault="009974D6" w:rsidP="009974D6">
      <w:pPr>
        <w:bidi w:val="0"/>
        <w:spacing w:line="360" w:lineRule="auto"/>
        <w:rPr>
          <w:rFonts w:asciiTheme="majorBidi" w:hAnsiTheme="majorBidi" w:cstheme="majorBidi"/>
          <w:sz w:val="36"/>
          <w:szCs w:val="36"/>
          <w:lang w:val="en-GB" w:bidi="ar-LY"/>
        </w:rPr>
      </w:pPr>
    </w:p>
    <w:p w:rsidR="009974D6" w:rsidRDefault="009974D6" w:rsidP="009974D6">
      <w:pPr>
        <w:bidi w:val="0"/>
        <w:spacing w:line="360" w:lineRule="auto"/>
        <w:rPr>
          <w:rFonts w:asciiTheme="majorBidi" w:hAnsiTheme="majorBidi" w:cstheme="majorBidi"/>
          <w:sz w:val="36"/>
          <w:szCs w:val="36"/>
          <w:lang w:val="en-GB" w:bidi="ar-LY"/>
        </w:rPr>
      </w:pPr>
    </w:p>
    <w:p w:rsidR="009974D6" w:rsidRDefault="009974D6" w:rsidP="009974D6">
      <w:pPr>
        <w:bidi w:val="0"/>
        <w:spacing w:line="360" w:lineRule="auto"/>
        <w:rPr>
          <w:rFonts w:asciiTheme="majorBidi" w:hAnsiTheme="majorBidi" w:cstheme="majorBidi"/>
          <w:sz w:val="36"/>
          <w:szCs w:val="36"/>
          <w:lang w:val="en-GB" w:bidi="ar-LY"/>
        </w:rPr>
      </w:pPr>
    </w:p>
    <w:p w:rsidR="009974D6" w:rsidRDefault="009974D6" w:rsidP="009974D6">
      <w:pPr>
        <w:bidi w:val="0"/>
        <w:spacing w:line="360" w:lineRule="auto"/>
        <w:rPr>
          <w:rFonts w:asciiTheme="majorBidi" w:hAnsiTheme="majorBidi" w:cstheme="majorBidi"/>
          <w:sz w:val="36"/>
          <w:szCs w:val="36"/>
          <w:lang w:val="en-GB" w:bidi="ar-LY"/>
        </w:rPr>
      </w:pPr>
    </w:p>
    <w:p w:rsidR="009974D6" w:rsidRDefault="009974D6" w:rsidP="009974D6">
      <w:pPr>
        <w:bidi w:val="0"/>
        <w:spacing w:line="360" w:lineRule="auto"/>
        <w:rPr>
          <w:rFonts w:asciiTheme="majorBidi" w:hAnsiTheme="majorBidi" w:cstheme="majorBidi"/>
          <w:sz w:val="36"/>
          <w:szCs w:val="36"/>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9974D6" w:rsidRDefault="009974D6" w:rsidP="009974D6">
      <w:pPr>
        <w:bidi w:val="0"/>
        <w:spacing w:line="360" w:lineRule="auto"/>
        <w:rPr>
          <w:rFonts w:asciiTheme="majorBidi" w:hAnsiTheme="majorBidi" w:cstheme="majorBidi"/>
          <w:b/>
          <w:bCs/>
          <w:sz w:val="28"/>
          <w:szCs w:val="28"/>
          <w:lang w:val="en-GB" w:bidi="ar-LY"/>
        </w:rPr>
      </w:pPr>
    </w:p>
    <w:p w:rsidR="00CF24C0" w:rsidRPr="009974D6" w:rsidRDefault="00CF24C0" w:rsidP="009974D6">
      <w:pPr>
        <w:bidi w:val="0"/>
        <w:spacing w:line="360" w:lineRule="auto"/>
        <w:rPr>
          <w:rFonts w:asciiTheme="majorBidi" w:hAnsiTheme="majorBidi" w:cstheme="majorBidi"/>
          <w:b/>
          <w:bCs/>
          <w:sz w:val="36"/>
          <w:szCs w:val="36"/>
          <w:lang w:val="en-GB" w:bidi="ar-LY"/>
        </w:rPr>
      </w:pPr>
      <w:r w:rsidRPr="009974D6">
        <w:rPr>
          <w:rFonts w:asciiTheme="majorBidi" w:hAnsiTheme="majorBidi" w:cstheme="majorBidi"/>
          <w:b/>
          <w:bCs/>
          <w:sz w:val="28"/>
          <w:szCs w:val="28"/>
          <w:lang w:val="en-GB" w:bidi="ar-LY"/>
        </w:rPr>
        <w:t>INTRODUCTION</w:t>
      </w:r>
      <w:r w:rsidRPr="009974D6">
        <w:rPr>
          <w:rFonts w:asciiTheme="majorBidi" w:hAnsiTheme="majorBidi" w:cstheme="majorBidi"/>
          <w:b/>
          <w:bCs/>
          <w:sz w:val="36"/>
          <w:szCs w:val="36"/>
          <w:lang w:val="en-GB" w:bidi="ar-LY"/>
        </w:rPr>
        <w:t>:</w:t>
      </w:r>
    </w:p>
    <w:p w:rsidR="009974D6" w:rsidRPr="009974D6" w:rsidRDefault="009974D6" w:rsidP="009974D6">
      <w:pPr>
        <w:bidi w:val="0"/>
        <w:spacing w:line="360" w:lineRule="auto"/>
        <w:rPr>
          <w:rFonts w:asciiTheme="majorBidi" w:hAnsiTheme="majorBidi"/>
          <w:sz w:val="24"/>
          <w:szCs w:val="24"/>
          <w:vertAlign w:val="superscript"/>
          <w:lang w:bidi="ar-LY"/>
        </w:rPr>
      </w:pPr>
      <w:r w:rsidRPr="009974D6">
        <w:rPr>
          <w:rFonts w:asciiTheme="majorBidi" w:hAnsiTheme="majorBidi" w:cstheme="majorBidi"/>
          <w:sz w:val="24"/>
          <w:szCs w:val="24"/>
          <w:lang w:bidi="ar-LY"/>
        </w:rPr>
        <w:t>Urine output often is used </w:t>
      </w:r>
      <w:r w:rsidRPr="009974D6">
        <w:rPr>
          <w:rFonts w:asciiTheme="majorBidi" w:hAnsiTheme="majorBidi" w:cstheme="majorBidi"/>
          <w:b/>
          <w:bCs/>
          <w:sz w:val="24"/>
          <w:szCs w:val="24"/>
          <w:lang w:bidi="ar-LY"/>
        </w:rPr>
        <w:t>as a marker of acute kidney injury but also to guide fluid resuscitation</w:t>
      </w:r>
      <w:r w:rsidRPr="009974D6">
        <w:rPr>
          <w:rFonts w:asciiTheme="majorBidi" w:hAnsiTheme="majorBidi" w:cstheme="majorBidi"/>
          <w:sz w:val="24"/>
          <w:szCs w:val="24"/>
          <w:lang w:bidi="ar-LY"/>
        </w:rPr>
        <w:t>.</w:t>
      </w:r>
      <w:r>
        <w:rPr>
          <w:rFonts w:asciiTheme="majorBidi" w:hAnsiTheme="majorBidi" w:cstheme="majorBidi"/>
          <w:sz w:val="24"/>
          <w:szCs w:val="24"/>
          <w:vertAlign w:val="superscript"/>
          <w:lang w:bidi="ar-LY"/>
        </w:rPr>
        <w:t>1</w:t>
      </w:r>
      <w:r w:rsidRPr="009974D6">
        <w:rPr>
          <w:rFonts w:asciiTheme="majorBidi" w:eastAsia="Times New Roman" w:hAnsiTheme="majorBidi"/>
          <w:b/>
          <w:bCs/>
          <w:color w:val="000000" w:themeColor="text1"/>
          <w:kern w:val="36"/>
          <w:sz w:val="24"/>
          <w:szCs w:val="24"/>
        </w:rPr>
        <w:t xml:space="preserve"> </w:t>
      </w:r>
      <w:r w:rsidRPr="009974D6">
        <w:rPr>
          <w:rFonts w:asciiTheme="majorBidi" w:hAnsiTheme="majorBidi"/>
          <w:sz w:val="24"/>
          <w:szCs w:val="24"/>
          <w:lang w:bidi="ar-LY"/>
        </w:rPr>
        <w:t>The normal UO is 800 to 2500 mL per day. When there is rapid reduction in UO, it can be the earliest indication of reduced kidney function.</w:t>
      </w:r>
    </w:p>
    <w:p w:rsidR="009974D6" w:rsidRPr="009974D6" w:rsidRDefault="009974D6" w:rsidP="009974D6">
      <w:pPr>
        <w:bidi w:val="0"/>
        <w:spacing w:line="360" w:lineRule="auto"/>
        <w:rPr>
          <w:rFonts w:asciiTheme="majorBidi" w:hAnsiTheme="majorBidi" w:cstheme="majorBidi"/>
          <w:sz w:val="24"/>
          <w:szCs w:val="24"/>
          <w:vertAlign w:val="superscript"/>
          <w:lang w:bidi="ar-LY"/>
        </w:rPr>
      </w:pPr>
      <w:r w:rsidRPr="009974D6">
        <w:rPr>
          <w:rFonts w:asciiTheme="majorBidi" w:hAnsiTheme="majorBidi" w:cstheme="majorBidi"/>
          <w:sz w:val="24"/>
          <w:szCs w:val="24"/>
          <w:lang w:bidi="ar-LY"/>
        </w:rPr>
        <w:t>Furosemide is a Loop diuretics inhibit Na+ (and hence water) resorption from the ascending limb of the loop of Henlé in the renal tubule. They also increase urinary excretion of K+ , Mg2+, H+ and CI– . Loop diuretics, of which furosemide is the most commonly prescribed, are used to treat fluid overload in CHF and ESRD in order to improve symptoms of breathlessness and edema</w:t>
      </w:r>
      <w:r>
        <w:rPr>
          <w:rFonts w:asciiTheme="majorBidi" w:hAnsiTheme="majorBidi" w:cstheme="majorBidi"/>
          <w:sz w:val="24"/>
          <w:szCs w:val="24"/>
          <w:lang w:bidi="ar-LY"/>
        </w:rPr>
        <w:t>.</w:t>
      </w:r>
      <w:r>
        <w:rPr>
          <w:rFonts w:asciiTheme="majorBidi" w:hAnsiTheme="majorBidi" w:cstheme="majorBidi"/>
          <w:sz w:val="24"/>
          <w:szCs w:val="24"/>
          <w:vertAlign w:val="superscript"/>
          <w:lang w:bidi="ar-LY"/>
        </w:rPr>
        <w:t>3</w:t>
      </w:r>
    </w:p>
    <w:p w:rsidR="009974D6" w:rsidRPr="009974D6" w:rsidRDefault="009974D6" w:rsidP="009974D6">
      <w:pPr>
        <w:bidi w:val="0"/>
        <w:spacing w:line="360" w:lineRule="auto"/>
        <w:rPr>
          <w:rFonts w:asciiTheme="majorBidi" w:hAnsiTheme="majorBidi" w:cstheme="majorBidi"/>
          <w:sz w:val="24"/>
          <w:szCs w:val="24"/>
          <w:vertAlign w:val="superscript"/>
          <w:lang w:bidi="ar-LY"/>
        </w:rPr>
      </w:pPr>
      <w:r w:rsidRPr="009974D6">
        <w:rPr>
          <w:rFonts w:asciiTheme="majorBidi" w:hAnsiTheme="majorBidi" w:cstheme="majorBidi"/>
          <w:sz w:val="24"/>
          <w:szCs w:val="24"/>
          <w:lang w:bidi="ar-LY"/>
        </w:rPr>
        <w:t>In another research, 6 male and 6 female healthy volunteers received intravenous furosemide. After fasting overnight for four days, each individual received single doses of the various diuretics or no therapy at all. There was no statistically significant difference in urine flow rate, salt or potassium excretion rates between the treatments between male and female subjects. When the natriuretic response was corrected for the mg/kg of intravenous furosemide given, male participants had a higher peak sodium excretion rate than female individuals. The data reveal that the natriuretic response to diuretics varies by gender.</w:t>
      </w:r>
      <w:r>
        <w:rPr>
          <w:rFonts w:asciiTheme="majorBidi" w:hAnsiTheme="majorBidi" w:cstheme="majorBidi"/>
          <w:sz w:val="24"/>
          <w:szCs w:val="24"/>
          <w:vertAlign w:val="superscript"/>
          <w:lang w:bidi="ar-LY"/>
        </w:rPr>
        <w:t>2</w:t>
      </w:r>
    </w:p>
    <w:p w:rsidR="009974D6" w:rsidRPr="009974D6" w:rsidRDefault="009974D6" w:rsidP="009974D6">
      <w:pPr>
        <w:bidi w:val="0"/>
        <w:spacing w:line="360" w:lineRule="auto"/>
        <w:rPr>
          <w:rFonts w:asciiTheme="majorBidi" w:hAnsiTheme="majorBidi" w:cstheme="majorBidi"/>
          <w:b/>
          <w:bCs/>
          <w:sz w:val="28"/>
          <w:szCs w:val="28"/>
          <w:lang w:bidi="ar-LY"/>
        </w:rPr>
      </w:pPr>
      <w:r w:rsidRPr="009974D6">
        <w:rPr>
          <w:rFonts w:asciiTheme="majorBidi" w:hAnsiTheme="majorBidi" w:cstheme="majorBidi"/>
          <w:b/>
          <w:bCs/>
          <w:sz w:val="28"/>
          <w:szCs w:val="28"/>
          <w:lang w:bidi="ar-LY"/>
        </w:rPr>
        <w:lastRenderedPageBreak/>
        <w:t>AIM</w:t>
      </w:r>
    </w:p>
    <w:p w:rsidR="009974D6" w:rsidRPr="009974D6" w:rsidRDefault="009974D6" w:rsidP="009974D6">
      <w:pPr>
        <w:bidi w:val="0"/>
        <w:spacing w:line="360" w:lineRule="auto"/>
        <w:rPr>
          <w:rFonts w:asciiTheme="majorBidi" w:hAnsiTheme="majorBidi" w:cstheme="majorBidi"/>
          <w:sz w:val="24"/>
          <w:szCs w:val="24"/>
          <w:lang w:bidi="ar-LY"/>
        </w:rPr>
      </w:pPr>
      <w:r w:rsidRPr="009974D6">
        <w:rPr>
          <w:rFonts w:asciiTheme="majorBidi" w:hAnsiTheme="majorBidi" w:cstheme="majorBidi"/>
          <w:sz w:val="24"/>
          <w:szCs w:val="24"/>
          <w:lang w:bidi="ar-LY"/>
        </w:rPr>
        <w:t>The aim of this study is to find out  the difference between adult male and female in urine output after Lasix consumption.</w:t>
      </w:r>
    </w:p>
    <w:p w:rsidR="009974D6" w:rsidRPr="009974D6" w:rsidRDefault="009974D6" w:rsidP="009974D6">
      <w:pPr>
        <w:bidi w:val="0"/>
        <w:spacing w:line="360" w:lineRule="auto"/>
        <w:rPr>
          <w:rFonts w:asciiTheme="majorBidi" w:hAnsiTheme="majorBidi" w:cstheme="majorBidi"/>
          <w:b/>
          <w:bCs/>
          <w:sz w:val="28"/>
          <w:szCs w:val="28"/>
          <w:lang w:bidi="ar-LY"/>
        </w:rPr>
      </w:pPr>
      <w:r w:rsidRPr="009974D6">
        <w:rPr>
          <w:rFonts w:asciiTheme="majorBidi" w:hAnsiTheme="majorBidi" w:cstheme="majorBidi"/>
          <w:b/>
          <w:bCs/>
          <w:sz w:val="28"/>
          <w:szCs w:val="28"/>
          <w:lang w:bidi="ar-LY"/>
        </w:rPr>
        <w:t xml:space="preserve">MATERIALS AND METHODS </w:t>
      </w:r>
    </w:p>
    <w:p w:rsidR="009974D6" w:rsidRPr="009974D6" w:rsidRDefault="009974D6" w:rsidP="009974D6">
      <w:pPr>
        <w:bidi w:val="0"/>
        <w:spacing w:line="360" w:lineRule="auto"/>
        <w:rPr>
          <w:rFonts w:asciiTheme="majorBidi" w:hAnsiTheme="majorBidi" w:cstheme="majorBidi"/>
          <w:sz w:val="24"/>
          <w:szCs w:val="24"/>
          <w:lang w:bidi="ar-LY"/>
        </w:rPr>
      </w:pPr>
      <w:r w:rsidRPr="009974D6">
        <w:rPr>
          <w:rFonts w:asciiTheme="majorBidi" w:hAnsiTheme="majorBidi" w:cstheme="majorBidi"/>
          <w:sz w:val="24"/>
          <w:szCs w:val="24"/>
          <w:lang w:bidi="ar-LY"/>
        </w:rPr>
        <w:t>The volunteers are 12 , then each one received a single dose intravenous administration of furosemide in a dosage of 40 mg</w:t>
      </w:r>
      <w:r>
        <w:rPr>
          <w:rFonts w:asciiTheme="majorBidi" w:hAnsiTheme="majorBidi" w:cstheme="majorBidi"/>
          <w:sz w:val="24"/>
          <w:szCs w:val="24"/>
          <w:lang w:bidi="ar-LY"/>
        </w:rPr>
        <w:t xml:space="preserve"> during lab stay</w:t>
      </w:r>
      <w:r w:rsidRPr="009974D6">
        <w:rPr>
          <w:rFonts w:asciiTheme="majorBidi" w:hAnsiTheme="majorBidi" w:cstheme="majorBidi"/>
          <w:sz w:val="24"/>
          <w:szCs w:val="24"/>
          <w:lang w:bidi="ar-LY"/>
        </w:rPr>
        <w:t>,</w:t>
      </w:r>
      <w:r>
        <w:rPr>
          <w:rFonts w:asciiTheme="majorBidi" w:hAnsiTheme="majorBidi" w:cstheme="majorBidi"/>
          <w:sz w:val="24"/>
          <w:szCs w:val="24"/>
          <w:vertAlign w:val="superscript"/>
          <w:lang w:bidi="ar-LY"/>
        </w:rPr>
        <w:t>2</w:t>
      </w:r>
      <w:r w:rsidRPr="009974D6">
        <w:rPr>
          <w:rFonts w:asciiTheme="majorBidi" w:hAnsiTheme="majorBidi" w:cstheme="majorBidi"/>
          <w:b/>
          <w:bCs/>
          <w:sz w:val="24"/>
          <w:szCs w:val="24"/>
          <w:lang w:bidi="ar-LY"/>
        </w:rPr>
        <w:t xml:space="preserve"> </w:t>
      </w:r>
      <w:r w:rsidRPr="009974D6">
        <w:rPr>
          <w:rFonts w:asciiTheme="majorBidi" w:hAnsiTheme="majorBidi" w:cstheme="majorBidi"/>
          <w:sz w:val="24"/>
          <w:szCs w:val="24"/>
          <w:lang w:bidi="ar-LY"/>
        </w:rPr>
        <w:t>and a period of not less than 6 hours of urinary observation after administration to find out the amount of urine output every hour and record it.</w:t>
      </w:r>
    </w:p>
    <w:p w:rsidR="009974D6" w:rsidRPr="009974D6" w:rsidRDefault="009974D6" w:rsidP="009974D6">
      <w:pPr>
        <w:bidi w:val="0"/>
        <w:spacing w:line="360" w:lineRule="auto"/>
        <w:rPr>
          <w:rFonts w:asciiTheme="majorBidi" w:hAnsiTheme="majorBidi" w:cstheme="majorBidi"/>
          <w:sz w:val="24"/>
          <w:szCs w:val="24"/>
          <w:vertAlign w:val="superscript"/>
          <w:lang w:bidi="ar-LY"/>
        </w:rPr>
      </w:pPr>
      <w:r w:rsidRPr="009974D6">
        <w:rPr>
          <w:rFonts w:asciiTheme="majorBidi" w:hAnsiTheme="majorBidi" w:cstheme="majorBidi"/>
          <w:sz w:val="24"/>
          <w:szCs w:val="24"/>
          <w:lang w:bidi="ar-LY"/>
        </w:rPr>
        <w:t xml:space="preserve">After 6 hours were completed and all the readings of the volunteers were collected for each hour separately in addition to their weights, the urine output was compared between the two groups, males and females, using the T-test, which was conducted using the Statistical Package for Social Sciences (SPSS) </w:t>
      </w:r>
      <w:r w:rsidRPr="009974D6">
        <w:rPr>
          <w:rFonts w:asciiTheme="majorBidi" w:hAnsiTheme="majorBidi" w:cstheme="majorBidi"/>
          <w:b/>
          <w:bCs/>
          <w:sz w:val="24"/>
          <w:szCs w:val="24"/>
          <w:lang w:bidi="ar-LY"/>
        </w:rPr>
        <w:t xml:space="preserve">, </w:t>
      </w:r>
      <w:r w:rsidRPr="009974D6">
        <w:rPr>
          <w:rFonts w:asciiTheme="majorBidi" w:hAnsiTheme="majorBidi" w:cstheme="majorBidi"/>
          <w:sz w:val="24"/>
          <w:szCs w:val="24"/>
          <w:lang w:bidi="ar-LY"/>
        </w:rPr>
        <w:t>the difference was declared significant.</w:t>
      </w:r>
      <w:r>
        <w:rPr>
          <w:rFonts w:asciiTheme="majorBidi" w:hAnsiTheme="majorBidi" w:cstheme="majorBidi"/>
          <w:sz w:val="24"/>
          <w:szCs w:val="24"/>
          <w:vertAlign w:val="superscript"/>
          <w:lang w:bidi="ar-LY"/>
        </w:rPr>
        <w:t>3</w:t>
      </w:r>
    </w:p>
    <w:p w:rsidR="009974D6" w:rsidRPr="009974D6" w:rsidRDefault="009974D6" w:rsidP="009974D6">
      <w:pPr>
        <w:bidi w:val="0"/>
        <w:spacing w:line="360" w:lineRule="auto"/>
        <w:rPr>
          <w:rFonts w:asciiTheme="majorBidi" w:hAnsiTheme="majorBidi" w:cstheme="majorBidi"/>
          <w:b/>
          <w:bCs/>
          <w:sz w:val="28"/>
          <w:szCs w:val="28"/>
          <w:lang w:bidi="ar-LY"/>
        </w:rPr>
      </w:pPr>
      <w:r w:rsidRPr="009974D6">
        <w:rPr>
          <w:rFonts w:asciiTheme="majorBidi" w:hAnsiTheme="majorBidi" w:cstheme="majorBidi"/>
          <w:b/>
          <w:bCs/>
          <w:sz w:val="28"/>
          <w:szCs w:val="28"/>
          <w:lang w:bidi="ar-LY"/>
        </w:rPr>
        <w:t xml:space="preserve">RESULT </w:t>
      </w:r>
    </w:p>
    <w:p w:rsidR="009974D6" w:rsidRDefault="009974D6" w:rsidP="009974D6">
      <w:pPr>
        <w:bidi w:val="0"/>
        <w:spacing w:line="360" w:lineRule="auto"/>
        <w:rPr>
          <w:rFonts w:asciiTheme="majorBidi" w:hAnsiTheme="majorBidi" w:cstheme="majorBidi"/>
          <w:sz w:val="36"/>
          <w:szCs w:val="36"/>
          <w:lang w:bidi="ar-LY"/>
        </w:rPr>
      </w:pPr>
    </w:p>
    <w:tbl>
      <w:tblPr>
        <w:tblpPr w:leftFromText="180" w:rightFromText="180" w:vertAnchor="text" w:horzAnchor="margin" w:tblpXSpec="center" w:tblpY="-62"/>
        <w:tblW w:w="102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1560"/>
        <w:gridCol w:w="1276"/>
        <w:gridCol w:w="567"/>
        <w:gridCol w:w="708"/>
        <w:gridCol w:w="567"/>
        <w:gridCol w:w="709"/>
        <w:gridCol w:w="992"/>
        <w:gridCol w:w="993"/>
        <w:gridCol w:w="1134"/>
        <w:gridCol w:w="992"/>
      </w:tblGrid>
      <w:tr w:rsidR="009974D6" w:rsidRPr="009974D6" w:rsidTr="009974D6">
        <w:trPr>
          <w:cantSplit/>
        </w:trPr>
        <w:tc>
          <w:tcPr>
            <w:tcW w:w="10207" w:type="dxa"/>
            <w:gridSpan w:val="11"/>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rPr>
            </w:pPr>
            <w:r w:rsidRPr="009974D6">
              <w:rPr>
                <w:rFonts w:asciiTheme="majorBidi" w:hAnsiTheme="majorBidi" w:cstheme="majorBidi"/>
                <w:b/>
                <w:bCs/>
                <w:color w:val="000000" w:themeColor="text1"/>
              </w:rPr>
              <w:t>Independent Samples Test</w:t>
            </w:r>
          </w:p>
        </w:tc>
      </w:tr>
      <w:tr w:rsidR="009974D6" w:rsidRPr="009974D6" w:rsidTr="009974D6">
        <w:trPr>
          <w:cantSplit/>
        </w:trPr>
        <w:tc>
          <w:tcPr>
            <w:tcW w:w="2269" w:type="dxa"/>
            <w:gridSpan w:val="2"/>
            <w:vMerge w:val="restart"/>
            <w:tcBorders>
              <w:top w:val="single" w:sz="4" w:space="0" w:color="auto"/>
              <w:left w:val="single" w:sz="4" w:space="0" w:color="auto"/>
              <w:bottom w:val="nil"/>
              <w:right w:val="single" w:sz="4" w:space="0" w:color="auto"/>
            </w:tcBorders>
            <w:shd w:val="clear" w:color="auto" w:fill="FFFFFF"/>
            <w:vAlign w:val="bottom"/>
          </w:tcPr>
          <w:p w:rsidR="009974D6" w:rsidRPr="009974D6" w:rsidRDefault="009974D6" w:rsidP="009974D6">
            <w:pPr>
              <w:autoSpaceDE w:val="0"/>
              <w:autoSpaceDN w:val="0"/>
              <w:bidi w:val="0"/>
              <w:adjustRightInd w:val="0"/>
              <w:spacing w:after="0" w:line="360" w:lineRule="auto"/>
              <w:rPr>
                <w:rFonts w:ascii="Times New Roman" w:hAnsi="Times New Roman" w:cs="Times New Roman"/>
                <w:color w:val="000000" w:themeColor="text1"/>
                <w:sz w:val="24"/>
                <w:szCs w:val="24"/>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Levene's Test for Equality of Variances</w:t>
            </w:r>
          </w:p>
        </w:tc>
        <w:tc>
          <w:tcPr>
            <w:tcW w:w="6095" w:type="dxa"/>
            <w:gridSpan w:val="7"/>
            <w:tcBorders>
              <w:top w:val="single" w:sz="4" w:space="0" w:color="auto"/>
              <w:left w:val="single" w:sz="4" w:space="0" w:color="auto"/>
              <w:bottom w:val="single" w:sz="4" w:space="0" w:color="auto"/>
              <w:right w:val="single" w:sz="4" w:space="0" w:color="auto"/>
            </w:tcBorders>
            <w:shd w:val="clear" w:color="auto" w:fill="FFFFFF"/>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t-test for Equality of Means</w:t>
            </w:r>
          </w:p>
        </w:tc>
      </w:tr>
      <w:tr w:rsidR="009974D6" w:rsidRPr="009974D6" w:rsidTr="009974D6">
        <w:trPr>
          <w:cantSplit/>
        </w:trPr>
        <w:tc>
          <w:tcPr>
            <w:tcW w:w="2269" w:type="dxa"/>
            <w:gridSpan w:val="2"/>
            <w:vMerge/>
            <w:tcBorders>
              <w:top w:val="nil"/>
              <w:left w:val="single" w:sz="4" w:space="0" w:color="auto"/>
              <w:bottom w:val="nil"/>
              <w:right w:val="single" w:sz="4" w:space="0" w:color="auto"/>
            </w:tcBorders>
            <w:shd w:val="clear" w:color="auto" w:fill="FFFFFF"/>
            <w:vAlign w:val="bottom"/>
          </w:tcPr>
          <w:p w:rsidR="009974D6" w:rsidRPr="009974D6" w:rsidRDefault="009974D6" w:rsidP="009974D6">
            <w:pPr>
              <w:autoSpaceDE w:val="0"/>
              <w:autoSpaceDN w:val="0"/>
              <w:bidi w:val="0"/>
              <w:adjustRightInd w:val="0"/>
              <w:spacing w:after="0" w:line="360" w:lineRule="auto"/>
              <w:rPr>
                <w:rFonts w:ascii="Arial" w:hAnsi="Arial" w:cs="Arial"/>
                <w:color w:val="000000" w:themeColor="text1"/>
                <w:sz w:val="18"/>
                <w:szCs w:val="18"/>
              </w:rPr>
            </w:pPr>
          </w:p>
        </w:tc>
        <w:tc>
          <w:tcPr>
            <w:tcW w:w="1276"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F</w:t>
            </w:r>
          </w:p>
        </w:tc>
        <w:tc>
          <w:tcPr>
            <w:tcW w:w="567"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Sig.</w:t>
            </w:r>
          </w:p>
        </w:tc>
        <w:tc>
          <w:tcPr>
            <w:tcW w:w="708"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t</w:t>
            </w:r>
          </w:p>
        </w:tc>
        <w:tc>
          <w:tcPr>
            <w:tcW w:w="567"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df</w:t>
            </w:r>
          </w:p>
        </w:tc>
        <w:tc>
          <w:tcPr>
            <w:tcW w:w="709"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Sig. (2-tailed)</w:t>
            </w:r>
          </w:p>
        </w:tc>
        <w:tc>
          <w:tcPr>
            <w:tcW w:w="992"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Mean Difference</w:t>
            </w:r>
          </w:p>
        </w:tc>
        <w:tc>
          <w:tcPr>
            <w:tcW w:w="993"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Std. Error Difference</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95% Confidence Interval of the Difference</w:t>
            </w:r>
          </w:p>
        </w:tc>
      </w:tr>
      <w:tr w:rsidR="009974D6" w:rsidRPr="009974D6" w:rsidTr="009974D6">
        <w:trPr>
          <w:cantSplit/>
        </w:trPr>
        <w:tc>
          <w:tcPr>
            <w:tcW w:w="2269" w:type="dxa"/>
            <w:gridSpan w:val="2"/>
            <w:vMerge/>
            <w:tcBorders>
              <w:top w:val="nil"/>
              <w:left w:val="single" w:sz="4" w:space="0" w:color="auto"/>
              <w:bottom w:val="single" w:sz="4" w:space="0" w:color="auto"/>
              <w:right w:val="single" w:sz="4" w:space="0" w:color="auto"/>
            </w:tcBorders>
            <w:shd w:val="clear" w:color="auto" w:fill="FFFFFF"/>
            <w:vAlign w:val="bottom"/>
          </w:tcPr>
          <w:p w:rsidR="009974D6" w:rsidRPr="009974D6" w:rsidRDefault="009974D6" w:rsidP="009974D6">
            <w:pPr>
              <w:autoSpaceDE w:val="0"/>
              <w:autoSpaceDN w:val="0"/>
              <w:bidi w:val="0"/>
              <w:adjustRightInd w:val="0"/>
              <w:spacing w:after="0" w:line="360" w:lineRule="auto"/>
              <w:rPr>
                <w:rFonts w:ascii="Arial" w:hAnsi="Arial" w:cs="Arial"/>
                <w:color w:val="000000" w:themeColor="text1"/>
                <w:sz w:val="18"/>
                <w:szCs w:val="18"/>
              </w:rPr>
            </w:pPr>
          </w:p>
        </w:tc>
        <w:tc>
          <w:tcPr>
            <w:tcW w:w="1276" w:type="dxa"/>
            <w:vMerge/>
            <w:tcBorders>
              <w:top w:val="nil"/>
              <w:left w:val="single" w:sz="4" w:space="0" w:color="auto"/>
              <w:bottom w:val="single" w:sz="4" w:space="0" w:color="auto"/>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rPr>
                <w:rFonts w:asciiTheme="majorBidi" w:hAnsiTheme="majorBidi" w:cstheme="majorBidi"/>
                <w:b/>
                <w:bCs/>
                <w:color w:val="000000" w:themeColor="text1"/>
                <w:sz w:val="18"/>
                <w:szCs w:val="18"/>
              </w:rPr>
            </w:pPr>
          </w:p>
        </w:tc>
        <w:tc>
          <w:tcPr>
            <w:tcW w:w="567" w:type="dxa"/>
            <w:vMerge/>
            <w:tcBorders>
              <w:top w:val="nil"/>
              <w:left w:val="single" w:sz="4" w:space="0" w:color="auto"/>
              <w:bottom w:val="single" w:sz="4" w:space="0" w:color="auto"/>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rPr>
                <w:rFonts w:asciiTheme="majorBidi" w:hAnsiTheme="majorBidi" w:cstheme="majorBidi"/>
                <w:b/>
                <w:bCs/>
                <w:color w:val="000000" w:themeColor="text1"/>
                <w:sz w:val="18"/>
                <w:szCs w:val="18"/>
              </w:rPr>
            </w:pPr>
          </w:p>
        </w:tc>
        <w:tc>
          <w:tcPr>
            <w:tcW w:w="708" w:type="dxa"/>
            <w:vMerge/>
            <w:tcBorders>
              <w:top w:val="nil"/>
              <w:left w:val="single" w:sz="4" w:space="0" w:color="auto"/>
              <w:bottom w:val="single" w:sz="4" w:space="0" w:color="auto"/>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rPr>
                <w:rFonts w:asciiTheme="majorBidi" w:hAnsiTheme="majorBidi" w:cstheme="majorBidi"/>
                <w:b/>
                <w:bCs/>
                <w:color w:val="000000" w:themeColor="text1"/>
                <w:sz w:val="18"/>
                <w:szCs w:val="18"/>
              </w:rPr>
            </w:pPr>
          </w:p>
        </w:tc>
        <w:tc>
          <w:tcPr>
            <w:tcW w:w="567" w:type="dxa"/>
            <w:vMerge/>
            <w:tcBorders>
              <w:top w:val="nil"/>
              <w:left w:val="single" w:sz="4" w:space="0" w:color="auto"/>
              <w:bottom w:val="single" w:sz="4" w:space="0" w:color="auto"/>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rPr>
                <w:rFonts w:asciiTheme="majorBidi" w:hAnsiTheme="majorBidi" w:cstheme="majorBidi"/>
                <w:b/>
                <w:bCs/>
                <w:color w:val="000000" w:themeColor="text1"/>
                <w:sz w:val="18"/>
                <w:szCs w:val="18"/>
              </w:rPr>
            </w:pPr>
          </w:p>
        </w:tc>
        <w:tc>
          <w:tcPr>
            <w:tcW w:w="709" w:type="dxa"/>
            <w:vMerge/>
            <w:tcBorders>
              <w:top w:val="nil"/>
              <w:left w:val="single" w:sz="4" w:space="0" w:color="auto"/>
              <w:bottom w:val="nil"/>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rPr>
                <w:rFonts w:asciiTheme="majorBidi" w:hAnsiTheme="majorBidi" w:cstheme="majorBidi"/>
                <w:b/>
                <w:bCs/>
                <w:color w:val="000000" w:themeColor="text1"/>
                <w:sz w:val="18"/>
                <w:szCs w:val="18"/>
              </w:rPr>
            </w:pPr>
          </w:p>
        </w:tc>
        <w:tc>
          <w:tcPr>
            <w:tcW w:w="992" w:type="dxa"/>
            <w:vMerge/>
            <w:tcBorders>
              <w:top w:val="nil"/>
              <w:left w:val="single" w:sz="4" w:space="0" w:color="auto"/>
              <w:bottom w:val="nil"/>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rPr>
                <w:rFonts w:asciiTheme="majorBidi" w:hAnsiTheme="majorBidi" w:cstheme="majorBidi"/>
                <w:b/>
                <w:bCs/>
                <w:color w:val="000000" w:themeColor="text1"/>
                <w:sz w:val="18"/>
                <w:szCs w:val="18"/>
              </w:rPr>
            </w:pPr>
          </w:p>
        </w:tc>
        <w:tc>
          <w:tcPr>
            <w:tcW w:w="993" w:type="dxa"/>
            <w:vMerge/>
            <w:tcBorders>
              <w:top w:val="nil"/>
              <w:left w:val="single" w:sz="4" w:space="0" w:color="auto"/>
              <w:bottom w:val="nil"/>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rPr>
                <w:rFonts w:asciiTheme="majorBidi" w:hAnsiTheme="majorBidi" w:cstheme="majorBidi"/>
                <w:b/>
                <w:bCs/>
                <w:color w:val="000000" w:themeColor="text1"/>
                <w:sz w:val="18"/>
                <w:szCs w:val="18"/>
              </w:rPr>
            </w:pPr>
          </w:p>
        </w:tc>
        <w:tc>
          <w:tcPr>
            <w:tcW w:w="1134"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Lower</w:t>
            </w:r>
          </w:p>
        </w:tc>
        <w:tc>
          <w:tcPr>
            <w:tcW w:w="992"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Upper</w:t>
            </w:r>
          </w:p>
        </w:tc>
      </w:tr>
      <w:tr w:rsidR="009974D6" w:rsidRPr="009974D6" w:rsidTr="009974D6">
        <w:trPr>
          <w:cantSplit/>
        </w:trPr>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974D6" w:rsidRPr="009974D6" w:rsidRDefault="009974D6" w:rsidP="009974D6">
            <w:pPr>
              <w:autoSpaceDE w:val="0"/>
              <w:autoSpaceDN w:val="0"/>
              <w:bidi w:val="0"/>
              <w:adjustRightInd w:val="0"/>
              <w:spacing w:after="0" w:line="360" w:lineRule="auto"/>
              <w:ind w:left="60" w:right="60"/>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UO6hr</w:t>
            </w:r>
          </w:p>
        </w:tc>
        <w:tc>
          <w:tcPr>
            <w:tcW w:w="156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974D6" w:rsidRPr="009974D6" w:rsidRDefault="009974D6" w:rsidP="009974D6">
            <w:pPr>
              <w:autoSpaceDE w:val="0"/>
              <w:autoSpaceDN w:val="0"/>
              <w:bidi w:val="0"/>
              <w:adjustRightInd w:val="0"/>
              <w:spacing w:after="0" w:line="360" w:lineRule="auto"/>
              <w:ind w:left="60" w:right="60"/>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Equal variances assumed</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.208</w:t>
            </w: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.658</w:t>
            </w:r>
          </w:p>
        </w:tc>
        <w:tc>
          <w:tcPr>
            <w:tcW w:w="708" w:type="dxa"/>
            <w:tcBorders>
              <w:top w:val="single" w:sz="4" w:space="0" w:color="auto"/>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-1.593-</w:t>
            </w: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10</w:t>
            </w:r>
          </w:p>
        </w:tc>
        <w:tc>
          <w:tcPr>
            <w:tcW w:w="709" w:type="dxa"/>
            <w:tcBorders>
              <w:top w:val="single" w:sz="8" w:space="0" w:color="152935"/>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.142</w:t>
            </w:r>
          </w:p>
        </w:tc>
        <w:tc>
          <w:tcPr>
            <w:tcW w:w="992" w:type="dxa"/>
            <w:tcBorders>
              <w:top w:val="single" w:sz="8" w:space="0" w:color="152935"/>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-100.80000-</w:t>
            </w:r>
          </w:p>
        </w:tc>
        <w:tc>
          <w:tcPr>
            <w:tcW w:w="993" w:type="dxa"/>
            <w:tcBorders>
              <w:top w:val="single" w:sz="8" w:space="0" w:color="152935"/>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63.26174</w:t>
            </w:r>
          </w:p>
        </w:tc>
        <w:tc>
          <w:tcPr>
            <w:tcW w:w="1134" w:type="dxa"/>
            <w:tcBorders>
              <w:top w:val="single" w:sz="8" w:space="0" w:color="152935"/>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-241.75595-</w:t>
            </w:r>
          </w:p>
        </w:tc>
        <w:tc>
          <w:tcPr>
            <w:tcW w:w="992" w:type="dxa"/>
            <w:tcBorders>
              <w:top w:val="single" w:sz="8" w:space="0" w:color="152935"/>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40.15595</w:t>
            </w:r>
          </w:p>
        </w:tc>
      </w:tr>
      <w:tr w:rsidR="009974D6" w:rsidRPr="009974D6" w:rsidTr="009974D6">
        <w:trPr>
          <w:cantSplit/>
        </w:trPr>
        <w:tc>
          <w:tcPr>
            <w:tcW w:w="709" w:type="dxa"/>
            <w:tcBorders>
              <w:top w:val="single" w:sz="4" w:space="0" w:color="auto"/>
              <w:left w:val="single" w:sz="4" w:space="0" w:color="auto"/>
              <w:bottom w:val="single" w:sz="8" w:space="0" w:color="152935"/>
              <w:right w:val="single" w:sz="4" w:space="0" w:color="auto"/>
            </w:tcBorders>
            <w:shd w:val="clear" w:color="auto" w:fill="A6A6A6" w:themeFill="background1" w:themeFillShade="A6"/>
          </w:tcPr>
          <w:p w:rsidR="009974D6" w:rsidRPr="009974D6" w:rsidRDefault="009974D6" w:rsidP="009974D6">
            <w:pPr>
              <w:autoSpaceDE w:val="0"/>
              <w:autoSpaceDN w:val="0"/>
              <w:bidi w:val="0"/>
              <w:adjustRightInd w:val="0"/>
              <w:spacing w:after="0" w:line="360" w:lineRule="auto"/>
              <w:ind w:left="60" w:right="60"/>
              <w:rPr>
                <w:rFonts w:asciiTheme="majorBidi" w:hAnsiTheme="majorBidi" w:cstheme="majorBidi"/>
                <w:b/>
                <w:bCs/>
                <w:color w:val="000000" w:themeColor="text1"/>
                <w:sz w:val="18"/>
                <w:szCs w:val="18"/>
              </w:rPr>
            </w:pPr>
            <w:bookmarkStart w:id="0" w:name="_GoBack"/>
            <w:bookmarkEnd w:id="0"/>
          </w:p>
        </w:tc>
        <w:tc>
          <w:tcPr>
            <w:tcW w:w="1560" w:type="dxa"/>
            <w:tcBorders>
              <w:top w:val="single" w:sz="8" w:space="0" w:color="AEAEAE"/>
              <w:left w:val="single" w:sz="4" w:space="0" w:color="auto"/>
              <w:bottom w:val="single" w:sz="8" w:space="0" w:color="152935"/>
              <w:right w:val="single" w:sz="4" w:space="0" w:color="auto"/>
            </w:tcBorders>
            <w:shd w:val="clear" w:color="auto" w:fill="A6A6A6" w:themeFill="background1" w:themeFillShade="A6"/>
          </w:tcPr>
          <w:p w:rsidR="009974D6" w:rsidRPr="009974D6" w:rsidRDefault="009974D6" w:rsidP="009974D6">
            <w:pPr>
              <w:autoSpaceDE w:val="0"/>
              <w:autoSpaceDN w:val="0"/>
              <w:bidi w:val="0"/>
              <w:adjustRightInd w:val="0"/>
              <w:spacing w:after="0" w:line="360" w:lineRule="auto"/>
              <w:ind w:left="60" w:right="60"/>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Equal variances not assumed</w:t>
            </w:r>
          </w:p>
        </w:tc>
        <w:tc>
          <w:tcPr>
            <w:tcW w:w="1276" w:type="dxa"/>
            <w:tcBorders>
              <w:top w:val="single" w:sz="4" w:space="0" w:color="auto"/>
              <w:left w:val="single" w:sz="4" w:space="0" w:color="auto"/>
              <w:bottom w:val="single" w:sz="8" w:space="0" w:color="152935"/>
              <w:right w:val="single" w:sz="4" w:space="0" w:color="auto"/>
            </w:tcBorders>
            <w:shd w:val="clear" w:color="auto" w:fill="FFFFFF"/>
            <w:vAlign w:val="center"/>
          </w:tcPr>
          <w:p w:rsidR="009974D6" w:rsidRPr="009974D6" w:rsidRDefault="009974D6" w:rsidP="009974D6">
            <w:pPr>
              <w:autoSpaceDE w:val="0"/>
              <w:autoSpaceDN w:val="0"/>
              <w:bidi w:val="0"/>
              <w:adjustRightInd w:val="0"/>
              <w:spacing w:after="0" w:line="360" w:lineRule="auto"/>
              <w:jc w:val="center"/>
              <w:rPr>
                <w:rFonts w:asciiTheme="majorBidi" w:hAnsiTheme="majorBidi" w:cstheme="majorBidi"/>
                <w:b/>
                <w:bCs/>
                <w:color w:val="000000" w:themeColor="text1"/>
                <w:sz w:val="24"/>
                <w:szCs w:val="24"/>
              </w:rPr>
            </w:pPr>
          </w:p>
        </w:tc>
        <w:tc>
          <w:tcPr>
            <w:tcW w:w="567" w:type="dxa"/>
            <w:tcBorders>
              <w:top w:val="single" w:sz="4" w:space="0" w:color="auto"/>
              <w:left w:val="single" w:sz="4" w:space="0" w:color="auto"/>
              <w:bottom w:val="single" w:sz="8" w:space="0" w:color="152935"/>
              <w:right w:val="single" w:sz="4" w:space="0" w:color="auto"/>
            </w:tcBorders>
            <w:shd w:val="clear" w:color="auto" w:fill="FFFFFF"/>
            <w:vAlign w:val="center"/>
          </w:tcPr>
          <w:p w:rsidR="009974D6" w:rsidRPr="009974D6" w:rsidRDefault="009974D6" w:rsidP="009974D6">
            <w:pPr>
              <w:autoSpaceDE w:val="0"/>
              <w:autoSpaceDN w:val="0"/>
              <w:bidi w:val="0"/>
              <w:adjustRightInd w:val="0"/>
              <w:spacing w:after="0" w:line="360" w:lineRule="auto"/>
              <w:jc w:val="center"/>
              <w:rPr>
                <w:rFonts w:asciiTheme="majorBidi" w:hAnsiTheme="majorBidi" w:cstheme="majorBidi"/>
                <w:b/>
                <w:bCs/>
                <w:color w:val="000000" w:themeColor="text1"/>
                <w:sz w:val="24"/>
                <w:szCs w:val="24"/>
              </w:rPr>
            </w:pPr>
          </w:p>
        </w:tc>
        <w:tc>
          <w:tcPr>
            <w:tcW w:w="708" w:type="dxa"/>
            <w:tcBorders>
              <w:top w:val="single" w:sz="4" w:space="0" w:color="auto"/>
              <w:left w:val="single" w:sz="4" w:space="0" w:color="auto"/>
              <w:bottom w:val="single" w:sz="8" w:space="0" w:color="152935"/>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-1.593-</w:t>
            </w:r>
          </w:p>
        </w:tc>
        <w:tc>
          <w:tcPr>
            <w:tcW w:w="567" w:type="dxa"/>
            <w:tcBorders>
              <w:top w:val="single" w:sz="4" w:space="0" w:color="auto"/>
              <w:left w:val="single" w:sz="4" w:space="0" w:color="auto"/>
              <w:bottom w:val="single" w:sz="8" w:space="0" w:color="152935"/>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9.932</w:t>
            </w:r>
          </w:p>
        </w:tc>
        <w:tc>
          <w:tcPr>
            <w:tcW w:w="709" w:type="dxa"/>
            <w:tcBorders>
              <w:top w:val="single" w:sz="4" w:space="0" w:color="auto"/>
              <w:left w:val="single" w:sz="4" w:space="0" w:color="auto"/>
              <w:bottom w:val="single" w:sz="8" w:space="0" w:color="152935"/>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.142</w:t>
            </w:r>
          </w:p>
        </w:tc>
        <w:tc>
          <w:tcPr>
            <w:tcW w:w="992" w:type="dxa"/>
            <w:tcBorders>
              <w:top w:val="single" w:sz="4" w:space="0" w:color="auto"/>
              <w:left w:val="single" w:sz="4" w:space="0" w:color="auto"/>
              <w:bottom w:val="single" w:sz="8" w:space="0" w:color="152935"/>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-100.80000-</w:t>
            </w:r>
          </w:p>
        </w:tc>
        <w:tc>
          <w:tcPr>
            <w:tcW w:w="993" w:type="dxa"/>
            <w:tcBorders>
              <w:top w:val="single" w:sz="4" w:space="0" w:color="auto"/>
              <w:left w:val="single" w:sz="4" w:space="0" w:color="auto"/>
              <w:bottom w:val="single" w:sz="8" w:space="0" w:color="152935"/>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63.26174</w:t>
            </w:r>
          </w:p>
        </w:tc>
        <w:tc>
          <w:tcPr>
            <w:tcW w:w="1134" w:type="dxa"/>
            <w:tcBorders>
              <w:top w:val="single" w:sz="4" w:space="0" w:color="auto"/>
              <w:left w:val="single" w:sz="4" w:space="0" w:color="auto"/>
              <w:bottom w:val="single" w:sz="8" w:space="0" w:color="152935"/>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-241.88737-</w:t>
            </w:r>
          </w:p>
        </w:tc>
        <w:tc>
          <w:tcPr>
            <w:tcW w:w="992" w:type="dxa"/>
            <w:tcBorders>
              <w:top w:val="single" w:sz="4" w:space="0" w:color="auto"/>
              <w:left w:val="single" w:sz="4" w:space="0" w:color="auto"/>
              <w:bottom w:val="single" w:sz="8" w:space="0" w:color="152935"/>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40.28737</w:t>
            </w:r>
          </w:p>
        </w:tc>
      </w:tr>
    </w:tbl>
    <w:p w:rsidR="009974D6" w:rsidRDefault="009974D6" w:rsidP="009974D6">
      <w:pPr>
        <w:spacing w:line="360" w:lineRule="auto"/>
        <w:jc w:val="right"/>
        <w:rPr>
          <w:rFonts w:asciiTheme="majorBidi" w:hAnsiTheme="majorBidi" w:cstheme="majorBidi"/>
          <w:sz w:val="36"/>
          <w:szCs w:val="36"/>
          <w:lang w:bidi="ar-LY"/>
        </w:rPr>
      </w:pPr>
    </w:p>
    <w:p w:rsidR="009974D6" w:rsidRPr="009974D6" w:rsidRDefault="009974D6" w:rsidP="009974D6">
      <w:pPr>
        <w:spacing w:line="360" w:lineRule="auto"/>
        <w:jc w:val="right"/>
        <w:rPr>
          <w:rFonts w:asciiTheme="majorBidi" w:hAnsiTheme="majorBidi" w:hint="cs"/>
          <w:sz w:val="36"/>
          <w:szCs w:val="36"/>
          <w:rtl/>
          <w:lang w:val="en-GB"/>
        </w:rPr>
      </w:pPr>
      <w:r w:rsidRPr="009974D6">
        <w:rPr>
          <w:rFonts w:asciiTheme="majorBidi" w:hAnsiTheme="majorBidi" w:cstheme="majorBidi"/>
          <w:b/>
          <w:bCs/>
          <w:sz w:val="28"/>
          <w:szCs w:val="28"/>
          <w:lang w:val="en-GB" w:bidi="ar-LY"/>
        </w:rPr>
        <w:lastRenderedPageBreak/>
        <w:t>Table1.</w:t>
      </w:r>
      <w:r>
        <w:rPr>
          <w:rFonts w:asciiTheme="majorBidi" w:hAnsiTheme="majorBidi" w:cstheme="majorBidi"/>
          <w:sz w:val="36"/>
          <w:szCs w:val="36"/>
          <w:lang w:val="en-GB" w:bidi="ar-LY"/>
        </w:rPr>
        <w:t xml:space="preserve"> </w:t>
      </w:r>
      <w:r w:rsidRPr="009974D6">
        <w:rPr>
          <w:rFonts w:asciiTheme="majorBidi" w:hAnsiTheme="majorBidi"/>
          <w:sz w:val="24"/>
          <w:szCs w:val="24"/>
          <w:lang w:bidi="ar-LY"/>
        </w:rPr>
        <w:t>The P-value (P = 0.142) was calculated in this study, which included 12 volunteers, to determine whether there was a difference in urine output between the sexes</w:t>
      </w:r>
      <w:r w:rsidRPr="009974D6">
        <w:rPr>
          <w:rFonts w:asciiTheme="majorBidi" w:hAnsiTheme="majorBidi"/>
          <w:sz w:val="36"/>
          <w:szCs w:val="36"/>
          <w:lang w:bidi="ar-LY"/>
        </w:rPr>
        <w:t xml:space="preserve"> </w:t>
      </w:r>
    </w:p>
    <w:p w:rsidR="009974D6" w:rsidRPr="009974D6" w:rsidRDefault="009974D6" w:rsidP="009974D6">
      <w:pPr>
        <w:spacing w:line="360" w:lineRule="auto"/>
        <w:jc w:val="right"/>
        <w:rPr>
          <w:rFonts w:asciiTheme="majorBidi" w:hAnsiTheme="majorBidi" w:hint="cs"/>
          <w:sz w:val="36"/>
          <w:szCs w:val="36"/>
          <w:rtl/>
          <w:lang w:val="en-GB"/>
        </w:rPr>
      </w:pPr>
    </w:p>
    <w:tbl>
      <w:tblPr>
        <w:tblpPr w:leftFromText="180" w:rightFromText="180" w:vertAnchor="page" w:horzAnchor="margin" w:tblpY="3832"/>
        <w:tblW w:w="86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4"/>
        <w:gridCol w:w="938"/>
        <w:gridCol w:w="1030"/>
        <w:gridCol w:w="1719"/>
        <w:gridCol w:w="2127"/>
        <w:gridCol w:w="1984"/>
      </w:tblGrid>
      <w:tr w:rsidR="009974D6" w:rsidRPr="009974D6" w:rsidTr="009974D6">
        <w:trPr>
          <w:cantSplit/>
        </w:trPr>
        <w:tc>
          <w:tcPr>
            <w:tcW w:w="8642" w:type="dxa"/>
            <w:gridSpan w:val="6"/>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color w:val="010205"/>
              </w:rPr>
            </w:pPr>
            <w:r w:rsidRPr="009974D6">
              <w:rPr>
                <w:rFonts w:asciiTheme="majorBidi" w:hAnsiTheme="majorBidi" w:cstheme="majorBidi"/>
                <w:b/>
                <w:bCs/>
                <w:color w:val="000000" w:themeColor="text1"/>
              </w:rPr>
              <w:t>Group Statistics</w:t>
            </w:r>
          </w:p>
        </w:tc>
      </w:tr>
      <w:tr w:rsidR="009974D6" w:rsidRPr="009974D6" w:rsidTr="009974D6">
        <w:trPr>
          <w:cantSplit/>
          <w:trHeight w:val="64"/>
        </w:trPr>
        <w:tc>
          <w:tcPr>
            <w:tcW w:w="844" w:type="dxa"/>
            <w:tcBorders>
              <w:top w:val="single" w:sz="4" w:space="0" w:color="auto"/>
              <w:left w:val="single" w:sz="4" w:space="0" w:color="auto"/>
            </w:tcBorders>
          </w:tcPr>
          <w:p w:rsidR="009974D6" w:rsidRPr="009974D6" w:rsidRDefault="009974D6" w:rsidP="009974D6">
            <w:pPr>
              <w:autoSpaceDE w:val="0"/>
              <w:autoSpaceDN w:val="0"/>
              <w:bidi w:val="0"/>
              <w:adjustRightInd w:val="0"/>
              <w:spacing w:after="0" w:line="360" w:lineRule="auto"/>
              <w:rPr>
                <w:rFonts w:asciiTheme="majorBidi" w:hAnsiTheme="majorBidi" w:cstheme="majorBidi"/>
                <w:b/>
                <w:bCs/>
                <w:color w:val="000000" w:themeColor="text1"/>
              </w:rPr>
            </w:pPr>
          </w:p>
        </w:tc>
        <w:tc>
          <w:tcPr>
            <w:tcW w:w="938" w:type="dxa"/>
            <w:tcBorders>
              <w:top w:val="single" w:sz="4" w:space="0" w:color="auto"/>
              <w:left w:val="nil"/>
              <w:bottom w:val="single" w:sz="8" w:space="0" w:color="152935"/>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Gender</w:t>
            </w:r>
          </w:p>
        </w:tc>
        <w:tc>
          <w:tcPr>
            <w:tcW w:w="1030"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N</w:t>
            </w:r>
          </w:p>
        </w:tc>
        <w:tc>
          <w:tcPr>
            <w:tcW w:w="1719"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Mean</w:t>
            </w:r>
          </w:p>
        </w:tc>
        <w:tc>
          <w:tcPr>
            <w:tcW w:w="2127"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Std. Deviation</w:t>
            </w:r>
          </w:p>
        </w:tc>
        <w:tc>
          <w:tcPr>
            <w:tcW w:w="1984"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Std. Error Mean</w:t>
            </w:r>
          </w:p>
        </w:tc>
      </w:tr>
      <w:tr w:rsidR="009974D6" w:rsidRPr="009974D6" w:rsidTr="009974D6">
        <w:trPr>
          <w:cantSplit/>
        </w:trPr>
        <w:tc>
          <w:tcPr>
            <w:tcW w:w="844" w:type="dxa"/>
            <w:vMerge w:val="restart"/>
            <w:tcBorders>
              <w:top w:val="single" w:sz="8" w:space="0" w:color="152935"/>
              <w:left w:val="single" w:sz="4" w:space="0" w:color="auto"/>
              <w:bottom w:val="single" w:sz="8" w:space="0" w:color="152935"/>
              <w:right w:val="nil"/>
            </w:tcBorders>
            <w:shd w:val="clear" w:color="auto" w:fill="A6A6A6" w:themeFill="background1" w:themeFillShade="A6"/>
          </w:tcPr>
          <w:p w:rsidR="009974D6" w:rsidRPr="009974D6" w:rsidRDefault="009974D6" w:rsidP="009974D6">
            <w:pPr>
              <w:autoSpaceDE w:val="0"/>
              <w:autoSpaceDN w:val="0"/>
              <w:bidi w:val="0"/>
              <w:adjustRightInd w:val="0"/>
              <w:spacing w:after="0" w:line="360" w:lineRule="auto"/>
              <w:ind w:left="60" w:right="60"/>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UO6hr</w:t>
            </w:r>
          </w:p>
        </w:tc>
        <w:tc>
          <w:tcPr>
            <w:tcW w:w="938" w:type="dxa"/>
            <w:tcBorders>
              <w:top w:val="single" w:sz="8" w:space="0" w:color="152935"/>
              <w:left w:val="nil"/>
              <w:bottom w:val="single" w:sz="4" w:space="0" w:color="auto"/>
              <w:right w:val="single" w:sz="4" w:space="0" w:color="auto"/>
            </w:tcBorders>
            <w:shd w:val="clear" w:color="auto" w:fill="A6A6A6" w:themeFill="background1" w:themeFillShade="A6"/>
          </w:tcPr>
          <w:p w:rsidR="009974D6" w:rsidRPr="009974D6" w:rsidRDefault="009974D6" w:rsidP="009974D6">
            <w:pPr>
              <w:autoSpaceDE w:val="0"/>
              <w:autoSpaceDN w:val="0"/>
              <w:bidi w:val="0"/>
              <w:adjustRightInd w:val="0"/>
              <w:spacing w:after="0" w:line="360" w:lineRule="auto"/>
              <w:ind w:left="60" w:right="60"/>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Female</w:t>
            </w:r>
          </w:p>
        </w:tc>
        <w:tc>
          <w:tcPr>
            <w:tcW w:w="1030" w:type="dxa"/>
            <w:tcBorders>
              <w:top w:val="single" w:sz="8" w:space="0" w:color="152935"/>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6</w:t>
            </w:r>
          </w:p>
        </w:tc>
        <w:tc>
          <w:tcPr>
            <w:tcW w:w="1719" w:type="dxa"/>
            <w:tcBorders>
              <w:top w:val="single" w:sz="8" w:space="0" w:color="152935"/>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367.2000</w:t>
            </w:r>
          </w:p>
        </w:tc>
        <w:tc>
          <w:tcPr>
            <w:tcW w:w="2127" w:type="dxa"/>
            <w:tcBorders>
              <w:top w:val="single" w:sz="8" w:space="0" w:color="152935"/>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104.93244</w:t>
            </w:r>
          </w:p>
        </w:tc>
        <w:tc>
          <w:tcPr>
            <w:tcW w:w="1984" w:type="dxa"/>
            <w:tcBorders>
              <w:top w:val="single" w:sz="8" w:space="0" w:color="152935"/>
              <w:left w:val="single" w:sz="4" w:space="0" w:color="auto"/>
              <w:bottom w:val="single" w:sz="4" w:space="0" w:color="auto"/>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42.83849</w:t>
            </w:r>
          </w:p>
        </w:tc>
      </w:tr>
      <w:tr w:rsidR="009974D6" w:rsidRPr="009974D6" w:rsidTr="009974D6">
        <w:trPr>
          <w:cantSplit/>
        </w:trPr>
        <w:tc>
          <w:tcPr>
            <w:tcW w:w="844" w:type="dxa"/>
            <w:vMerge/>
            <w:tcBorders>
              <w:top w:val="single" w:sz="8" w:space="0" w:color="152935"/>
              <w:left w:val="single" w:sz="4" w:space="0" w:color="auto"/>
              <w:bottom w:val="single" w:sz="8" w:space="0" w:color="152935"/>
              <w:right w:val="nil"/>
            </w:tcBorders>
            <w:shd w:val="clear" w:color="auto" w:fill="A6A6A6" w:themeFill="background1" w:themeFillShade="A6"/>
          </w:tcPr>
          <w:p w:rsidR="009974D6" w:rsidRPr="009974D6" w:rsidRDefault="009974D6" w:rsidP="009974D6">
            <w:pPr>
              <w:autoSpaceDE w:val="0"/>
              <w:autoSpaceDN w:val="0"/>
              <w:bidi w:val="0"/>
              <w:adjustRightInd w:val="0"/>
              <w:spacing w:after="0" w:line="360" w:lineRule="auto"/>
              <w:rPr>
                <w:rFonts w:asciiTheme="majorBidi" w:hAnsiTheme="majorBidi" w:cstheme="majorBidi"/>
                <w:b/>
                <w:bCs/>
                <w:color w:val="000000" w:themeColor="text1"/>
                <w:sz w:val="18"/>
                <w:szCs w:val="18"/>
              </w:rPr>
            </w:pPr>
          </w:p>
        </w:tc>
        <w:tc>
          <w:tcPr>
            <w:tcW w:w="938" w:type="dxa"/>
            <w:tcBorders>
              <w:top w:val="single" w:sz="4" w:space="0" w:color="auto"/>
              <w:left w:val="nil"/>
              <w:bottom w:val="single" w:sz="8" w:space="0" w:color="152935"/>
              <w:right w:val="single" w:sz="4" w:space="0" w:color="auto"/>
            </w:tcBorders>
            <w:shd w:val="clear" w:color="auto" w:fill="A6A6A6" w:themeFill="background1" w:themeFillShade="A6"/>
          </w:tcPr>
          <w:p w:rsidR="009974D6" w:rsidRPr="009974D6" w:rsidRDefault="009974D6" w:rsidP="009974D6">
            <w:pPr>
              <w:autoSpaceDE w:val="0"/>
              <w:autoSpaceDN w:val="0"/>
              <w:bidi w:val="0"/>
              <w:adjustRightInd w:val="0"/>
              <w:spacing w:after="0" w:line="360" w:lineRule="auto"/>
              <w:ind w:left="60" w:right="60"/>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Male</w:t>
            </w:r>
          </w:p>
        </w:tc>
        <w:tc>
          <w:tcPr>
            <w:tcW w:w="1030" w:type="dxa"/>
            <w:tcBorders>
              <w:top w:val="single" w:sz="4" w:space="0" w:color="auto"/>
              <w:left w:val="single" w:sz="4" w:space="0" w:color="auto"/>
              <w:bottom w:val="single" w:sz="8" w:space="0" w:color="152935"/>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6</w:t>
            </w:r>
          </w:p>
        </w:tc>
        <w:tc>
          <w:tcPr>
            <w:tcW w:w="1719" w:type="dxa"/>
            <w:tcBorders>
              <w:top w:val="single" w:sz="4" w:space="0" w:color="auto"/>
              <w:left w:val="single" w:sz="4" w:space="0" w:color="auto"/>
              <w:bottom w:val="single" w:sz="8" w:space="0" w:color="152935"/>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468.0000</w:t>
            </w:r>
          </w:p>
        </w:tc>
        <w:tc>
          <w:tcPr>
            <w:tcW w:w="2127" w:type="dxa"/>
            <w:tcBorders>
              <w:top w:val="single" w:sz="4" w:space="0" w:color="auto"/>
              <w:left w:val="single" w:sz="4" w:space="0" w:color="auto"/>
              <w:bottom w:val="single" w:sz="8" w:space="0" w:color="152935"/>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114.02400</w:t>
            </w:r>
          </w:p>
        </w:tc>
        <w:tc>
          <w:tcPr>
            <w:tcW w:w="1984" w:type="dxa"/>
            <w:tcBorders>
              <w:top w:val="single" w:sz="4" w:space="0" w:color="auto"/>
              <w:left w:val="single" w:sz="4" w:space="0" w:color="auto"/>
              <w:bottom w:val="single" w:sz="8" w:space="0" w:color="152935"/>
              <w:right w:val="single" w:sz="4" w:space="0" w:color="auto"/>
            </w:tcBorders>
            <w:shd w:val="clear" w:color="auto" w:fill="FFFFFF"/>
          </w:tcPr>
          <w:p w:rsidR="009974D6" w:rsidRPr="009974D6" w:rsidRDefault="009974D6" w:rsidP="009974D6">
            <w:pPr>
              <w:autoSpaceDE w:val="0"/>
              <w:autoSpaceDN w:val="0"/>
              <w:bidi w:val="0"/>
              <w:adjustRightInd w:val="0"/>
              <w:spacing w:after="0" w:line="360" w:lineRule="auto"/>
              <w:ind w:left="60" w:right="60"/>
              <w:jc w:val="center"/>
              <w:rPr>
                <w:rFonts w:asciiTheme="majorBidi" w:hAnsiTheme="majorBidi" w:cstheme="majorBidi"/>
                <w:b/>
                <w:bCs/>
                <w:color w:val="000000" w:themeColor="text1"/>
                <w:sz w:val="18"/>
                <w:szCs w:val="18"/>
              </w:rPr>
            </w:pPr>
            <w:r w:rsidRPr="009974D6">
              <w:rPr>
                <w:rFonts w:asciiTheme="majorBidi" w:hAnsiTheme="majorBidi" w:cstheme="majorBidi"/>
                <w:b/>
                <w:bCs/>
                <w:color w:val="000000" w:themeColor="text1"/>
                <w:sz w:val="18"/>
                <w:szCs w:val="18"/>
              </w:rPr>
              <w:t>46.55010</w:t>
            </w:r>
          </w:p>
        </w:tc>
      </w:tr>
    </w:tbl>
    <w:p w:rsidR="009974D6" w:rsidRDefault="009974D6" w:rsidP="009974D6">
      <w:pPr>
        <w:bidi w:val="0"/>
        <w:spacing w:line="360" w:lineRule="auto"/>
        <w:rPr>
          <w:rFonts w:asciiTheme="majorBidi" w:hAnsiTheme="majorBidi" w:cstheme="majorBidi"/>
          <w:sz w:val="36"/>
          <w:szCs w:val="36"/>
        </w:rPr>
      </w:pPr>
    </w:p>
    <w:p w:rsidR="009974D6" w:rsidRPr="009974D6" w:rsidRDefault="009974D6" w:rsidP="009974D6">
      <w:pPr>
        <w:bidi w:val="0"/>
        <w:spacing w:line="360" w:lineRule="auto"/>
        <w:rPr>
          <w:rFonts w:asciiTheme="majorBidi" w:hAnsiTheme="majorBidi" w:cstheme="majorBidi"/>
          <w:sz w:val="36"/>
          <w:szCs w:val="36"/>
          <w:rtl/>
        </w:rPr>
      </w:pPr>
      <w:r w:rsidRPr="009974D6">
        <w:rPr>
          <w:rFonts w:asciiTheme="majorBidi" w:hAnsiTheme="majorBidi" w:cstheme="majorBidi"/>
          <w:b/>
          <w:bCs/>
          <w:sz w:val="28"/>
          <w:szCs w:val="28"/>
        </w:rPr>
        <w:t>Table 2</w:t>
      </w:r>
      <w:r w:rsidRPr="009974D6">
        <w:rPr>
          <w:rFonts w:asciiTheme="majorBidi" w:hAnsiTheme="majorBidi" w:cstheme="majorBidi"/>
          <w:sz w:val="36"/>
          <w:szCs w:val="36"/>
        </w:rPr>
        <w:t xml:space="preserve">. </w:t>
      </w:r>
      <w:r w:rsidRPr="009974D6">
        <w:rPr>
          <w:rFonts w:asciiTheme="majorBidi" w:hAnsiTheme="majorBidi" w:cstheme="majorBidi"/>
          <w:sz w:val="24"/>
          <w:szCs w:val="24"/>
        </w:rPr>
        <w:t>The mean, median and std. deviation for both groups, male (n= 6) and female (n= 6)</w:t>
      </w:r>
    </w:p>
    <w:p w:rsidR="009974D6" w:rsidRPr="009974D6" w:rsidRDefault="009974D6" w:rsidP="009974D6">
      <w:pPr>
        <w:bidi w:val="0"/>
        <w:spacing w:line="360" w:lineRule="auto"/>
        <w:rPr>
          <w:rFonts w:asciiTheme="majorBidi" w:hAnsiTheme="majorBidi" w:cstheme="majorBidi"/>
          <w:sz w:val="36"/>
          <w:szCs w:val="36"/>
          <w:rtl/>
        </w:rPr>
      </w:pPr>
    </w:p>
    <w:p w:rsidR="009974D6" w:rsidRPr="009974D6" w:rsidRDefault="009974D6" w:rsidP="009974D6">
      <w:pPr>
        <w:bidi w:val="0"/>
        <w:spacing w:line="360" w:lineRule="auto"/>
        <w:rPr>
          <w:rFonts w:asciiTheme="majorBidi" w:hAnsiTheme="majorBidi"/>
          <w:b/>
          <w:bCs/>
          <w:sz w:val="28"/>
          <w:szCs w:val="28"/>
        </w:rPr>
      </w:pPr>
      <w:r w:rsidRPr="009974D6">
        <w:rPr>
          <w:rFonts w:asciiTheme="majorBidi" w:hAnsiTheme="majorBidi"/>
          <w:b/>
          <w:bCs/>
          <w:sz w:val="28"/>
          <w:szCs w:val="28"/>
        </w:rPr>
        <w:t xml:space="preserve">DISCUSSION </w:t>
      </w:r>
    </w:p>
    <w:p w:rsidR="009974D6" w:rsidRPr="009974D6" w:rsidRDefault="009974D6" w:rsidP="009974D6">
      <w:pPr>
        <w:bidi w:val="0"/>
        <w:spacing w:line="360" w:lineRule="auto"/>
        <w:rPr>
          <w:rFonts w:asciiTheme="majorBidi" w:hAnsiTheme="majorBidi"/>
          <w:sz w:val="24"/>
          <w:szCs w:val="24"/>
          <w:vertAlign w:val="superscript"/>
        </w:rPr>
      </w:pPr>
      <w:r w:rsidRPr="009974D6">
        <w:rPr>
          <w:rFonts w:asciiTheme="majorBidi" w:hAnsiTheme="majorBidi"/>
          <w:sz w:val="24"/>
          <w:szCs w:val="24"/>
        </w:rPr>
        <w:t>These data demonstrate the volume of urine production after delivering furosemide and whether or not gender has an influence in this study. According to the P-value of 0.142, there is no significant difference, hence the hypothesis is rejected since gender has n</w:t>
      </w:r>
      <w:r>
        <w:rPr>
          <w:rFonts w:asciiTheme="majorBidi" w:hAnsiTheme="majorBidi"/>
          <w:sz w:val="24"/>
          <w:szCs w:val="24"/>
        </w:rPr>
        <w:t>o influence on urine production.</w:t>
      </w:r>
      <w:r>
        <w:rPr>
          <w:rFonts w:asciiTheme="majorBidi" w:hAnsiTheme="majorBidi"/>
          <w:sz w:val="24"/>
          <w:szCs w:val="24"/>
          <w:vertAlign w:val="superscript"/>
        </w:rPr>
        <w:t>1</w:t>
      </w:r>
      <w:r w:rsidRPr="009974D6">
        <w:rPr>
          <w:rFonts w:asciiTheme="majorBidi" w:hAnsiTheme="majorBidi"/>
          <w:sz w:val="24"/>
          <w:szCs w:val="24"/>
        </w:rPr>
        <w:t xml:space="preserve"> The researcher says that there is agreement with certain past studies when comparing the findings of this current study to other studies stated above. Women have always been underrepresented in clinical studies. When both men and women were researched, the data was most often pooled together, with no inve</w:t>
      </w:r>
      <w:r>
        <w:rPr>
          <w:rFonts w:asciiTheme="majorBidi" w:hAnsiTheme="majorBidi"/>
          <w:sz w:val="24"/>
          <w:szCs w:val="24"/>
        </w:rPr>
        <w:t>stigation of gender differences.</w:t>
      </w:r>
      <w:r>
        <w:rPr>
          <w:rFonts w:asciiTheme="majorBidi" w:hAnsiTheme="majorBidi"/>
          <w:sz w:val="24"/>
          <w:szCs w:val="24"/>
          <w:vertAlign w:val="superscript"/>
        </w:rPr>
        <w:t>2</w:t>
      </w:r>
    </w:p>
    <w:p w:rsidR="009974D6" w:rsidRPr="009974D6" w:rsidRDefault="009974D6" w:rsidP="009974D6">
      <w:pPr>
        <w:bidi w:val="0"/>
        <w:spacing w:line="360" w:lineRule="auto"/>
        <w:rPr>
          <w:rFonts w:asciiTheme="majorBidi" w:hAnsiTheme="majorBidi"/>
          <w:b/>
          <w:bCs/>
          <w:sz w:val="28"/>
          <w:szCs w:val="28"/>
        </w:rPr>
      </w:pPr>
      <w:r w:rsidRPr="009974D6">
        <w:rPr>
          <w:rFonts w:asciiTheme="majorBidi" w:hAnsiTheme="majorBidi"/>
          <w:b/>
          <w:bCs/>
          <w:sz w:val="28"/>
          <w:szCs w:val="28"/>
        </w:rPr>
        <w:t>CONCLUSION</w:t>
      </w:r>
    </w:p>
    <w:p w:rsidR="009974D6" w:rsidRPr="009974D6" w:rsidRDefault="009974D6" w:rsidP="009974D6">
      <w:pPr>
        <w:bidi w:val="0"/>
        <w:spacing w:line="360" w:lineRule="auto"/>
        <w:rPr>
          <w:rFonts w:asciiTheme="majorBidi" w:hAnsiTheme="majorBidi"/>
          <w:sz w:val="24"/>
          <w:szCs w:val="24"/>
        </w:rPr>
      </w:pPr>
      <w:r w:rsidRPr="009974D6">
        <w:rPr>
          <w:rFonts w:asciiTheme="majorBidi" w:hAnsiTheme="majorBidi"/>
          <w:sz w:val="24"/>
          <w:szCs w:val="24"/>
        </w:rPr>
        <w:t>The purpose of this study was to see if there was a difference in urine output between adult males and females after administering lasix.</w:t>
      </w:r>
      <w:r>
        <w:rPr>
          <w:rFonts w:asciiTheme="majorBidi" w:hAnsiTheme="majorBidi"/>
          <w:sz w:val="24"/>
          <w:szCs w:val="24"/>
          <w:vertAlign w:val="superscript"/>
        </w:rPr>
        <w:t>1</w:t>
      </w:r>
      <w:r w:rsidRPr="009974D6">
        <w:rPr>
          <w:rFonts w:asciiTheme="majorBidi" w:hAnsiTheme="majorBidi"/>
          <w:sz w:val="24"/>
          <w:szCs w:val="24"/>
        </w:rPr>
        <w:t xml:space="preserve"> Based on the p-value (=0.142), it was statistically verified that there is no significant difference in urine output between males and females after volunteers received furosemide and reported the findings. Finally, because there is limited knowledge regarding these gender-related disparities, </w:t>
      </w:r>
      <w:r w:rsidRPr="009974D6">
        <w:rPr>
          <w:rFonts w:asciiTheme="majorBidi" w:hAnsiTheme="majorBidi"/>
          <w:sz w:val="24"/>
          <w:szCs w:val="24"/>
        </w:rPr>
        <w:lastRenderedPageBreak/>
        <w:t>the researchers propose more study as well as the use of vast and diverse implications to get at more precise and unambiguous answers.</w:t>
      </w:r>
    </w:p>
    <w:p w:rsidR="009974D6" w:rsidRPr="009974D6" w:rsidRDefault="009974D6" w:rsidP="009974D6">
      <w:pPr>
        <w:bidi w:val="0"/>
        <w:spacing w:line="360" w:lineRule="auto"/>
        <w:rPr>
          <w:rFonts w:asciiTheme="majorBidi" w:hAnsiTheme="majorBidi"/>
          <w:b/>
          <w:bCs/>
          <w:sz w:val="28"/>
          <w:szCs w:val="28"/>
        </w:rPr>
      </w:pPr>
      <w:r w:rsidRPr="009974D6">
        <w:rPr>
          <w:rFonts w:asciiTheme="majorBidi" w:hAnsiTheme="majorBidi"/>
          <w:b/>
          <w:bCs/>
          <w:sz w:val="28"/>
          <w:szCs w:val="28"/>
        </w:rPr>
        <w:t>REFRENCES</w:t>
      </w:r>
    </w:p>
    <w:p w:rsidR="009974D6" w:rsidRPr="009974D6" w:rsidRDefault="009974D6" w:rsidP="009974D6">
      <w:pPr>
        <w:bidi w:val="0"/>
        <w:spacing w:line="360" w:lineRule="auto"/>
        <w:rPr>
          <w:rFonts w:asciiTheme="majorBidi" w:hAnsiTheme="majorBidi"/>
          <w:sz w:val="24"/>
          <w:szCs w:val="24"/>
        </w:rPr>
      </w:pPr>
      <w:r>
        <w:rPr>
          <w:rFonts w:asciiTheme="majorBidi" w:hAnsiTheme="majorBidi"/>
          <w:sz w:val="24"/>
          <w:szCs w:val="24"/>
        </w:rPr>
        <w:t>1.</w:t>
      </w:r>
      <w:r w:rsidRPr="009974D6">
        <w:rPr>
          <w:rFonts w:asciiTheme="majorBidi" w:hAnsiTheme="majorBidi"/>
          <w:sz w:val="24"/>
          <w:szCs w:val="24"/>
        </w:rPr>
        <w:t>Hammarlund-Udenaes M, Benet LZ. Furosemide pharmacokinetics and pharmacodynamics in health and disease--an update. J Pharmacokinet Biopharm. 1989;17(1):1-46. doi:10.1007/BF01059086</w:t>
      </w:r>
    </w:p>
    <w:p w:rsidR="009974D6" w:rsidRPr="009974D6" w:rsidRDefault="009974D6" w:rsidP="009974D6">
      <w:pPr>
        <w:bidi w:val="0"/>
        <w:spacing w:line="360" w:lineRule="auto"/>
        <w:rPr>
          <w:rFonts w:asciiTheme="majorBidi" w:hAnsiTheme="majorBidi"/>
          <w:sz w:val="24"/>
          <w:szCs w:val="24"/>
        </w:rPr>
      </w:pPr>
      <w:r>
        <w:rPr>
          <w:rFonts w:asciiTheme="majorBidi" w:hAnsiTheme="majorBidi"/>
          <w:sz w:val="24"/>
          <w:szCs w:val="24"/>
        </w:rPr>
        <w:t>2.</w:t>
      </w:r>
      <w:r w:rsidRPr="009974D6">
        <w:rPr>
          <w:rFonts w:asciiTheme="majorBidi" w:hAnsiTheme="majorBidi"/>
          <w:sz w:val="24"/>
          <w:szCs w:val="24"/>
        </w:rPr>
        <w:t>Carone L, Oxberry SG, Twycross R, Charlesworth S, Mihalyo M, Wilcock A. Furosemide. </w:t>
      </w:r>
      <w:r w:rsidRPr="009974D6">
        <w:rPr>
          <w:rFonts w:asciiTheme="majorBidi" w:hAnsiTheme="majorBidi"/>
          <w:i/>
          <w:iCs/>
          <w:sz w:val="24"/>
          <w:szCs w:val="24"/>
        </w:rPr>
        <w:t>J Pain Symptom Manage</w:t>
      </w:r>
      <w:r w:rsidRPr="009974D6">
        <w:rPr>
          <w:rFonts w:asciiTheme="majorBidi" w:hAnsiTheme="majorBidi"/>
          <w:sz w:val="24"/>
          <w:szCs w:val="24"/>
        </w:rPr>
        <w:t>. 2016;52(1):144-150. doi:10.1016/j.jpainsymman.2016.05.004</w:t>
      </w:r>
    </w:p>
    <w:p w:rsidR="009974D6" w:rsidRPr="009974D6" w:rsidRDefault="009974D6" w:rsidP="009974D6">
      <w:pPr>
        <w:bidi w:val="0"/>
        <w:spacing w:line="360" w:lineRule="auto"/>
        <w:rPr>
          <w:rFonts w:asciiTheme="majorBidi" w:hAnsiTheme="majorBidi"/>
          <w:sz w:val="24"/>
          <w:szCs w:val="24"/>
        </w:rPr>
      </w:pPr>
      <w:r>
        <w:rPr>
          <w:rFonts w:asciiTheme="majorBidi" w:hAnsiTheme="majorBidi"/>
          <w:sz w:val="24"/>
          <w:szCs w:val="24"/>
        </w:rPr>
        <w:t xml:space="preserve">3. </w:t>
      </w:r>
      <w:r w:rsidRPr="009974D6">
        <w:rPr>
          <w:rFonts w:asciiTheme="majorBidi" w:hAnsiTheme="majorBidi"/>
          <w:sz w:val="24"/>
          <w:szCs w:val="24"/>
        </w:rPr>
        <w:t>Khurana I. Medical Physiology For Undergraduate Students. London: Elsevier Health Sciences APAC; 2014.</w:t>
      </w:r>
    </w:p>
    <w:p w:rsidR="009974D6" w:rsidRDefault="009974D6" w:rsidP="009974D6">
      <w:pPr>
        <w:bidi w:val="0"/>
        <w:rPr>
          <w:rFonts w:asciiTheme="majorBidi" w:hAnsiTheme="majorBidi"/>
          <w:sz w:val="36"/>
          <w:szCs w:val="36"/>
        </w:rPr>
      </w:pPr>
    </w:p>
    <w:p w:rsidR="009974D6" w:rsidRPr="009974D6" w:rsidRDefault="009974D6" w:rsidP="009974D6">
      <w:pPr>
        <w:bidi w:val="0"/>
        <w:rPr>
          <w:rFonts w:asciiTheme="majorBidi" w:hAnsiTheme="majorBidi"/>
          <w:sz w:val="36"/>
          <w:szCs w:val="36"/>
        </w:rPr>
      </w:pPr>
    </w:p>
    <w:p w:rsidR="009974D6" w:rsidRPr="009974D6" w:rsidRDefault="009974D6" w:rsidP="009974D6">
      <w:pPr>
        <w:bidi w:val="0"/>
        <w:rPr>
          <w:rFonts w:asciiTheme="majorBidi" w:hAnsiTheme="majorBidi" w:cstheme="majorBidi"/>
          <w:sz w:val="36"/>
          <w:szCs w:val="36"/>
        </w:rPr>
      </w:pPr>
    </w:p>
    <w:p w:rsidR="009974D6" w:rsidRDefault="009974D6" w:rsidP="009974D6">
      <w:pPr>
        <w:bidi w:val="0"/>
        <w:rPr>
          <w:rFonts w:asciiTheme="majorBidi" w:hAnsiTheme="majorBidi" w:cstheme="majorBidi"/>
          <w:sz w:val="36"/>
          <w:szCs w:val="36"/>
        </w:rPr>
      </w:pPr>
    </w:p>
    <w:p w:rsidR="009974D6" w:rsidRPr="009974D6" w:rsidRDefault="009974D6" w:rsidP="009974D6">
      <w:pPr>
        <w:bidi w:val="0"/>
        <w:rPr>
          <w:rFonts w:asciiTheme="majorBidi" w:hAnsiTheme="majorBidi" w:cstheme="majorBidi"/>
          <w:sz w:val="36"/>
          <w:szCs w:val="36"/>
          <w:lang w:val="en-GB"/>
        </w:rPr>
      </w:pPr>
    </w:p>
    <w:p w:rsidR="00CF24C0" w:rsidRDefault="00CF24C0" w:rsidP="00CF24C0">
      <w:pPr>
        <w:jc w:val="center"/>
        <w:rPr>
          <w:rFonts w:hint="cs"/>
          <w:rtl/>
          <w:lang w:val="en-GB"/>
        </w:rPr>
      </w:pPr>
    </w:p>
    <w:p w:rsidR="009974D6" w:rsidRDefault="009974D6" w:rsidP="009974D6">
      <w:pPr>
        <w:jc w:val="right"/>
        <w:rPr>
          <w:rFonts w:hint="cs"/>
          <w:rtl/>
          <w:lang w:val="en-GB"/>
        </w:rPr>
      </w:pPr>
    </w:p>
    <w:p w:rsidR="009974D6" w:rsidRDefault="009974D6">
      <w:pPr>
        <w:bidi w:val="0"/>
        <w:rPr>
          <w:rFonts w:hint="cs"/>
          <w:lang w:val="en-GB"/>
        </w:rPr>
      </w:pPr>
      <w:r>
        <w:rPr>
          <w:rtl/>
          <w:lang w:val="en-GB"/>
        </w:rPr>
        <w:br w:type="page"/>
      </w:r>
    </w:p>
    <w:p w:rsidR="009974D6" w:rsidRDefault="009974D6">
      <w:pPr>
        <w:bidi w:val="0"/>
        <w:rPr>
          <w:lang w:val="en-GB"/>
        </w:rPr>
      </w:pPr>
      <w:r>
        <w:rPr>
          <w:lang w:val="en-GB"/>
        </w:rPr>
        <w:lastRenderedPageBreak/>
        <w:br w:type="page"/>
      </w:r>
    </w:p>
    <w:p w:rsidR="009974D6" w:rsidRDefault="009974D6" w:rsidP="009974D6">
      <w:pPr>
        <w:bidi w:val="0"/>
        <w:rPr>
          <w:lang w:val="en-GB"/>
        </w:rPr>
      </w:pPr>
    </w:p>
    <w:sectPr w:rsidR="009974D6" w:rsidSect="009974D6">
      <w:footerReference w:type="even" r:id="rId11"/>
      <w:footerReference w:type="default" r:id="rId12"/>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24DD" w:rsidRDefault="003324DD" w:rsidP="009974D6">
      <w:pPr>
        <w:spacing w:after="0" w:line="240" w:lineRule="auto"/>
      </w:pPr>
      <w:r>
        <w:separator/>
      </w:r>
    </w:p>
  </w:endnote>
  <w:endnote w:type="continuationSeparator" w:id="0">
    <w:p w:rsidR="003324DD" w:rsidRDefault="003324DD" w:rsidP="009974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4D6" w:rsidRPr="009974D6" w:rsidRDefault="009974D6">
    <w:pPr>
      <w:pStyle w:val="a6"/>
      <w:rPr>
        <w:rFonts w:hint="cs"/>
        <w:rtl/>
        <w:lang w:val="en-GB"/>
      </w:rPr>
    </w:pPr>
    <w:r>
      <w:rPr>
        <w:lang w:val="en-GB"/>
      </w:rPr>
      <w:t>3</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06268910"/>
      <w:docPartObj>
        <w:docPartGallery w:val="Page Numbers (Bottom of Page)"/>
        <w:docPartUnique/>
      </w:docPartObj>
    </w:sdtPr>
    <w:sdtContent>
      <w:p w:rsidR="009974D6" w:rsidRDefault="009974D6">
        <w:pPr>
          <w:pStyle w:val="a6"/>
          <w:jc w:val="center"/>
        </w:pPr>
        <w:r>
          <w:fldChar w:fldCharType="begin"/>
        </w:r>
        <w:r>
          <w:instrText>PAGE   \* MERGEFORMAT</w:instrText>
        </w:r>
        <w:r>
          <w:fldChar w:fldCharType="separate"/>
        </w:r>
        <w:r w:rsidRPr="009974D6">
          <w:rPr>
            <w:noProof/>
            <w:rtl/>
            <w:lang w:val="ar-SA"/>
          </w:rPr>
          <w:t>3</w:t>
        </w:r>
        <w:r>
          <w:fldChar w:fldCharType="end"/>
        </w:r>
      </w:p>
    </w:sdtContent>
  </w:sdt>
  <w:p w:rsidR="009974D6" w:rsidRDefault="009974D6" w:rsidP="009974D6">
    <w:pPr>
      <w:pStyle w:val="a6"/>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24DD" w:rsidRDefault="003324DD" w:rsidP="009974D6">
      <w:pPr>
        <w:spacing w:after="0" w:line="240" w:lineRule="auto"/>
      </w:pPr>
      <w:r>
        <w:separator/>
      </w:r>
    </w:p>
  </w:footnote>
  <w:footnote w:type="continuationSeparator" w:id="0">
    <w:p w:rsidR="003324DD" w:rsidRDefault="003324DD" w:rsidP="009974D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3337F8"/>
    <w:multiLevelType w:val="hybridMultilevel"/>
    <w:tmpl w:val="E1A2BC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24C0"/>
    <w:rsid w:val="003324DD"/>
    <w:rsid w:val="009974D6"/>
    <w:rsid w:val="00AE675E"/>
    <w:rsid w:val="00CF24C0"/>
    <w:rsid w:val="00F76B0C"/>
    <w:rsid w:val="00F86A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4C0"/>
    <w:pPr>
      <w:bidi/>
    </w:pPr>
  </w:style>
  <w:style w:type="paragraph" w:styleId="1">
    <w:name w:val="heading 1"/>
    <w:basedOn w:val="a"/>
    <w:next w:val="a"/>
    <w:link w:val="1Char"/>
    <w:uiPriority w:val="9"/>
    <w:qFormat/>
    <w:rsid w:val="009974D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5">
    <w:name w:val="heading 5"/>
    <w:basedOn w:val="a"/>
    <w:next w:val="a"/>
    <w:link w:val="5Char"/>
    <w:uiPriority w:val="9"/>
    <w:semiHidden/>
    <w:unhideWhenUsed/>
    <w:qFormat/>
    <w:rsid w:val="009974D6"/>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F24C0"/>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CF24C0"/>
    <w:rPr>
      <w:rFonts w:ascii="Tahoma" w:hAnsi="Tahoma" w:cs="Tahoma"/>
      <w:sz w:val="16"/>
      <w:szCs w:val="16"/>
    </w:rPr>
  </w:style>
  <w:style w:type="character" w:customStyle="1" w:styleId="1Char">
    <w:name w:val="عنوان 1 Char"/>
    <w:basedOn w:val="a0"/>
    <w:link w:val="1"/>
    <w:uiPriority w:val="9"/>
    <w:rsid w:val="009974D6"/>
    <w:rPr>
      <w:rFonts w:asciiTheme="majorHAnsi" w:eastAsiaTheme="majorEastAsia" w:hAnsiTheme="majorHAnsi" w:cstheme="majorBidi"/>
      <w:b/>
      <w:bCs/>
      <w:color w:val="365F91" w:themeColor="accent1" w:themeShade="BF"/>
      <w:sz w:val="28"/>
      <w:szCs w:val="28"/>
    </w:rPr>
  </w:style>
  <w:style w:type="table" w:customStyle="1" w:styleId="GridTable5Dark-Accent31">
    <w:name w:val="Grid Table 5 Dark - Accent 31"/>
    <w:basedOn w:val="a1"/>
    <w:uiPriority w:val="50"/>
    <w:rsid w:val="009974D6"/>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character" w:styleId="a4">
    <w:name w:val="Placeholder Text"/>
    <w:basedOn w:val="a0"/>
    <w:uiPriority w:val="99"/>
    <w:semiHidden/>
    <w:rsid w:val="009974D6"/>
    <w:rPr>
      <w:color w:val="808080"/>
    </w:rPr>
  </w:style>
  <w:style w:type="character" w:customStyle="1" w:styleId="5Char">
    <w:name w:val="عنوان 5 Char"/>
    <w:basedOn w:val="a0"/>
    <w:link w:val="5"/>
    <w:uiPriority w:val="9"/>
    <w:semiHidden/>
    <w:rsid w:val="009974D6"/>
    <w:rPr>
      <w:rFonts w:asciiTheme="majorHAnsi" w:eastAsiaTheme="majorEastAsia" w:hAnsiTheme="majorHAnsi" w:cstheme="majorBidi"/>
      <w:color w:val="243F60" w:themeColor="accent1" w:themeShade="7F"/>
    </w:rPr>
  </w:style>
  <w:style w:type="paragraph" w:styleId="a5">
    <w:name w:val="header"/>
    <w:basedOn w:val="a"/>
    <w:link w:val="Char0"/>
    <w:uiPriority w:val="99"/>
    <w:unhideWhenUsed/>
    <w:rsid w:val="009974D6"/>
    <w:pPr>
      <w:tabs>
        <w:tab w:val="center" w:pos="4153"/>
        <w:tab w:val="right" w:pos="8306"/>
      </w:tabs>
      <w:spacing w:after="0" w:line="240" w:lineRule="auto"/>
    </w:pPr>
  </w:style>
  <w:style w:type="character" w:customStyle="1" w:styleId="Char0">
    <w:name w:val="رأس الصفحة Char"/>
    <w:basedOn w:val="a0"/>
    <w:link w:val="a5"/>
    <w:uiPriority w:val="99"/>
    <w:rsid w:val="009974D6"/>
  </w:style>
  <w:style w:type="paragraph" w:styleId="a6">
    <w:name w:val="footer"/>
    <w:basedOn w:val="a"/>
    <w:link w:val="Char1"/>
    <w:uiPriority w:val="99"/>
    <w:unhideWhenUsed/>
    <w:rsid w:val="009974D6"/>
    <w:pPr>
      <w:tabs>
        <w:tab w:val="center" w:pos="4153"/>
        <w:tab w:val="right" w:pos="8306"/>
      </w:tabs>
      <w:spacing w:after="0" w:line="240" w:lineRule="auto"/>
    </w:pPr>
  </w:style>
  <w:style w:type="character" w:customStyle="1" w:styleId="Char1">
    <w:name w:val="تذييل الصفحة Char"/>
    <w:basedOn w:val="a0"/>
    <w:link w:val="a6"/>
    <w:uiPriority w:val="99"/>
    <w:rsid w:val="009974D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4C0"/>
    <w:pPr>
      <w:bidi/>
    </w:pPr>
  </w:style>
  <w:style w:type="paragraph" w:styleId="1">
    <w:name w:val="heading 1"/>
    <w:basedOn w:val="a"/>
    <w:next w:val="a"/>
    <w:link w:val="1Char"/>
    <w:uiPriority w:val="9"/>
    <w:qFormat/>
    <w:rsid w:val="009974D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5">
    <w:name w:val="heading 5"/>
    <w:basedOn w:val="a"/>
    <w:next w:val="a"/>
    <w:link w:val="5Char"/>
    <w:uiPriority w:val="9"/>
    <w:semiHidden/>
    <w:unhideWhenUsed/>
    <w:qFormat/>
    <w:rsid w:val="009974D6"/>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F24C0"/>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CF24C0"/>
    <w:rPr>
      <w:rFonts w:ascii="Tahoma" w:hAnsi="Tahoma" w:cs="Tahoma"/>
      <w:sz w:val="16"/>
      <w:szCs w:val="16"/>
    </w:rPr>
  </w:style>
  <w:style w:type="character" w:customStyle="1" w:styleId="1Char">
    <w:name w:val="عنوان 1 Char"/>
    <w:basedOn w:val="a0"/>
    <w:link w:val="1"/>
    <w:uiPriority w:val="9"/>
    <w:rsid w:val="009974D6"/>
    <w:rPr>
      <w:rFonts w:asciiTheme="majorHAnsi" w:eastAsiaTheme="majorEastAsia" w:hAnsiTheme="majorHAnsi" w:cstheme="majorBidi"/>
      <w:b/>
      <w:bCs/>
      <w:color w:val="365F91" w:themeColor="accent1" w:themeShade="BF"/>
      <w:sz w:val="28"/>
      <w:szCs w:val="28"/>
    </w:rPr>
  </w:style>
  <w:style w:type="table" w:customStyle="1" w:styleId="GridTable5Dark-Accent31">
    <w:name w:val="Grid Table 5 Dark - Accent 31"/>
    <w:basedOn w:val="a1"/>
    <w:uiPriority w:val="50"/>
    <w:rsid w:val="009974D6"/>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character" w:styleId="a4">
    <w:name w:val="Placeholder Text"/>
    <w:basedOn w:val="a0"/>
    <w:uiPriority w:val="99"/>
    <w:semiHidden/>
    <w:rsid w:val="009974D6"/>
    <w:rPr>
      <w:color w:val="808080"/>
    </w:rPr>
  </w:style>
  <w:style w:type="character" w:customStyle="1" w:styleId="5Char">
    <w:name w:val="عنوان 5 Char"/>
    <w:basedOn w:val="a0"/>
    <w:link w:val="5"/>
    <w:uiPriority w:val="9"/>
    <w:semiHidden/>
    <w:rsid w:val="009974D6"/>
    <w:rPr>
      <w:rFonts w:asciiTheme="majorHAnsi" w:eastAsiaTheme="majorEastAsia" w:hAnsiTheme="majorHAnsi" w:cstheme="majorBidi"/>
      <w:color w:val="243F60" w:themeColor="accent1" w:themeShade="7F"/>
    </w:rPr>
  </w:style>
  <w:style w:type="paragraph" w:styleId="a5">
    <w:name w:val="header"/>
    <w:basedOn w:val="a"/>
    <w:link w:val="Char0"/>
    <w:uiPriority w:val="99"/>
    <w:unhideWhenUsed/>
    <w:rsid w:val="009974D6"/>
    <w:pPr>
      <w:tabs>
        <w:tab w:val="center" w:pos="4153"/>
        <w:tab w:val="right" w:pos="8306"/>
      </w:tabs>
      <w:spacing w:after="0" w:line="240" w:lineRule="auto"/>
    </w:pPr>
  </w:style>
  <w:style w:type="character" w:customStyle="1" w:styleId="Char0">
    <w:name w:val="رأس الصفحة Char"/>
    <w:basedOn w:val="a0"/>
    <w:link w:val="a5"/>
    <w:uiPriority w:val="99"/>
    <w:rsid w:val="009974D6"/>
  </w:style>
  <w:style w:type="paragraph" w:styleId="a6">
    <w:name w:val="footer"/>
    <w:basedOn w:val="a"/>
    <w:link w:val="Char1"/>
    <w:uiPriority w:val="99"/>
    <w:unhideWhenUsed/>
    <w:rsid w:val="009974D6"/>
    <w:pPr>
      <w:tabs>
        <w:tab w:val="center" w:pos="4153"/>
        <w:tab w:val="right" w:pos="8306"/>
      </w:tabs>
      <w:spacing w:after="0" w:line="240" w:lineRule="auto"/>
    </w:pPr>
  </w:style>
  <w:style w:type="character" w:customStyle="1" w:styleId="Char1">
    <w:name w:val="تذييل الصفحة Char"/>
    <w:basedOn w:val="a0"/>
    <w:link w:val="a6"/>
    <w:uiPriority w:val="99"/>
    <w:rsid w:val="009974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45C3"/>
    <w:rsid w:val="0085255E"/>
    <w:rsid w:val="00CA45C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A45C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A45C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F9DA50-F34B-4315-95EC-FA411B45F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1061</TotalTime>
  <Pages>8</Pages>
  <Words>834</Words>
  <Characters>4760</Characters>
  <Application>Microsoft Office Word</Application>
  <DocSecurity>0</DocSecurity>
  <Lines>39</Lines>
  <Paragraphs>11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2022-06-19T16:52:00Z</dcterms:created>
  <dcterms:modified xsi:type="dcterms:W3CDTF">2022-06-20T19:41:00Z</dcterms:modified>
</cp:coreProperties>
</file>