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w:rPr/>
        <w:drawing>
          <wp:anchor behindDoc="0" distT="0" distB="0" distL="0" distR="114300" simplePos="0" locked="0" layoutInCell="1" allowOverlap="1" relativeHeight="2">
            <wp:simplePos x="0" y="0"/>
            <wp:positionH relativeFrom="column">
              <wp:posOffset>-694690</wp:posOffset>
            </wp:positionH>
            <wp:positionV relativeFrom="paragraph">
              <wp:posOffset>-704215</wp:posOffset>
            </wp:positionV>
            <wp:extent cx="1640205" cy="1329055"/>
            <wp:effectExtent l="0" t="0" r="0" b="0"/>
            <wp:wrapSquare wrapText="bothSides"/>
            <wp:docPr id="1" name="Picture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4" descr=""/>
                    <pic:cNvPicPr>
                      <a:picLocks noChangeAspect="1" noChangeArrowheads="1"/>
                    </pic:cNvPicPr>
                  </pic:nvPicPr>
                  <pic:blipFill>
                    <a:blip r:embed="rId2"/>
                    <a:stretch>
                      <a:fillRect/>
                    </a:stretch>
                  </pic:blipFill>
                  <pic:spPr bwMode="auto">
                    <a:xfrm>
                      <a:off x="0" y="0"/>
                      <a:ext cx="1640205" cy="1329055"/>
                    </a:xfrm>
                    <a:prstGeom prst="rect">
                      <a:avLst/>
                    </a:prstGeom>
                  </pic:spPr>
                </pic:pic>
              </a:graphicData>
            </a:graphic>
          </wp:anchor>
        </w:drawing>
        <w:drawing>
          <wp:anchor behindDoc="0" distT="0" distB="0" distL="0" distR="0" simplePos="0" locked="0" layoutInCell="1" allowOverlap="1" relativeHeight="3">
            <wp:simplePos x="0" y="0"/>
            <wp:positionH relativeFrom="page">
              <wp:posOffset>6062345</wp:posOffset>
            </wp:positionH>
            <wp:positionV relativeFrom="page">
              <wp:posOffset>0</wp:posOffset>
            </wp:positionV>
            <wp:extent cx="1701165" cy="1337945"/>
            <wp:effectExtent l="0" t="0" r="0" b="0"/>
            <wp:wrapSquare wrapText="largest"/>
            <wp:docPr id="2"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descr=""/>
                    <pic:cNvPicPr>
                      <a:picLocks noChangeAspect="1" noChangeArrowheads="1"/>
                    </pic:cNvPicPr>
                  </pic:nvPicPr>
                  <pic:blipFill>
                    <a:blip r:embed="rId3"/>
                    <a:stretch>
                      <a:fillRect/>
                    </a:stretch>
                  </pic:blipFill>
                  <pic:spPr bwMode="auto">
                    <a:xfrm>
                      <a:off x="0" y="0"/>
                      <a:ext cx="1701165" cy="1337945"/>
                    </a:xfrm>
                    <a:prstGeom prst="rect">
                      <a:avLst/>
                    </a:prstGeom>
                  </pic:spPr>
                </pic:pic>
              </a:graphicData>
            </a:graphic>
          </wp:anchor>
        </w:drawing>
      </w:r>
    </w:p>
    <w:p>
      <w:pPr>
        <w:pStyle w:val="Normal"/>
        <w:spacing w:before="1995" w:after="1995"/>
        <w:ind w:hanging="0"/>
        <w:jc w:val="both"/>
        <w:rPr/>
      </w:pPr>
      <w:r>
        <w:rPr>
          <w:b/>
          <w:bCs/>
          <w:sz w:val="28"/>
          <w:szCs w:val="28"/>
        </w:rPr>
        <w:t xml:space="preserve"> </w:t>
      </w:r>
      <w:r>
        <w:rPr>
          <w:b/>
          <w:bCs/>
          <w:sz w:val="28"/>
          <w:szCs w:val="28"/>
        </w:rPr>
        <w:t>L</w:t>
      </w:r>
      <w:r>
        <w:rPr>
          <w:rFonts w:cs="" w:cstheme="majorBidi"/>
          <w:b/>
          <w:bCs/>
          <w:sz w:val="28"/>
          <w:szCs w:val="28"/>
        </w:rPr>
        <w:t>ibyan International Medical University Faculty of Applied Medical Science.</w:t>
      </w:r>
    </w:p>
    <w:p>
      <w:pPr>
        <w:pStyle w:val="Normal"/>
        <w:rPr>
          <w:rFonts w:cs="" w:asciiTheme="majorBidi" w:cstheme="majorBidi" w:hAnsiTheme="majorBidi"/>
          <w:b/>
          <w:b/>
          <w:bCs/>
          <w:sz w:val="28"/>
          <w:szCs w:val="28"/>
        </w:rPr>
      </w:pPr>
      <w:r>
        <w:rPr>
          <w:rFonts w:cs="" w:asciiTheme="majorBidi" w:cstheme="majorBidi" w:hAnsiTheme="majorBidi"/>
          <w:b/>
          <w:bCs/>
          <w:sz w:val="28"/>
          <w:szCs w:val="28"/>
        </w:rPr>
      </w:r>
    </w:p>
    <w:p>
      <w:pPr>
        <w:pStyle w:val="Normal"/>
        <w:rPr>
          <w:rFonts w:cs="" w:asciiTheme="majorBidi" w:cstheme="majorBidi" w:hAnsiTheme="majorBidi"/>
          <w:b/>
          <w:b/>
          <w:bCs/>
          <w:sz w:val="28"/>
          <w:szCs w:val="28"/>
        </w:rPr>
      </w:pPr>
      <w:r>
        <w:rPr>
          <w:rFonts w:cs="" w:asciiTheme="majorBidi" w:cstheme="majorBidi" w:hAnsiTheme="majorBidi"/>
          <w:b/>
          <w:bCs/>
          <w:sz w:val="28"/>
          <w:szCs w:val="28"/>
        </w:rPr>
      </w:r>
    </w:p>
    <w:p>
      <w:pPr>
        <w:pStyle w:val="Normal"/>
        <w:rPr>
          <w:rFonts w:cs="" w:asciiTheme="majorBidi" w:cstheme="majorBidi" w:hAnsiTheme="majorBidi"/>
          <w:b/>
          <w:b/>
          <w:bCs/>
        </w:rPr>
      </w:pPr>
      <w:r>
        <w:rPr>
          <w:rFonts w:cs="" w:asciiTheme="majorBidi" w:cstheme="majorBidi" w:hAnsiTheme="majorBidi"/>
          <w:b/>
          <w:bCs/>
        </w:rPr>
      </w:r>
    </w:p>
    <w:p>
      <w:pPr>
        <w:pStyle w:val="Normal"/>
        <w:spacing w:lineRule="auto" w:line="276"/>
        <w:jc w:val="both"/>
        <w:rPr>
          <w:b/>
          <w:b/>
          <w:bCs/>
          <w:sz w:val="36"/>
          <w:szCs w:val="36"/>
        </w:rPr>
      </w:pPr>
      <w:r>
        <w:rPr>
          <w:rFonts w:cs="" w:cstheme="majorBidi"/>
          <w:b/>
          <w:bCs/>
          <w:sz w:val="36"/>
          <w:szCs w:val="36"/>
        </w:rPr>
        <w:t>The difference between males and females urine output after using Lasix.</w:t>
      </w:r>
    </w:p>
    <w:p>
      <w:pPr>
        <w:pStyle w:val="Normal"/>
        <w:spacing w:before="1881" w:after="1881"/>
        <w:rPr/>
      </w:pPr>
      <w:r>
        <w:rPr/>
      </w:r>
    </w:p>
    <w:p>
      <w:pPr>
        <w:pStyle w:val="Normal"/>
        <w:spacing w:lineRule="auto" w:line="276"/>
        <w:jc w:val="left"/>
        <w:rPr>
          <w:sz w:val="32"/>
          <w:szCs w:val="32"/>
        </w:rPr>
      </w:pPr>
      <w:r>
        <w:rPr>
          <w:rFonts w:cs="" w:cstheme="majorBidi"/>
          <w:b/>
          <w:bCs/>
          <w:sz w:val="32"/>
          <w:szCs w:val="32"/>
        </w:rPr>
        <w:t>Students name:  Taha Teitali</w:t>
      </w:r>
    </w:p>
    <w:p>
      <w:pPr>
        <w:pStyle w:val="Normal"/>
        <w:spacing w:lineRule="auto" w:line="276"/>
        <w:jc w:val="left"/>
        <w:rPr>
          <w:sz w:val="32"/>
          <w:szCs w:val="32"/>
        </w:rPr>
      </w:pPr>
      <w:r>
        <w:rPr>
          <w:rFonts w:cs="" w:cstheme="majorBidi"/>
          <w:b/>
          <w:bCs/>
          <w:sz w:val="32"/>
          <w:szCs w:val="32"/>
        </w:rPr>
        <w:t xml:space="preserve">Students number: 2655 </w:t>
      </w:r>
    </w:p>
    <w:p>
      <w:pPr>
        <w:pStyle w:val="Normal"/>
        <w:spacing w:lineRule="auto" w:line="276"/>
        <w:jc w:val="left"/>
        <w:rPr/>
      </w:pPr>
      <w:r>
        <w:rPr>
          <w:rFonts w:cs="" w:cstheme="majorBidi"/>
          <w:b/>
          <w:bCs/>
          <w:sz w:val="32"/>
          <w:szCs w:val="32"/>
        </w:rPr>
        <w:t>Students Group: A3</w:t>
      </w:r>
    </w:p>
    <w:p>
      <w:pPr>
        <w:pStyle w:val="Normal"/>
        <w:spacing w:lineRule="auto" w:line="276"/>
        <w:jc w:val="left"/>
        <w:rPr/>
      </w:pPr>
      <w:r>
        <w:rPr>
          <w:rFonts w:cs="" w:cstheme="majorBidi"/>
          <w:b/>
          <w:bCs/>
          <w:sz w:val="32"/>
          <w:szCs w:val="32"/>
        </w:rPr>
        <w:t xml:space="preserve">Supervised by: Dr. </w:t>
      </w:r>
      <w:r>
        <w:rPr>
          <w:rFonts w:cs="" w:cstheme="majorBidi"/>
          <w:b/>
          <w:bCs/>
          <w:sz w:val="32"/>
          <w:szCs w:val="32"/>
        </w:rPr>
        <w:t>Basma</w:t>
      </w:r>
    </w:p>
    <w:p>
      <w:pPr>
        <w:pStyle w:val="Normal"/>
        <w:spacing w:lineRule="auto" w:line="276"/>
        <w:jc w:val="left"/>
        <w:rPr/>
      </w:pPr>
      <w:r>
        <w:rPr>
          <w:rFonts w:cs="" w:cstheme="majorBidi"/>
          <w:b/>
          <w:bCs/>
          <w:sz w:val="32"/>
          <w:szCs w:val="32"/>
        </w:rPr>
        <w:t>Assistant: Mr. Ahmed Eljibanni.</w:t>
      </w:r>
      <w:r>
        <w:br w:type="page"/>
      </w:r>
    </w:p>
    <w:p>
      <w:pPr>
        <w:pStyle w:val="Normal"/>
        <w:rPr/>
      </w:pPr>
      <w:r>
        <w:rPr/>
      </w:r>
    </w:p>
    <w:p>
      <w:pPr>
        <w:pStyle w:val="Normal"/>
        <w:spacing w:before="2166" w:after="2166"/>
        <w:rPr>
          <w:b/>
          <w:b/>
          <w:bCs/>
          <w:sz w:val="28"/>
          <w:szCs w:val="28"/>
        </w:rPr>
      </w:pPr>
      <w:r>
        <w:rPr>
          <w:b/>
          <w:bCs/>
          <w:sz w:val="28"/>
          <w:szCs w:val="28"/>
        </w:rPr>
        <w:t>Abstract</w:t>
      </w:r>
    </w:p>
    <w:p>
      <w:pPr>
        <w:pStyle w:val="Normal"/>
        <w:rPr/>
      </w:pPr>
      <w:r>
        <w:rPr/>
      </w:r>
    </w:p>
    <w:p>
      <w:pPr>
        <w:pStyle w:val="Normal"/>
        <w:spacing w:lineRule="auto" w:line="360"/>
        <w:rPr>
          <w:rFonts w:ascii="Times New Roman" w:hAnsi="Times New Roman"/>
          <w:sz w:val="24"/>
          <w:szCs w:val="24"/>
        </w:rPr>
      </w:pPr>
      <w:r>
        <w:rPr>
          <w:sz w:val="24"/>
          <w:szCs w:val="24"/>
        </w:rPr>
        <w:t>The norm value of urinating everyday should be 800-2000mm, that means approximately 2 liter productivity according to several theoris. Lasix is classified as a diuretic, therefor it works in the kidney where the loop of henle is located.</w:t>
      </w:r>
      <w:r>
        <w:rPr>
          <w:sz w:val="24"/>
          <w:szCs w:val="24"/>
          <w:vertAlign w:val="superscript"/>
        </w:rPr>
        <w:t xml:space="preserve">11 </w:t>
      </w:r>
      <w:r>
        <w:rPr>
          <w:sz w:val="24"/>
          <w:szCs w:val="24"/>
        </w:rPr>
        <w:t>Lasix suppress several minerals reabsorption such as water, sodium, and chloride, therfor preventing such coincidence such as edema and diffused lymphedema.</w:t>
      </w:r>
      <w:r>
        <w:rPr>
          <w:sz w:val="24"/>
          <w:szCs w:val="24"/>
          <w:vertAlign w:val="superscript"/>
        </w:rPr>
        <w:t>11</w:t>
      </w:r>
    </w:p>
    <w:p>
      <w:pPr>
        <w:pStyle w:val="Normal"/>
        <w:spacing w:lineRule="auto" w:line="360"/>
        <w:rPr>
          <w:rFonts w:ascii="Times New Roman" w:hAnsi="Times New Roman"/>
          <w:position w:val="0"/>
          <w:sz w:val="24"/>
          <w:sz w:val="24"/>
          <w:szCs w:val="24"/>
          <w:vertAlign w:val="baseline"/>
        </w:rPr>
      </w:pPr>
      <w:r>
        <w:rPr>
          <w:position w:val="0"/>
          <w:sz w:val="24"/>
          <w:sz w:val="24"/>
          <w:szCs w:val="24"/>
          <w:vertAlign w:val="baseline"/>
        </w:rPr>
        <w:t xml:space="preserve">In this reaserch, male and female rats were used to test the urine output after using lasix in vitro. </w:t>
      </w:r>
      <w:r>
        <w:rPr>
          <w:b w:val="false"/>
          <w:i w:val="false"/>
          <w:caps w:val="false"/>
          <w:smallCaps w:val="false"/>
          <w:color w:val="212529"/>
          <w:spacing w:val="0"/>
          <w:position w:val="0"/>
          <w:sz w:val="24"/>
          <w:sz w:val="24"/>
          <w:szCs w:val="24"/>
          <w:vertAlign w:val="baseline"/>
          <w:lang w:bidi="ar-LY"/>
        </w:rPr>
        <w:t>The normal urine production of females have the normal urine production of 367.2 /104.9 ml in 6 hours, with the extension of 216.0 to 518.4 ml, meanwhile the males normal urine yield of males is 468.0/ 114.02 ml in 6 hours, within the limitation of 302.4 to 604.8 ml.</w:t>
      </w:r>
    </w:p>
    <w:p>
      <w:pPr>
        <w:pStyle w:val="Normal"/>
        <w:rPr/>
      </w:pPr>
      <w:r>
        <w:rPr/>
      </w:r>
      <w:r>
        <w:br w:type="page"/>
      </w:r>
    </w:p>
    <w:p>
      <w:pPr>
        <w:pStyle w:val="Normal"/>
        <w:rPr/>
      </w:pPr>
      <w:r>
        <w:rPr/>
      </w:r>
    </w:p>
    <w:p>
      <w:pPr>
        <w:pStyle w:val="Normal"/>
        <w:rPr/>
      </w:pPr>
      <w:r>
        <w:rPr>
          <w:b/>
          <w:bCs/>
          <w:sz w:val="28"/>
          <w:szCs w:val="28"/>
        </w:rPr>
        <w:t>Introduction</w:t>
      </w:r>
    </w:p>
    <w:p>
      <w:pPr>
        <w:pStyle w:val="Normal"/>
        <w:rPr/>
      </w:pPr>
      <w:r>
        <w:rPr/>
      </w:r>
    </w:p>
    <w:p>
      <w:pPr>
        <w:pStyle w:val="Normal"/>
        <w:spacing w:lineRule="auto" w:line="360"/>
        <w:rPr>
          <w:rFonts w:ascii="Times New Roman" w:hAnsi="Times New Roman"/>
          <w:sz w:val="24"/>
          <w:szCs w:val="24"/>
        </w:rPr>
      </w:pPr>
      <w:r>
        <w:rPr>
          <w:sz w:val="24"/>
          <w:szCs w:val="24"/>
        </w:rPr>
        <w:t>Typical urination is 800-2000 mm each day on the off chance that you take in around 2 liters of liquid all through the day. However, ordinary values can change in several research facilities. Few laboratories will utilize diverse tests or estimations to reach their conclusions. Get a urine yield test and your specialist will be able to clarify the meaning of your comes about once they arrive.</w:t>
      </w:r>
      <w:r>
        <w:rPr>
          <w:sz w:val="24"/>
          <w:szCs w:val="24"/>
          <w:vertAlign w:val="superscript"/>
        </w:rPr>
        <w:t xml:space="preserve">7 </w:t>
      </w:r>
    </w:p>
    <w:p>
      <w:pPr>
        <w:pStyle w:val="Normal"/>
        <w:spacing w:lineRule="auto" w:line="360"/>
        <w:rPr>
          <w:rFonts w:ascii="Times New Roman" w:hAnsi="Times New Roman"/>
          <w:sz w:val="24"/>
          <w:szCs w:val="24"/>
          <w:vertAlign w:val="superscript"/>
        </w:rPr>
      </w:pPr>
      <w:r>
        <w:rPr>
          <w:sz w:val="24"/>
          <w:szCs w:val="24"/>
          <w:vertAlign w:val="superscript"/>
        </w:rPr>
      </w:r>
    </w:p>
    <w:p>
      <w:pPr>
        <w:pStyle w:val="Normal"/>
        <w:spacing w:lineRule="auto" w:line="360"/>
        <w:rPr>
          <w:rFonts w:ascii="Times New Roman" w:hAnsi="Times New Roman"/>
          <w:sz w:val="24"/>
          <w:szCs w:val="24"/>
        </w:rPr>
      </w:pPr>
      <w:r>
        <w:rPr>
          <w:b w:val="false"/>
          <w:i w:val="false"/>
          <w:caps w:val="false"/>
          <w:smallCaps w:val="false"/>
          <w:color w:val="333333"/>
          <w:spacing w:val="0"/>
          <w:position w:val="0"/>
          <w:sz w:val="24"/>
          <w:sz w:val="24"/>
          <w:szCs w:val="24"/>
          <w:vertAlign w:val="baseline"/>
        </w:rPr>
        <w:t xml:space="preserve">Lasix has  </w:t>
      </w:r>
      <w:r>
        <w:rPr>
          <w:b w:val="false"/>
          <w:i w:val="false"/>
          <w:iCs w:val="false"/>
          <w:color w:val="333333"/>
          <w:spacing w:val="0"/>
          <w:position w:val="0"/>
          <w:sz w:val="24"/>
          <w:sz w:val="24"/>
          <w:szCs w:val="24"/>
          <w:vertAlign w:val="baseline"/>
        </w:rPr>
        <w:t>furosemide ingredients</w:t>
      </w:r>
      <w:r>
        <w:rPr>
          <w:b w:val="false"/>
          <w:i w:val="false"/>
          <w:caps w:val="false"/>
          <w:smallCaps w:val="false"/>
          <w:color w:val="333333"/>
          <w:spacing w:val="0"/>
          <w:position w:val="0"/>
          <w:sz w:val="24"/>
          <w:sz w:val="24"/>
          <w:szCs w:val="24"/>
          <w:vertAlign w:val="baseline"/>
        </w:rPr>
        <w:t>. It is often used in swelling. As studies have exhibited that m</w:t>
      </w:r>
      <w:r>
        <w:rPr>
          <w:b w:val="false"/>
          <w:i w:val="false"/>
          <w:caps w:val="false"/>
          <w:smallCaps w:val="false"/>
          <w:color w:val="202122"/>
          <w:spacing w:val="0"/>
          <w:position w:val="0"/>
          <w:sz w:val="24"/>
          <w:sz w:val="24"/>
          <w:szCs w:val="24"/>
          <w:vertAlign w:val="baseline"/>
        </w:rPr>
        <w:t>ost animals have excretory system for elimination of soluble toxic wastes. In humans, soluble wastes are excreted primarily by the urinary system and, to a lesser extent in terms of urea removed by perspiration.</w:t>
      </w:r>
      <w:r>
        <w:rPr>
          <w:b w:val="false"/>
          <w:i w:val="false"/>
          <w:caps w:val="false"/>
          <w:smallCaps w:val="false"/>
          <w:color w:val="202122"/>
          <w:spacing w:val="0"/>
          <w:sz w:val="24"/>
          <w:szCs w:val="24"/>
          <w:vertAlign w:val="superscript"/>
        </w:rPr>
        <w:t xml:space="preserve">7 </w:t>
      </w:r>
      <w:r>
        <w:rPr>
          <w:b w:val="false"/>
          <w:i w:val="false"/>
          <w:caps w:val="false"/>
          <w:smallCaps w:val="false"/>
          <w:color w:val="202122"/>
          <w:spacing w:val="0"/>
          <w:position w:val="0"/>
          <w:sz w:val="24"/>
          <w:sz w:val="24"/>
          <w:szCs w:val="24"/>
          <w:vertAlign w:val="baseline"/>
        </w:rPr>
        <w:t>The urinary system consists of the kidney, ureter, gall bladder and urethra. The system produces urine by a process of filtration, reabsorption and tubular secretion. The kidneys extract the soluble wastes from the bloodstream, as well as excess water, sugars, and a variety of other compounds. The resulting urine contains high concentrations of urea and other substances, including toxins. Urine flows from the kidneys through the ureter, bladder, and finally the urethra before passing from the body.</w:t>
      </w:r>
      <w:r>
        <w:rPr>
          <w:b w:val="false"/>
          <w:i w:val="false"/>
          <w:caps w:val="false"/>
          <w:smallCaps w:val="false"/>
          <w:color w:val="333333"/>
          <w:spacing w:val="0"/>
          <w:sz w:val="24"/>
          <w:szCs w:val="24"/>
          <w:vertAlign w:val="superscript"/>
        </w:rPr>
        <w:t>13</w:t>
      </w:r>
    </w:p>
    <w:p>
      <w:pPr>
        <w:pStyle w:val="Normal"/>
        <w:spacing w:lineRule="auto" w:line="360"/>
        <w:rPr>
          <w:rFonts w:ascii="Times New Roman" w:hAnsi="Times New Roman"/>
          <w:b w:val="false"/>
          <w:b w:val="false"/>
          <w:i w:val="false"/>
          <w:i w:val="false"/>
          <w:caps w:val="false"/>
          <w:smallCaps w:val="false"/>
          <w:color w:val="333333"/>
          <w:spacing w:val="0"/>
          <w:sz w:val="24"/>
          <w:szCs w:val="24"/>
          <w:vertAlign w:val="superscript"/>
        </w:rPr>
      </w:pPr>
      <w:r>
        <w:rPr>
          <w:b w:val="false"/>
          <w:i w:val="false"/>
          <w:caps w:val="false"/>
          <w:smallCaps w:val="false"/>
          <w:color w:val="333333"/>
          <w:spacing w:val="0"/>
          <w:sz w:val="24"/>
          <w:szCs w:val="24"/>
          <w:vertAlign w:val="superscript"/>
        </w:rPr>
      </w:r>
    </w:p>
    <w:p>
      <w:pPr>
        <w:pStyle w:val="Normal"/>
        <w:spacing w:lineRule="auto" w:line="360"/>
        <w:rPr>
          <w:rFonts w:ascii="Times New Roman" w:hAnsi="Times New Roman"/>
          <w:position w:val="0"/>
          <w:sz w:val="24"/>
          <w:sz w:val="24"/>
          <w:szCs w:val="24"/>
          <w:vertAlign w:val="baseline"/>
        </w:rPr>
      </w:pPr>
      <w:r>
        <w:rPr>
          <w:b w:val="false"/>
          <w:i w:val="false"/>
          <w:caps w:val="false"/>
          <w:smallCaps w:val="false"/>
          <w:color w:val="333333"/>
          <w:spacing w:val="0"/>
          <w:position w:val="0"/>
          <w:sz w:val="24"/>
          <w:sz w:val="24"/>
          <w:szCs w:val="24"/>
          <w:vertAlign w:val="baseline"/>
        </w:rPr>
        <w:t>From the pharmacodynamic aspect, scarce studies noticed clinically important gender impacts.</w:t>
      </w:r>
      <w:r>
        <w:rPr>
          <w:b w:val="false"/>
          <w:i w:val="false"/>
          <w:caps w:val="false"/>
          <w:smallCaps w:val="false"/>
          <w:color w:val="333333"/>
          <w:spacing w:val="0"/>
          <w:sz w:val="24"/>
          <w:szCs w:val="24"/>
          <w:vertAlign w:val="superscript"/>
        </w:rPr>
        <w:t>1-3</w:t>
      </w:r>
    </w:p>
    <w:p>
      <w:pPr>
        <w:pStyle w:val="Normal"/>
        <w:spacing w:lineRule="auto" w:line="360"/>
        <w:rPr>
          <w:rFonts w:ascii="Times New Roman" w:hAnsi="Times New Roman"/>
          <w:sz w:val="24"/>
          <w:szCs w:val="24"/>
        </w:rPr>
      </w:pPr>
      <w:r>
        <w:rPr>
          <w:b w:val="false"/>
          <w:i w:val="false"/>
          <w:caps w:val="false"/>
          <w:smallCaps w:val="false"/>
          <w:color w:val="333333"/>
          <w:spacing w:val="0"/>
          <w:position w:val="0"/>
          <w:sz w:val="24"/>
          <w:sz w:val="24"/>
          <w:szCs w:val="24"/>
          <w:vertAlign w:val="baseline"/>
        </w:rPr>
        <w:t>It is apt to consider the gender on pharmacokinetics and pharmacodynamic each drug.</w:t>
      </w:r>
    </w:p>
    <w:p>
      <w:pPr>
        <w:pStyle w:val="Normal"/>
        <w:spacing w:lineRule="auto" w:line="360"/>
        <w:rPr>
          <w:rFonts w:ascii="Times New Roman" w:hAnsi="Times New Roman"/>
          <w:b w:val="false"/>
          <w:b w:val="false"/>
          <w:i w:val="false"/>
          <w:i w:val="false"/>
          <w:caps w:val="false"/>
          <w:smallCaps w:val="false"/>
          <w:color w:val="333333"/>
          <w:spacing w:val="0"/>
          <w:position w:val="0"/>
          <w:sz w:val="24"/>
          <w:sz w:val="24"/>
          <w:szCs w:val="24"/>
          <w:vertAlign w:val="baseline"/>
        </w:rPr>
      </w:pPr>
      <w:r>
        <w:rPr>
          <w:b w:val="false"/>
          <w:i w:val="false"/>
          <w:caps w:val="false"/>
          <w:smallCaps w:val="false"/>
          <w:color w:val="333333"/>
          <w:spacing w:val="0"/>
          <w:position w:val="0"/>
          <w:sz w:val="24"/>
          <w:sz w:val="24"/>
          <w:szCs w:val="24"/>
          <w:vertAlign w:val="baseline"/>
        </w:rPr>
      </w:r>
    </w:p>
    <w:p>
      <w:pPr>
        <w:pStyle w:val="Normal"/>
        <w:spacing w:lineRule="auto" w:line="360"/>
        <w:rPr>
          <w:rFonts w:ascii="Times New Roman" w:hAnsi="Times New Roman"/>
          <w:position w:val="0"/>
          <w:sz w:val="24"/>
          <w:sz w:val="24"/>
          <w:szCs w:val="24"/>
          <w:vertAlign w:val="baseline"/>
        </w:rPr>
      </w:pPr>
      <w:r>
        <w:rPr>
          <w:b w:val="false"/>
          <w:i w:val="false"/>
          <w:caps w:val="false"/>
          <w:smallCaps w:val="false"/>
          <w:color w:val="333333"/>
          <w:spacing w:val="0"/>
          <w:position w:val="0"/>
          <w:sz w:val="24"/>
          <w:sz w:val="24"/>
          <w:szCs w:val="24"/>
          <w:vertAlign w:val="baseline"/>
        </w:rPr>
        <w:t>Researches demonstrated that genders alters the pharmacokinetics of organic anions. Although while testing female rats exhibits lower furosemide clearance as a lower renal clearance result</w:t>
      </w:r>
      <w:r>
        <w:rPr>
          <w:b w:val="false"/>
          <w:i w:val="false"/>
          <w:caps w:val="false"/>
          <w:smallCaps w:val="false"/>
          <w:color w:val="333333"/>
          <w:spacing w:val="0"/>
          <w:sz w:val="24"/>
          <w:szCs w:val="24"/>
          <w:vertAlign w:val="superscript"/>
        </w:rPr>
        <w:t>4, 5</w:t>
      </w:r>
    </w:p>
    <w:p>
      <w:pPr>
        <w:pStyle w:val="Normal"/>
        <w:spacing w:lineRule="auto" w:line="360"/>
        <w:rPr>
          <w:rFonts w:ascii="Times New Roman" w:hAnsi="Times New Roman"/>
          <w:b w:val="false"/>
          <w:b w:val="false"/>
          <w:i w:val="false"/>
          <w:i w:val="false"/>
          <w:caps w:val="false"/>
          <w:smallCaps w:val="false"/>
          <w:color w:val="333333"/>
          <w:spacing w:val="0"/>
          <w:sz w:val="24"/>
          <w:szCs w:val="24"/>
          <w:vertAlign w:val="superscript"/>
        </w:rPr>
      </w:pPr>
      <w:r>
        <w:rPr>
          <w:b w:val="false"/>
          <w:i w:val="false"/>
          <w:caps w:val="false"/>
          <w:smallCaps w:val="false"/>
          <w:color w:val="333333"/>
          <w:spacing w:val="0"/>
          <w:sz w:val="24"/>
          <w:szCs w:val="24"/>
          <w:vertAlign w:val="superscript"/>
        </w:rPr>
      </w:r>
    </w:p>
    <w:p>
      <w:pPr>
        <w:pStyle w:val="Normal"/>
        <w:spacing w:lineRule="auto" w:line="360"/>
        <w:rPr>
          <w:rFonts w:ascii="Times New Roman" w:hAnsi="Times New Roman"/>
          <w:b w:val="false"/>
          <w:b w:val="false"/>
          <w:i w:val="false"/>
          <w:i w:val="false"/>
          <w:caps w:val="false"/>
          <w:smallCaps w:val="false"/>
          <w:color w:val="333333"/>
          <w:spacing w:val="0"/>
          <w:sz w:val="24"/>
          <w:szCs w:val="24"/>
          <w:vertAlign w:val="superscript"/>
        </w:rPr>
      </w:pPr>
      <w:r>
        <w:rPr>
          <w:b w:val="false"/>
          <w:i w:val="false"/>
          <w:caps w:val="false"/>
          <w:smallCaps w:val="false"/>
          <w:color w:val="333333"/>
          <w:spacing w:val="0"/>
          <w:sz w:val="24"/>
          <w:szCs w:val="24"/>
          <w:vertAlign w:val="superscript"/>
        </w:rPr>
      </w:r>
    </w:p>
    <w:p>
      <w:pPr>
        <w:pStyle w:val="TextBody"/>
        <w:widowControl/>
        <w:numPr>
          <w:ilvl w:val="0"/>
          <w:numId w:val="1"/>
        </w:numPr>
        <w:tabs>
          <w:tab w:val="clear" w:pos="720"/>
          <w:tab w:val="left" w:pos="0" w:leader="none"/>
        </w:tabs>
        <w:spacing w:lineRule="auto" w:line="360" w:before="0" w:after="140"/>
        <w:ind w:left="707" w:hanging="0"/>
        <w:jc w:val="left"/>
        <w:rPr>
          <w:rFonts w:ascii="Times New Roman" w:hAnsi="Times New Roman"/>
          <w:b w:val="false"/>
          <w:b w:val="false"/>
          <w:i w:val="false"/>
          <w:i w:val="false"/>
          <w:caps w:val="false"/>
          <w:smallCaps w:val="false"/>
          <w:color w:val="212529"/>
          <w:spacing w:val="0"/>
          <w:sz w:val="24"/>
          <w:szCs w:val="24"/>
        </w:rPr>
      </w:pPr>
      <w:r>
        <w:rPr>
          <w:b w:val="false"/>
          <w:i w:val="false"/>
          <w:caps w:val="false"/>
          <w:smallCaps w:val="false"/>
          <w:color w:val="212529"/>
          <w:spacing w:val="0"/>
          <w:sz w:val="24"/>
          <w:szCs w:val="24"/>
        </w:rPr>
        <w:t xml:space="preserve"> </w:t>
      </w:r>
      <w:r>
        <w:rPr>
          <w:b w:val="false"/>
          <w:i w:val="false"/>
          <w:caps w:val="false"/>
          <w:smallCaps w:val="false"/>
          <w:color w:val="212529"/>
          <w:spacing w:val="0"/>
          <w:sz w:val="24"/>
          <w:szCs w:val="24"/>
        </w:rPr>
        <w:t>Fundamentally inhibits sodium &amp; chloride reabsorption within the ascending loop of Henle and proximal and distal renal tubules.</w:t>
      </w:r>
      <w:r>
        <w:rPr>
          <w:b w:val="false"/>
          <w:i w:val="false"/>
          <w:caps w:val="false"/>
          <w:smallCaps w:val="false"/>
          <w:color w:val="212529"/>
          <w:spacing w:val="0"/>
          <w:sz w:val="24"/>
          <w:szCs w:val="24"/>
          <w:vertAlign w:val="superscript"/>
        </w:rPr>
        <w:t>12</w:t>
      </w:r>
    </w:p>
    <w:p>
      <w:pPr>
        <w:pStyle w:val="TextBody"/>
        <w:widowControl/>
        <w:numPr>
          <w:ilvl w:val="0"/>
          <w:numId w:val="1"/>
        </w:numPr>
        <w:tabs>
          <w:tab w:val="clear" w:pos="720"/>
          <w:tab w:val="left" w:pos="0" w:leader="none"/>
        </w:tabs>
        <w:spacing w:lineRule="auto" w:line="360" w:before="0" w:after="140"/>
        <w:ind w:left="707" w:hanging="0"/>
        <w:jc w:val="left"/>
        <w:rPr>
          <w:rFonts w:ascii="Times New Roman" w:hAnsi="Times New Roman"/>
          <w:b w:val="false"/>
          <w:b w:val="false"/>
          <w:i w:val="false"/>
          <w:i w:val="false"/>
          <w:caps w:val="false"/>
          <w:smallCaps w:val="false"/>
          <w:color w:val="212529"/>
          <w:spacing w:val="0"/>
          <w:sz w:val="24"/>
          <w:szCs w:val="24"/>
        </w:rPr>
      </w:pPr>
      <w:r>
        <w:rPr>
          <w:b w:val="false"/>
          <w:i w:val="false"/>
          <w:caps w:val="false"/>
          <w:smallCaps w:val="false"/>
          <w:color w:val="212529"/>
          <w:spacing w:val="0"/>
          <w:sz w:val="24"/>
          <w:szCs w:val="24"/>
        </w:rPr>
        <w:t xml:space="preserve"> </w:t>
      </w:r>
      <w:r>
        <w:rPr>
          <w:b w:val="false"/>
          <w:i w:val="false"/>
          <w:caps w:val="false"/>
          <w:smallCaps w:val="false"/>
          <w:color w:val="212529"/>
          <w:spacing w:val="0"/>
          <w:sz w:val="24"/>
          <w:szCs w:val="24"/>
        </w:rPr>
        <w:t>This interjection with the chloride binding cotransport framework, subsequently causing the natriuretic impact of the medicate.</w:t>
      </w:r>
      <w:r>
        <w:rPr>
          <w:b w:val="false"/>
          <w:i w:val="false"/>
          <w:caps w:val="false"/>
          <w:smallCaps w:val="false"/>
          <w:color w:val="212529"/>
          <w:spacing w:val="0"/>
          <w:sz w:val="24"/>
          <w:szCs w:val="24"/>
          <w:vertAlign w:val="superscript"/>
        </w:rPr>
        <w:t>12</w:t>
      </w:r>
    </w:p>
    <w:p>
      <w:pPr>
        <w:pStyle w:val="Normal"/>
        <w:widowControl/>
        <w:spacing w:lineRule="auto" w:line="360" w:before="0" w:after="140"/>
        <w:jc w:val="left"/>
        <w:rPr>
          <w:rFonts w:ascii="Times New Roman" w:hAnsi="Times New Roman"/>
          <w:b w:val="false"/>
          <w:b w:val="false"/>
          <w:i w:val="false"/>
          <w:i w:val="false"/>
          <w:caps w:val="false"/>
          <w:smallCaps w:val="false"/>
          <w:color w:val="212529"/>
          <w:spacing w:val="0"/>
          <w:sz w:val="24"/>
          <w:szCs w:val="24"/>
        </w:rPr>
      </w:pPr>
      <w:r>
        <w:rPr>
          <w:b w:val="false"/>
          <w:i w:val="false"/>
          <w:caps w:val="false"/>
          <w:smallCaps w:val="false"/>
          <w:color w:val="212529"/>
          <w:spacing w:val="0"/>
          <w:sz w:val="24"/>
          <w:szCs w:val="24"/>
        </w:rPr>
      </w:r>
    </w:p>
    <w:p>
      <w:pPr>
        <w:pStyle w:val="Normal"/>
        <w:widowControl/>
        <w:spacing w:lineRule="auto" w:line="360" w:before="0" w:after="140"/>
        <w:jc w:val="left"/>
        <w:rPr>
          <w:rFonts w:ascii="Times New Roman" w:hAnsi="Times New Roman"/>
          <w:b w:val="false"/>
          <w:b w:val="false"/>
          <w:i w:val="false"/>
          <w:i w:val="false"/>
          <w:caps w:val="false"/>
          <w:smallCaps w:val="false"/>
          <w:color w:val="212529"/>
          <w:spacing w:val="0"/>
          <w:sz w:val="24"/>
          <w:szCs w:val="24"/>
        </w:rPr>
      </w:pPr>
      <w:r>
        <w:rPr>
          <w:b w:val="false"/>
          <w:i w:val="false"/>
          <w:caps w:val="false"/>
          <w:smallCaps w:val="false"/>
          <w:color w:val="212529"/>
          <w:spacing w:val="0"/>
          <w:sz w:val="24"/>
          <w:szCs w:val="24"/>
        </w:rPr>
        <w:t>In arrange to past considers around sex contrasts in FUR pharmacokinetics, studies plotted the influence of sex on the pharmacodynamics.</w:t>
      </w:r>
    </w:p>
    <w:p>
      <w:pPr>
        <w:pStyle w:val="Normal"/>
        <w:widowControl/>
        <w:spacing w:lineRule="auto" w:line="360" w:before="0" w:after="140"/>
        <w:jc w:val="left"/>
        <w:rPr>
          <w:rFonts w:ascii="Nunito;sans-serif" w:hAnsi="Nunito;sans-serif"/>
          <w:b w:val="false"/>
          <w:b w:val="false"/>
          <w:i w:val="false"/>
          <w:i w:val="false"/>
          <w:caps w:val="false"/>
          <w:smallCaps w:val="false"/>
          <w:color w:val="212529"/>
          <w:spacing w:val="0"/>
          <w:sz w:val="24"/>
          <w:szCs w:val="24"/>
        </w:rPr>
      </w:pPr>
      <w:r>
        <w:rPr>
          <w:rFonts w:ascii="Nunito;sans-serif" w:hAnsi="Nunito;sans-serif"/>
          <w:b w:val="false"/>
          <w:i w:val="false"/>
          <w:caps w:val="false"/>
          <w:smallCaps w:val="false"/>
          <w:color w:val="212529"/>
          <w:spacing w:val="0"/>
          <w:sz w:val="24"/>
          <w:szCs w:val="24"/>
        </w:rPr>
      </w:r>
    </w:p>
    <w:p>
      <w:pPr>
        <w:pStyle w:val="Normal"/>
        <w:widowControl/>
        <w:spacing w:lineRule="auto" w:line="276" w:before="0" w:after="140"/>
        <w:jc w:val="left"/>
        <w:rPr>
          <w:rFonts w:ascii="Nunito;sans-serif" w:hAnsi="Nunito;sans-serif"/>
          <w:b w:val="false"/>
          <w:b w:val="false"/>
          <w:i w:val="false"/>
          <w:i w:val="false"/>
          <w:caps w:val="false"/>
          <w:smallCaps w:val="false"/>
          <w:color w:val="212529"/>
          <w:spacing w:val="0"/>
          <w:sz w:val="24"/>
          <w:szCs w:val="24"/>
        </w:rPr>
      </w:pPr>
      <w:r>
        <w:rPr>
          <w:rFonts w:ascii="Nunito;sans-serif" w:hAnsi="Nunito;sans-serif"/>
          <w:b w:val="false"/>
          <w:i w:val="false"/>
          <w:caps w:val="false"/>
          <w:smallCaps w:val="false"/>
          <w:color w:val="212529"/>
          <w:spacing w:val="0"/>
          <w:sz w:val="24"/>
          <w:szCs w:val="24"/>
        </w:rPr>
      </w:r>
    </w:p>
    <w:p>
      <w:pPr>
        <w:pStyle w:val="Normal"/>
        <w:widowControl/>
        <w:spacing w:lineRule="auto" w:line="276" w:before="0" w:after="140"/>
        <w:jc w:val="left"/>
        <w:rPr>
          <w:rFonts w:ascii="Times New Roman" w:hAnsi="Times New Roman"/>
          <w:b/>
          <w:b/>
          <w:bCs/>
          <w:i w:val="false"/>
          <w:i w:val="false"/>
          <w:caps w:val="false"/>
          <w:smallCaps w:val="false"/>
          <w:color w:val="212529"/>
          <w:spacing w:val="0"/>
          <w:sz w:val="28"/>
          <w:szCs w:val="28"/>
          <w:lang w:bidi="ar-LY"/>
        </w:rPr>
      </w:pPr>
      <w:r>
        <w:rPr>
          <w:b/>
          <w:bCs/>
          <w:i w:val="false"/>
          <w:caps w:val="false"/>
          <w:smallCaps w:val="false"/>
          <w:color w:val="212529"/>
          <w:spacing w:val="0"/>
          <w:sz w:val="28"/>
          <w:szCs w:val="28"/>
          <w:lang w:bidi="ar-LY"/>
        </w:rPr>
      </w:r>
    </w:p>
    <w:p>
      <w:pPr>
        <w:pStyle w:val="Normal"/>
        <w:widowControl/>
        <w:spacing w:lineRule="auto" w:line="276" w:before="0" w:after="140"/>
        <w:jc w:val="left"/>
        <w:rPr>
          <w:rFonts w:ascii="Times New Roman" w:hAnsi="Times New Roman"/>
          <w:b/>
          <w:b/>
          <w:bCs/>
          <w:i w:val="false"/>
          <w:i w:val="false"/>
          <w:caps w:val="false"/>
          <w:smallCaps w:val="false"/>
          <w:color w:val="212529"/>
          <w:spacing w:val="0"/>
          <w:sz w:val="28"/>
          <w:szCs w:val="28"/>
          <w:lang w:bidi="ar-LY"/>
        </w:rPr>
      </w:pPr>
      <w:r>
        <w:rPr>
          <w:b/>
          <w:bCs/>
          <w:i w:val="false"/>
          <w:caps w:val="false"/>
          <w:smallCaps w:val="false"/>
          <w:color w:val="212529"/>
          <w:spacing w:val="0"/>
          <w:sz w:val="28"/>
          <w:szCs w:val="28"/>
          <w:lang w:bidi="ar-LY"/>
        </w:rPr>
      </w:r>
    </w:p>
    <w:p>
      <w:pPr>
        <w:pStyle w:val="Normal"/>
        <w:widowControl/>
        <w:spacing w:lineRule="auto" w:line="276" w:before="0" w:after="140"/>
        <w:jc w:val="left"/>
        <w:rPr>
          <w:rFonts w:ascii="Times New Roman" w:hAnsi="Times New Roman"/>
          <w:b/>
          <w:b/>
          <w:bCs/>
          <w:i w:val="false"/>
          <w:i w:val="false"/>
          <w:caps w:val="false"/>
          <w:smallCaps w:val="false"/>
          <w:color w:val="212529"/>
          <w:spacing w:val="0"/>
          <w:sz w:val="28"/>
          <w:szCs w:val="28"/>
          <w:lang w:bidi="ar-LY"/>
        </w:rPr>
      </w:pPr>
      <w:r>
        <w:rPr>
          <w:b/>
          <w:bCs/>
          <w:i w:val="false"/>
          <w:caps w:val="false"/>
          <w:smallCaps w:val="false"/>
          <w:color w:val="212529"/>
          <w:spacing w:val="0"/>
          <w:sz w:val="28"/>
          <w:szCs w:val="28"/>
          <w:lang w:bidi="ar-LY"/>
        </w:rPr>
      </w:r>
    </w:p>
    <w:p>
      <w:pPr>
        <w:pStyle w:val="Normal"/>
        <w:widowControl/>
        <w:spacing w:lineRule="auto" w:line="276" w:before="0" w:after="140"/>
        <w:jc w:val="left"/>
        <w:rPr>
          <w:rFonts w:ascii="Times New Roman" w:hAnsi="Times New Roman"/>
          <w:b/>
          <w:b/>
          <w:bCs/>
          <w:i w:val="false"/>
          <w:i w:val="false"/>
          <w:caps w:val="false"/>
          <w:smallCaps w:val="false"/>
          <w:color w:val="212529"/>
          <w:spacing w:val="0"/>
          <w:sz w:val="28"/>
          <w:szCs w:val="28"/>
          <w:lang w:bidi="ar-LY"/>
        </w:rPr>
      </w:pPr>
      <w:r>
        <w:rPr>
          <w:b/>
          <w:bCs/>
          <w:i w:val="false"/>
          <w:caps w:val="false"/>
          <w:smallCaps w:val="false"/>
          <w:color w:val="212529"/>
          <w:spacing w:val="0"/>
          <w:sz w:val="28"/>
          <w:szCs w:val="28"/>
          <w:lang w:bidi="ar-LY"/>
        </w:rPr>
      </w:r>
    </w:p>
    <w:p>
      <w:pPr>
        <w:pStyle w:val="Normal"/>
        <w:widowControl/>
        <w:spacing w:lineRule="auto" w:line="276" w:before="0" w:after="140"/>
        <w:jc w:val="left"/>
        <w:rPr>
          <w:rFonts w:ascii="Times New Roman" w:hAnsi="Times New Roman"/>
          <w:b/>
          <w:b/>
          <w:bCs/>
          <w:i w:val="false"/>
          <w:i w:val="false"/>
          <w:caps w:val="false"/>
          <w:smallCaps w:val="false"/>
          <w:color w:val="212529"/>
          <w:spacing w:val="0"/>
          <w:sz w:val="28"/>
          <w:szCs w:val="28"/>
          <w:lang w:bidi="ar-LY"/>
        </w:rPr>
      </w:pPr>
      <w:r>
        <w:rPr>
          <w:b/>
          <w:bCs/>
          <w:i w:val="false"/>
          <w:caps w:val="false"/>
          <w:smallCaps w:val="false"/>
          <w:color w:val="212529"/>
          <w:spacing w:val="0"/>
          <w:sz w:val="28"/>
          <w:szCs w:val="28"/>
          <w:lang w:bidi="ar-LY"/>
        </w:rPr>
        <w:t>Materials and methods</w:t>
      </w:r>
    </w:p>
    <w:p>
      <w:pPr>
        <w:pStyle w:val="Normal"/>
        <w:widowControl/>
        <w:spacing w:lineRule="auto" w:line="276" w:before="0" w:after="140"/>
        <w:jc w:val="left"/>
        <w:rPr>
          <w:rFonts w:ascii="Times New Roman" w:hAnsi="Times New Roman"/>
          <w:b/>
          <w:b/>
          <w:bCs/>
          <w:i w:val="false"/>
          <w:i w:val="false"/>
          <w:caps w:val="false"/>
          <w:smallCaps w:val="false"/>
          <w:color w:val="212529"/>
          <w:spacing w:val="0"/>
          <w:sz w:val="28"/>
          <w:szCs w:val="28"/>
          <w:lang w:bidi="ar-LY"/>
        </w:rPr>
      </w:pPr>
      <w:r>
        <w:rPr>
          <w:b/>
          <w:bCs/>
          <w:i w:val="false"/>
          <w:caps w:val="false"/>
          <w:smallCaps w:val="false"/>
          <w:color w:val="212529"/>
          <w:spacing w:val="0"/>
          <w:sz w:val="28"/>
          <w:szCs w:val="28"/>
          <w:lang w:bidi="ar-LY"/>
        </w:rPr>
      </w:r>
    </w:p>
    <w:p>
      <w:pPr>
        <w:pStyle w:val="Normal"/>
        <w:widowControl/>
        <w:spacing w:lineRule="auto" w:line="276" w:before="0" w:after="140"/>
        <w:jc w:val="left"/>
        <w:rPr>
          <w:rFonts w:ascii="Times New Roman" w:hAnsi="Times New Roman"/>
          <w:b/>
          <w:b/>
          <w:bCs/>
          <w:i w:val="false"/>
          <w:i w:val="false"/>
          <w:caps w:val="false"/>
          <w:smallCaps w:val="false"/>
          <w:color w:val="212529"/>
          <w:spacing w:val="0"/>
          <w:sz w:val="28"/>
          <w:szCs w:val="28"/>
          <w:lang w:bidi="ar-LY"/>
        </w:rPr>
      </w:pPr>
      <w:r>
        <w:rPr>
          <w:b/>
          <w:bCs/>
          <w:i w:val="false"/>
          <w:caps w:val="false"/>
          <w:smallCaps w:val="false"/>
          <w:color w:val="212529"/>
          <w:spacing w:val="0"/>
          <w:sz w:val="28"/>
          <w:szCs w:val="28"/>
          <w:lang w:bidi="ar-LY"/>
        </w:rPr>
      </w:r>
    </w:p>
    <w:p>
      <w:pPr>
        <w:pStyle w:val="Normal"/>
        <w:widowControl/>
        <w:spacing w:lineRule="auto" w:line="360" w:before="57" w:after="197"/>
        <w:jc w:val="left"/>
        <w:rPr>
          <w:rFonts w:ascii="Times New Roman" w:hAnsi="Times New Roman"/>
          <w:b w:val="false"/>
          <w:b w:val="false"/>
          <w:i w:val="false"/>
          <w:i w:val="false"/>
          <w:caps w:val="false"/>
          <w:smallCaps w:val="false"/>
          <w:color w:val="212529"/>
          <w:spacing w:val="0"/>
          <w:sz w:val="24"/>
          <w:szCs w:val="24"/>
          <w:lang w:bidi="ar-LY"/>
        </w:rPr>
      </w:pPr>
      <w:r>
        <w:rPr>
          <w:b w:val="false"/>
          <w:i w:val="false"/>
          <w:caps w:val="false"/>
          <w:smallCaps w:val="false"/>
          <w:color w:val="212529"/>
          <w:spacing w:val="0"/>
          <w:sz w:val="24"/>
          <w:szCs w:val="24"/>
          <w:lang w:bidi="ar-LY"/>
        </w:rPr>
        <w:t xml:space="preserve">Matured male and female Wistar rats matured 110–130 days were used throughout the study. The creatures were permitted free get to to a standard laboratory chow and tap water and were precisely placed  in a temperature and sticky environment with customary light cycles (12 h). </w:t>
      </w:r>
    </w:p>
    <w:p>
      <w:pPr>
        <w:pStyle w:val="Normal"/>
        <w:widowControl/>
        <w:spacing w:lineRule="auto" w:line="360" w:before="0" w:after="140"/>
        <w:jc w:val="left"/>
        <w:rPr>
          <w:rFonts w:ascii="Times New Roman" w:hAnsi="Times New Roman"/>
          <w:b w:val="false"/>
          <w:b w:val="false"/>
          <w:i w:val="false"/>
          <w:i w:val="false"/>
          <w:caps w:val="false"/>
          <w:smallCaps w:val="false"/>
          <w:color w:val="212529"/>
          <w:spacing w:val="0"/>
          <w:sz w:val="24"/>
          <w:szCs w:val="24"/>
          <w:lang w:bidi="ar-LY"/>
        </w:rPr>
      </w:pPr>
      <w:r>
        <w:rPr>
          <w:b w:val="false"/>
          <w:i w:val="false"/>
          <w:caps w:val="false"/>
          <w:smallCaps w:val="false"/>
          <w:color w:val="212529"/>
          <w:spacing w:val="0"/>
          <w:sz w:val="24"/>
          <w:szCs w:val="24"/>
          <w:lang w:bidi="ar-LY"/>
        </w:rPr>
        <w:t>Four test bunches were employed for these thinks about, which are females, guys, females additionally FUR, and males with FUR. FUR was managed other than the measurements of inulin at a preparing dosage (10 mg/kg) and within the mixture solution (20 g%). Considering the sex contrasts related to the pharmacoknetics of FUR,</w:t>
      </w:r>
      <w:r>
        <w:rPr>
          <w:b w:val="false"/>
          <w:i w:val="false"/>
          <w:caps w:val="false"/>
          <w:smallCaps w:val="false"/>
          <w:color w:val="212529"/>
          <w:spacing w:val="0"/>
          <w:sz w:val="24"/>
          <w:szCs w:val="24"/>
          <w:vertAlign w:val="superscript"/>
          <w:lang w:bidi="ar-LY"/>
        </w:rPr>
        <w:t>5</w:t>
      </w:r>
      <w:r>
        <w:rPr>
          <w:b w:val="false"/>
          <w:i w:val="false"/>
          <w:caps w:val="false"/>
          <w:smallCaps w:val="false"/>
          <w:color w:val="212529"/>
          <w:spacing w:val="0"/>
          <w:sz w:val="24"/>
          <w:szCs w:val="24"/>
          <w:lang w:bidi="ar-LY"/>
        </w:rPr>
        <w:t xml:space="preserve"> Illustrations shows this dosage causes an indistinguishable excreted FUR in both sexes. These thinks about were performed as already depicted.</w:t>
      </w:r>
      <w:r>
        <w:rPr>
          <w:b w:val="false"/>
          <w:i w:val="false"/>
          <w:caps w:val="false"/>
          <w:smallCaps w:val="false"/>
          <w:color w:val="212529"/>
          <w:spacing w:val="0"/>
          <w:sz w:val="24"/>
          <w:szCs w:val="24"/>
          <w:vertAlign w:val="superscript"/>
          <w:lang w:bidi="ar-LY"/>
        </w:rPr>
        <w:t>4,9</w:t>
      </w:r>
      <w:r>
        <w:rPr>
          <w:b w:val="false"/>
          <w:i w:val="false"/>
          <w:caps w:val="false"/>
          <w:smallCaps w:val="false"/>
          <w:color w:val="212529"/>
          <w:spacing w:val="0"/>
          <w:sz w:val="24"/>
          <w:szCs w:val="24"/>
          <w:lang w:bidi="ar-LY"/>
        </w:rPr>
        <w:t xml:space="preserve"> Briefly, the creatures were anesthetized with sodium thiopental (70 mg/kg i.p.). Femoral vessels were cannulated (PE50 tubing; Intramedic), and a bladder catheter (3 mm internal diameter) was embedded through a suprapubic slit. The creatures were maintained in limiting cages all through the tests to facilitate collection of urine.</w:t>
      </w:r>
    </w:p>
    <w:p>
      <w:pPr>
        <w:pStyle w:val="Normal"/>
        <w:widowControl/>
        <w:spacing w:lineRule="auto" w:line="360" w:before="0" w:after="140"/>
        <w:jc w:val="left"/>
        <w:rPr>
          <w:rFonts w:ascii="Times New Roman" w:hAnsi="Times New Roman"/>
          <w:b w:val="false"/>
          <w:b w:val="false"/>
          <w:i w:val="false"/>
          <w:i w:val="false"/>
          <w:caps w:val="false"/>
          <w:smallCaps w:val="false"/>
          <w:color w:val="212529"/>
          <w:spacing w:val="0"/>
          <w:sz w:val="24"/>
          <w:szCs w:val="24"/>
          <w:lang w:bidi="ar-LY"/>
        </w:rPr>
      </w:pPr>
      <w:r>
        <w:rPr>
          <w:b w:val="false"/>
          <w:i w:val="false"/>
          <w:caps w:val="false"/>
          <w:smallCaps w:val="false"/>
          <w:color w:val="212529"/>
          <w:spacing w:val="0"/>
          <w:sz w:val="24"/>
          <w:szCs w:val="24"/>
          <w:lang w:bidi="ar-LY"/>
        </w:rPr>
        <w:t>Bratton and Marshall methodology specified The FUR concentrations in serum and urine.</w:t>
      </w:r>
      <w:r>
        <w:rPr>
          <w:b w:val="false"/>
          <w:i w:val="false"/>
          <w:caps w:val="false"/>
          <w:smallCaps w:val="false"/>
          <w:color w:val="212529"/>
          <w:spacing w:val="0"/>
          <w:sz w:val="24"/>
          <w:szCs w:val="24"/>
          <w:vertAlign w:val="superscript"/>
          <w:lang w:bidi="ar-LY"/>
        </w:rPr>
        <w:t>10</w:t>
      </w:r>
      <w:r>
        <w:rPr>
          <w:b w:val="false"/>
          <w:i w:val="false"/>
          <w:caps w:val="false"/>
          <w:smallCaps w:val="false"/>
          <w:color w:val="212529"/>
          <w:spacing w:val="0"/>
          <w:sz w:val="24"/>
          <w:szCs w:val="24"/>
          <w:lang w:bidi="ar-LY"/>
        </w:rPr>
        <w:t xml:space="preserve">  The procedure of Roe decided The inulin concentrations.</w:t>
      </w:r>
      <w:r>
        <w:rPr>
          <w:b w:val="false"/>
          <w:i w:val="false"/>
          <w:caps w:val="false"/>
          <w:smallCaps w:val="false"/>
          <w:color w:val="212529"/>
          <w:spacing w:val="0"/>
          <w:sz w:val="24"/>
          <w:szCs w:val="24"/>
          <w:vertAlign w:val="superscript"/>
          <w:lang w:bidi="ar-LY"/>
        </w:rPr>
        <w:t>14</w:t>
      </w:r>
    </w:p>
    <w:p>
      <w:pPr>
        <w:pStyle w:val="Normal"/>
        <w:widowControl/>
        <w:spacing w:lineRule="auto" w:line="360" w:before="0" w:after="140"/>
        <w:jc w:val="left"/>
        <w:rPr>
          <w:rFonts w:ascii="Times New Roman" w:hAnsi="Times New Roman"/>
          <w:b w:val="false"/>
          <w:b w:val="false"/>
          <w:i w:val="false"/>
          <w:i w:val="false"/>
          <w:caps w:val="false"/>
          <w:smallCaps w:val="false"/>
          <w:color w:val="212529"/>
          <w:spacing w:val="0"/>
          <w:sz w:val="24"/>
          <w:szCs w:val="24"/>
          <w:lang w:bidi="ar-LY"/>
        </w:rPr>
      </w:pPr>
      <w:r>
        <w:rPr>
          <w:b w:val="false"/>
          <w:i w:val="false"/>
          <w:caps w:val="false"/>
          <w:smallCaps w:val="false"/>
          <w:color w:val="212529"/>
          <w:spacing w:val="0"/>
          <w:sz w:val="24"/>
          <w:szCs w:val="24"/>
          <w:lang w:bidi="ar-LY"/>
        </w:rPr>
      </w:r>
    </w:p>
    <w:p>
      <w:pPr>
        <w:pStyle w:val="Normal"/>
        <w:widowControl/>
        <w:spacing w:lineRule="auto" w:line="360" w:before="0" w:after="140"/>
        <w:jc w:val="left"/>
        <w:rPr>
          <w:rFonts w:ascii="Times New Roman" w:hAnsi="Times New Roman"/>
          <w:b w:val="false"/>
          <w:b w:val="false"/>
          <w:i w:val="false"/>
          <w:i w:val="false"/>
          <w:caps w:val="false"/>
          <w:smallCaps w:val="false"/>
          <w:color w:val="212529"/>
          <w:spacing w:val="0"/>
          <w:sz w:val="24"/>
          <w:szCs w:val="24"/>
          <w:lang w:bidi="ar-LY"/>
        </w:rPr>
      </w:pPr>
      <w:r>
        <w:rPr>
          <w:b w:val="false"/>
          <w:i w:val="false"/>
          <w:caps w:val="false"/>
          <w:smallCaps w:val="false"/>
          <w:color w:val="212529"/>
          <w:spacing w:val="0"/>
          <w:sz w:val="24"/>
          <w:szCs w:val="24"/>
          <w:lang w:bidi="ar-LY"/>
        </w:rPr>
        <w:t>Materialistically, pure bought sigma Chemicals were from analytic grades.</w:t>
      </w:r>
    </w:p>
    <w:p>
      <w:pPr>
        <w:pStyle w:val="Normal"/>
        <w:widowControl/>
        <w:spacing w:lineRule="auto" w:line="276" w:before="570" w:after="710"/>
        <w:jc w:val="left"/>
        <w:rPr>
          <w:rFonts w:ascii="Times New Roman" w:hAnsi="Times New Roman"/>
          <w:b w:val="false"/>
          <w:b w:val="false"/>
          <w:i w:val="false"/>
          <w:i w:val="false"/>
          <w:caps w:val="false"/>
          <w:smallCaps w:val="false"/>
          <w:color w:val="212529"/>
          <w:spacing w:val="0"/>
          <w:sz w:val="24"/>
          <w:szCs w:val="24"/>
          <w:lang w:bidi="ar-LY"/>
        </w:rPr>
      </w:pPr>
      <w:r>
        <w:rPr>
          <w:b w:val="false"/>
          <w:i w:val="false"/>
          <w:caps w:val="false"/>
          <w:smallCaps w:val="false"/>
          <w:color w:val="212529"/>
          <w:spacing w:val="0"/>
          <w:sz w:val="24"/>
          <w:szCs w:val="24"/>
          <w:lang w:bidi="ar-LY"/>
        </w:rPr>
      </w:r>
    </w:p>
    <w:p>
      <w:pPr>
        <w:pStyle w:val="Normal"/>
        <w:widowControl/>
        <w:spacing w:before="0" w:after="140"/>
        <w:jc w:val="left"/>
        <w:rPr>
          <w:rFonts w:ascii="Times New Roman" w:hAnsi="Times New Roman"/>
          <w:b w:val="false"/>
          <w:b w:val="false"/>
          <w:i w:val="false"/>
          <w:i w:val="false"/>
          <w:caps w:val="false"/>
          <w:smallCaps w:val="false"/>
          <w:color w:val="212529"/>
          <w:spacing w:val="0"/>
          <w:sz w:val="21"/>
          <w:lang w:bidi="ar-LY"/>
        </w:rPr>
      </w:pPr>
      <w:r>
        <w:rPr>
          <w:b/>
          <w:bCs/>
          <w:i w:val="false"/>
          <w:caps w:val="false"/>
          <w:smallCaps w:val="false"/>
          <w:color w:val="212529"/>
          <w:spacing w:val="0"/>
          <w:sz w:val="21"/>
          <w:lang w:bidi="ar-LY"/>
        </w:rPr>
        <w:t xml:space="preserve"> </w:t>
      </w:r>
      <w:r>
        <w:rPr>
          <w:b/>
          <w:bCs/>
          <w:i w:val="false"/>
          <w:caps w:val="false"/>
          <w:smallCaps w:val="false"/>
          <w:color w:val="212529"/>
          <w:spacing w:val="0"/>
          <w:sz w:val="28"/>
          <w:szCs w:val="28"/>
          <w:lang w:bidi="ar-LY"/>
        </w:rPr>
        <w:t xml:space="preserve">Results and discussions </w:t>
      </w:r>
    </w:p>
    <w:p>
      <w:pPr>
        <w:pStyle w:val="Normal"/>
        <w:widowControl/>
        <w:spacing w:before="0" w:after="140"/>
        <w:jc w:val="left"/>
        <w:rPr>
          <w:rFonts w:ascii="Times New Roman" w:hAnsi="Times New Roman"/>
          <w:b w:val="false"/>
          <w:b w:val="false"/>
          <w:i w:val="false"/>
          <w:i w:val="false"/>
          <w:caps w:val="false"/>
          <w:smallCaps w:val="false"/>
          <w:color w:val="212529"/>
          <w:spacing w:val="0"/>
          <w:sz w:val="21"/>
          <w:lang w:bidi="ar-LY"/>
        </w:rPr>
      </w:pPr>
      <w:r>
        <w:rPr>
          <w:b w:val="false"/>
          <w:i w:val="false"/>
          <w:caps w:val="false"/>
          <w:smallCaps w:val="false"/>
          <w:color w:val="212529"/>
          <w:spacing w:val="0"/>
          <w:sz w:val="21"/>
          <w:lang w:bidi="ar-LY"/>
        </w:rPr>
      </w:r>
    </w:p>
    <w:p>
      <w:pPr>
        <w:pStyle w:val="Normal"/>
        <w:widowControl/>
        <w:spacing w:lineRule="auto" w:line="360" w:before="0" w:after="140"/>
        <w:jc w:val="left"/>
        <w:rPr>
          <w:rFonts w:ascii="Times New Roman" w:hAnsi="Times New Roman"/>
          <w:b w:val="false"/>
          <w:b w:val="false"/>
          <w:i w:val="false"/>
          <w:i w:val="false"/>
          <w:caps w:val="false"/>
          <w:smallCaps w:val="false"/>
          <w:color w:val="212529"/>
          <w:spacing w:val="0"/>
          <w:sz w:val="24"/>
          <w:szCs w:val="24"/>
          <w:lang w:bidi="ar-LY"/>
        </w:rPr>
      </w:pPr>
      <w:r>
        <w:rPr>
          <w:b w:val="false"/>
          <w:i w:val="false"/>
          <w:caps w:val="false"/>
          <w:smallCaps w:val="false"/>
          <w:color w:val="212529"/>
          <w:spacing w:val="0"/>
          <w:sz w:val="24"/>
          <w:szCs w:val="24"/>
          <w:lang w:bidi="ar-LY"/>
        </w:rPr>
        <w:t>Within the lion's share of the cases, when both female and males were examined, the results were grouped together, and there was no examination of sex differences. In spite of the fact that the FDA and other administrative authorities required more support of females in clinical trials after noticed the issue of underrepresentation of female, small is known approximately sedate impacts in female when compared to males. For a number of drugs it is well noticed that ladies endure more as often as possible from side effects; in any case, it is often not clear whether this can be due to gender contrasts within the pharmacokinetics or pharmacodynamics of the capable drug.</w:t>
      </w:r>
      <w:r>
        <w:rPr>
          <w:b w:val="false"/>
          <w:i w:val="false"/>
          <w:caps w:val="false"/>
          <w:smallCaps w:val="false"/>
          <w:color w:val="212529"/>
          <w:spacing w:val="0"/>
          <w:sz w:val="24"/>
          <w:szCs w:val="24"/>
          <w:vertAlign w:val="superscript"/>
          <w:lang w:bidi="ar-LY"/>
        </w:rPr>
        <w:t xml:space="preserve">8,6 </w:t>
      </w:r>
      <w:r>
        <w:rPr>
          <w:b w:val="false"/>
          <w:i w:val="false"/>
          <w:caps w:val="false"/>
          <w:smallCaps w:val="false"/>
          <w:color w:val="212529"/>
          <w:spacing w:val="0"/>
          <w:position w:val="0"/>
          <w:sz w:val="24"/>
          <w:sz w:val="24"/>
          <w:szCs w:val="24"/>
          <w:vertAlign w:val="baseline"/>
          <w:lang w:bidi="ar-LY"/>
        </w:rPr>
        <w:t>The normal urine production of females have the normal urine production of 367.2 /104.9 ml in 6 hours, with the extension of 216.0 to 518.4 ml, meanwhile the males normal urine yield of males is 468.0/ 114.02 ml in 6 hours, within the limitation of 302.4 to 604.8 ml (Table 1).</w:t>
      </w:r>
    </w:p>
    <w:p>
      <w:pPr>
        <w:pStyle w:val="Normal"/>
        <w:widowControl/>
        <w:spacing w:lineRule="auto" w:line="276" w:before="0" w:after="140"/>
        <w:jc w:val="left"/>
        <w:rPr>
          <w:position w:val="0"/>
          <w:sz w:val="24"/>
          <w:sz w:val="24"/>
          <w:vertAlign w:val="baseline"/>
        </w:rPr>
      </w:pPr>
      <w:r>
        <w:rPr>
          <w:position w:val="0"/>
          <w:sz w:val="24"/>
          <w:sz w:val="24"/>
          <w:vertAlign w:val="baseline"/>
        </w:rPr>
      </w:r>
    </w:p>
    <w:p>
      <w:pPr>
        <w:pStyle w:val="Normal"/>
        <w:widowControl/>
        <w:spacing w:lineRule="auto" w:line="276" w:before="0" w:after="140"/>
        <w:jc w:val="left"/>
        <w:rPr>
          <w:position w:val="0"/>
          <w:sz w:val="24"/>
          <w:sz w:val="24"/>
          <w:vertAlign w:val="baseline"/>
        </w:rPr>
      </w:pPr>
      <w:r>
        <w:rPr>
          <w:position w:val="0"/>
          <w:sz w:val="24"/>
          <w:sz w:val="24"/>
          <w:vertAlign w:val="baseline"/>
        </w:rPr>
      </w:r>
    </w:p>
    <w:p>
      <w:pPr>
        <w:pStyle w:val="Normal"/>
        <w:widowControl/>
        <w:spacing w:lineRule="auto" w:line="276" w:before="0" w:after="140"/>
        <w:jc w:val="left"/>
        <w:rPr>
          <w:position w:val="0"/>
          <w:sz w:val="24"/>
          <w:sz w:val="24"/>
          <w:vertAlign w:val="baseline"/>
        </w:rPr>
      </w:pPr>
      <w:r>
        <w:rPr>
          <w:position w:val="0"/>
          <w:sz w:val="24"/>
          <w:sz w:val="24"/>
          <w:vertAlign w:val="baseline"/>
        </w:rPr>
      </w:r>
    </w:p>
    <w:p>
      <w:pPr>
        <w:pStyle w:val="Normal"/>
        <w:widowControl/>
        <w:spacing w:before="0" w:after="140"/>
        <w:jc w:val="left"/>
        <w:rPr>
          <w:vertAlign w:val="superscript"/>
        </w:rPr>
      </w:pPr>
      <w:r>
        <w:rPr>
          <w:vertAlign w:val="superscript"/>
        </w:rPr>
      </w:r>
    </w:p>
    <w:p>
      <w:pPr>
        <w:pStyle w:val="Normal"/>
        <w:widowControl/>
        <w:spacing w:before="0" w:after="140"/>
        <w:jc w:val="left"/>
        <w:rPr>
          <w:rFonts w:ascii="Times New Roman" w:hAnsi="Times New Roman"/>
          <w:b w:val="false"/>
          <w:b w:val="false"/>
          <w:i w:val="false"/>
          <w:i w:val="false"/>
          <w:caps w:val="false"/>
          <w:smallCaps w:val="false"/>
          <w:color w:val="212529"/>
          <w:spacing w:val="0"/>
          <w:position w:val="0"/>
          <w:sz w:val="24"/>
          <w:sz w:val="16"/>
          <w:szCs w:val="16"/>
          <w:vertAlign w:val="baseline"/>
          <w:lang w:bidi="ar-LY"/>
        </w:rPr>
      </w:pPr>
      <w:r>
        <w:rPr>
          <w:b w:val="false"/>
          <w:i w:val="false"/>
          <w:caps w:val="false"/>
          <w:smallCaps w:val="false"/>
          <w:color w:val="212529"/>
          <w:spacing w:val="0"/>
          <w:position w:val="0"/>
          <w:sz w:val="16"/>
          <w:sz w:val="16"/>
          <w:szCs w:val="16"/>
          <w:vertAlign w:val="baseline"/>
          <w:lang w:bidi="ar-LY"/>
        </w:rPr>
        <w:t>Table 1: Exhibit the statistical results of the urine outflow between males and females.</w:t>
      </w:r>
    </w:p>
    <w:tbl>
      <w:tblPr>
        <w:tblpPr w:vertAnchor="text" w:horzAnchor="margin" w:leftFromText="180" w:rightFromText="180" w:tblpX="0" w:tblpY="-132"/>
        <w:tblW w:w="8616" w:type="dxa"/>
        <w:jc w:val="left"/>
        <w:tblInd w:w="0" w:type="dxa"/>
        <w:tblCellMar>
          <w:top w:w="0" w:type="dxa"/>
          <w:left w:w="0" w:type="dxa"/>
          <w:bottom w:w="0" w:type="dxa"/>
          <w:right w:w="0" w:type="dxa"/>
        </w:tblCellMar>
        <w:tblLook w:firstRow="0" w:noVBand="0" w:lastRow="0" w:firstColumn="0" w:lastColumn="0" w:noHBand="0" w:val="0000"/>
      </w:tblPr>
      <w:tblGrid>
        <w:gridCol w:w="1565"/>
        <w:gridCol w:w="1055"/>
        <w:gridCol w:w="1222"/>
        <w:gridCol w:w="1295"/>
        <w:gridCol w:w="1715"/>
        <w:gridCol w:w="1763"/>
      </w:tblGrid>
      <w:tr>
        <w:trPr>
          <w:trHeight w:val="471" w:hRule="atLeast"/>
          <w:cantSplit w:val="true"/>
        </w:trPr>
        <w:tc>
          <w:tcPr>
            <w:tcW w:w="8615" w:type="dxa"/>
            <w:gridSpan w:val="6"/>
            <w:tcBorders/>
            <w:shd w:color="auto" w:fill="FFFFFF" w:val="clear"/>
            <w:vAlign w:val="center"/>
          </w:tcPr>
          <w:p>
            <w:pPr>
              <w:pStyle w:val="Normal"/>
              <w:spacing w:lineRule="atLeast" w:line="320" w:before="0" w:after="0"/>
              <w:ind w:right="60" w:hanging="0"/>
              <w:jc w:val="center"/>
              <w:rPr/>
            </w:pPr>
            <w:r>
              <w:rPr>
                <w:rFonts w:cs="Arial" w:ascii="Arial" w:hAnsi="Arial"/>
                <w:b/>
                <w:bCs/>
                <w:color w:val="010205"/>
              </w:rPr>
              <w:t>group Statistics</w:t>
            </w:r>
          </w:p>
        </w:tc>
      </w:tr>
      <w:tr>
        <w:trPr>
          <w:trHeight w:val="471" w:hRule="atLeast"/>
          <w:cantSplit w:val="true"/>
        </w:trPr>
        <w:tc>
          <w:tcPr>
            <w:tcW w:w="1565" w:type="dxa"/>
            <w:tcBorders>
              <w:top w:val="single" w:sz="8" w:space="0" w:color="000000"/>
              <w:left w:val="single" w:sz="8" w:space="0" w:color="000000"/>
              <w:bottom w:val="single" w:sz="8" w:space="0" w:color="000000"/>
              <w:right w:val="single" w:sz="8" w:space="0" w:color="000000"/>
            </w:tcBorders>
            <w:shd w:fill="auto" w:val="clear"/>
          </w:tcPr>
          <w:p>
            <w:pPr>
              <w:pStyle w:val="Normal"/>
              <w:spacing w:lineRule="auto" w:line="240" w:before="0" w:after="0"/>
              <w:rPr>
                <w:rFonts w:ascii="Arial" w:hAnsi="Arial" w:cs="Arial"/>
                <w:color w:val="010205"/>
              </w:rPr>
            </w:pPr>
            <w:r>
              <w:rPr>
                <w:rFonts w:cs="Arial" w:ascii="Arial" w:hAnsi="Arial"/>
                <w:color w:val="010205"/>
              </w:rPr>
            </w:r>
          </w:p>
        </w:tc>
        <w:tc>
          <w:tcPr>
            <w:tcW w:w="1055" w:type="dxa"/>
            <w:tcBorders>
              <w:bottom w:val="single" w:sz="8" w:space="0" w:color="152935"/>
            </w:tcBorders>
            <w:shd w:color="auto" w:fill="FFFFFF" w:val="clear"/>
            <w:vAlign w:val="bottom"/>
          </w:tcPr>
          <w:p>
            <w:pPr>
              <w:pStyle w:val="Normal"/>
              <w:spacing w:lineRule="atLeast" w:line="320" w:before="0" w:after="0"/>
              <w:ind w:left="60" w:right="60" w:hanging="0"/>
              <w:rPr/>
            </w:pPr>
            <w:r>
              <w:rPr>
                <w:rFonts w:cs="Arial" w:ascii="Arial" w:hAnsi="Arial"/>
                <w:color w:val="264A60"/>
                <w:sz w:val="18"/>
                <w:szCs w:val="18"/>
              </w:rPr>
              <w:t>gender</w:t>
            </w:r>
          </w:p>
        </w:tc>
        <w:tc>
          <w:tcPr>
            <w:tcW w:w="1222" w:type="dxa"/>
            <w:tcBorders>
              <w:bottom w:val="single" w:sz="8" w:space="0" w:color="152935"/>
              <w:right w:val="single" w:sz="8" w:space="0" w:color="E0E0E0"/>
            </w:tcBorders>
            <w:shd w:color="auto" w:fill="FFFFFF" w:val="clear"/>
            <w:vAlign w:val="bottom"/>
          </w:tcPr>
          <w:p>
            <w:pPr>
              <w:pStyle w:val="Normal"/>
              <w:spacing w:lineRule="atLeast" w:line="320" w:before="0" w:after="0"/>
              <w:ind w:left="60" w:right="60" w:hanging="0"/>
              <w:jc w:val="center"/>
              <w:rPr/>
            </w:pPr>
            <w:r>
              <w:rPr>
                <w:rFonts w:cs="Arial" w:ascii="Arial" w:hAnsi="Arial"/>
                <w:color w:val="264A60"/>
                <w:sz w:val="18"/>
                <w:szCs w:val="18"/>
              </w:rPr>
              <w:t>N</w:t>
            </w:r>
          </w:p>
        </w:tc>
        <w:tc>
          <w:tcPr>
            <w:tcW w:w="1295" w:type="dxa"/>
            <w:tcBorders>
              <w:left w:val="single" w:sz="8" w:space="0" w:color="E0E0E0"/>
              <w:bottom w:val="single" w:sz="8" w:space="0" w:color="152935"/>
              <w:right w:val="single" w:sz="8" w:space="0" w:color="E0E0E0"/>
            </w:tcBorders>
            <w:shd w:color="auto" w:fill="FFFFFF" w:val="clear"/>
            <w:vAlign w:val="bottom"/>
          </w:tcPr>
          <w:p>
            <w:pPr>
              <w:pStyle w:val="Normal"/>
              <w:spacing w:lineRule="atLeast" w:line="320" w:before="0" w:after="0"/>
              <w:ind w:left="60" w:right="60" w:hanging="0"/>
              <w:jc w:val="center"/>
              <w:rPr/>
            </w:pPr>
            <w:r>
              <w:rPr>
                <w:rFonts w:cs="Arial" w:ascii="Arial" w:hAnsi="Arial"/>
                <w:color w:val="264A60"/>
                <w:sz w:val="18"/>
                <w:szCs w:val="18"/>
              </w:rPr>
              <w:t>Mean</w:t>
            </w:r>
          </w:p>
        </w:tc>
        <w:tc>
          <w:tcPr>
            <w:tcW w:w="1715" w:type="dxa"/>
            <w:tcBorders>
              <w:left w:val="single" w:sz="8" w:space="0" w:color="E0E0E0"/>
              <w:bottom w:val="single" w:sz="8" w:space="0" w:color="152935"/>
              <w:right w:val="single" w:sz="8" w:space="0" w:color="E0E0E0"/>
            </w:tcBorders>
            <w:shd w:color="auto" w:fill="FFFFFF" w:val="clear"/>
            <w:vAlign w:val="bottom"/>
          </w:tcPr>
          <w:p>
            <w:pPr>
              <w:pStyle w:val="Normal"/>
              <w:spacing w:lineRule="atLeast" w:line="320" w:before="0" w:after="0"/>
              <w:ind w:left="60" w:right="60" w:hanging="0"/>
              <w:jc w:val="center"/>
              <w:rPr/>
            </w:pPr>
            <w:r>
              <w:rPr>
                <w:rFonts w:cs="Arial" w:ascii="Arial" w:hAnsi="Arial"/>
                <w:color w:val="264A60"/>
                <w:sz w:val="18"/>
                <w:szCs w:val="18"/>
              </w:rPr>
              <w:t>Std. Deviation</w:t>
            </w:r>
          </w:p>
        </w:tc>
        <w:tc>
          <w:tcPr>
            <w:tcW w:w="1763" w:type="dxa"/>
            <w:tcBorders>
              <w:left w:val="single" w:sz="8" w:space="0" w:color="E0E0E0"/>
              <w:bottom w:val="single" w:sz="8" w:space="0" w:color="152935"/>
            </w:tcBorders>
            <w:shd w:color="auto" w:fill="FFFFFF" w:val="clear"/>
            <w:vAlign w:val="bottom"/>
          </w:tcPr>
          <w:p>
            <w:pPr>
              <w:pStyle w:val="Normal"/>
              <w:spacing w:lineRule="atLeast" w:line="320" w:before="0" w:after="0"/>
              <w:ind w:left="60" w:right="60" w:hanging="0"/>
              <w:jc w:val="center"/>
              <w:rPr/>
            </w:pPr>
            <w:r>
              <w:rPr>
                <w:rFonts w:cs="Arial" w:ascii="Arial" w:hAnsi="Arial"/>
                <w:color w:val="264A60"/>
                <w:sz w:val="18"/>
                <w:szCs w:val="18"/>
              </w:rPr>
              <w:t>Std. Error Mean</w:t>
            </w:r>
          </w:p>
        </w:tc>
      </w:tr>
      <w:tr>
        <w:trPr>
          <w:trHeight w:val="497" w:hRule="atLeast"/>
          <w:cantSplit w:val="true"/>
        </w:trPr>
        <w:tc>
          <w:tcPr>
            <w:tcW w:w="1565" w:type="dxa"/>
            <w:vMerge w:val="restart"/>
            <w:tcBorders>
              <w:top w:val="single" w:sz="8" w:space="0" w:color="152935"/>
              <w:bottom w:val="single" w:sz="8" w:space="0" w:color="152935"/>
            </w:tcBorders>
            <w:shd w:color="auto" w:fill="E0E0E0" w:val="clear"/>
          </w:tcPr>
          <w:p>
            <w:pPr>
              <w:pStyle w:val="Normal"/>
              <w:spacing w:lineRule="atLeast" w:line="320" w:before="0" w:after="0"/>
              <w:ind w:left="60" w:right="60" w:hanging="0"/>
              <w:rPr/>
            </w:pPr>
            <w:r>
              <w:rPr>
                <w:rFonts w:cs="Arial" w:ascii="Arial" w:hAnsi="Arial"/>
                <w:color w:val="264A60"/>
                <w:sz w:val="18"/>
                <w:szCs w:val="18"/>
              </w:rPr>
              <w:t>Urine output</w:t>
            </w:r>
          </w:p>
        </w:tc>
        <w:tc>
          <w:tcPr>
            <w:tcW w:w="1055" w:type="dxa"/>
            <w:tcBorders>
              <w:top w:val="single" w:sz="8" w:space="0" w:color="152935"/>
              <w:bottom w:val="single" w:sz="8" w:space="0" w:color="AEAEAE"/>
            </w:tcBorders>
            <w:shd w:color="auto" w:fill="E0E0E0" w:val="clear"/>
          </w:tcPr>
          <w:p>
            <w:pPr>
              <w:pStyle w:val="Normal"/>
              <w:spacing w:lineRule="atLeast" w:line="320" w:before="0" w:after="0"/>
              <w:ind w:left="60" w:right="60" w:hanging="0"/>
              <w:rPr/>
            </w:pPr>
            <w:r>
              <w:rPr>
                <w:rFonts w:cs="Arial" w:ascii="Arial" w:hAnsi="Arial"/>
                <w:color w:val="264A60"/>
                <w:sz w:val="18"/>
                <w:szCs w:val="18"/>
              </w:rPr>
              <w:t>male</w:t>
            </w:r>
          </w:p>
        </w:tc>
        <w:tc>
          <w:tcPr>
            <w:tcW w:w="1222" w:type="dxa"/>
            <w:tcBorders>
              <w:top w:val="single" w:sz="8" w:space="0" w:color="152935"/>
              <w:bottom w:val="single" w:sz="8" w:space="0" w:color="AEAEAE"/>
              <w:right w:val="single" w:sz="8" w:space="0" w:color="E0E0E0"/>
            </w:tcBorders>
            <w:shd w:color="auto" w:fill="FFFFFF" w:val="clear"/>
          </w:tcPr>
          <w:p>
            <w:pPr>
              <w:pStyle w:val="Normal"/>
              <w:spacing w:lineRule="atLeast" w:line="320" w:before="0" w:after="0"/>
              <w:ind w:left="60" w:right="60" w:hanging="0"/>
              <w:jc w:val="right"/>
              <w:rPr/>
            </w:pPr>
            <w:r>
              <w:rPr>
                <w:rFonts w:cs="Arial" w:ascii="Arial" w:hAnsi="Arial"/>
                <w:color w:val="010205"/>
                <w:sz w:val="18"/>
                <w:szCs w:val="18"/>
              </w:rPr>
              <w:t>6</w:t>
            </w:r>
          </w:p>
        </w:tc>
        <w:tc>
          <w:tcPr>
            <w:tcW w:w="1295" w:type="dxa"/>
            <w:tcBorders>
              <w:top w:val="single" w:sz="8" w:space="0" w:color="152935"/>
              <w:left w:val="single" w:sz="8" w:space="0" w:color="E0E0E0"/>
              <w:bottom w:val="single" w:sz="8" w:space="0" w:color="AEAEAE"/>
              <w:right w:val="single" w:sz="8" w:space="0" w:color="E0E0E0"/>
            </w:tcBorders>
            <w:shd w:color="auto" w:fill="FFFFFF" w:val="clear"/>
          </w:tcPr>
          <w:p>
            <w:pPr>
              <w:pStyle w:val="Normal"/>
              <w:spacing w:lineRule="atLeast" w:line="320" w:before="0" w:after="0"/>
              <w:ind w:left="60" w:right="60" w:hanging="0"/>
              <w:jc w:val="right"/>
              <w:rPr/>
            </w:pPr>
            <w:r>
              <w:rPr>
                <w:rFonts w:cs="Arial" w:ascii="Arial" w:hAnsi="Arial"/>
                <w:color w:val="010205"/>
                <w:sz w:val="18"/>
                <w:szCs w:val="18"/>
              </w:rPr>
              <w:t>468.0000</w:t>
            </w:r>
          </w:p>
        </w:tc>
        <w:tc>
          <w:tcPr>
            <w:tcW w:w="1715" w:type="dxa"/>
            <w:tcBorders>
              <w:top w:val="single" w:sz="8" w:space="0" w:color="152935"/>
              <w:left w:val="single" w:sz="8" w:space="0" w:color="E0E0E0"/>
              <w:bottom w:val="single" w:sz="8" w:space="0" w:color="AEAEAE"/>
              <w:right w:val="single" w:sz="8" w:space="0" w:color="E0E0E0"/>
            </w:tcBorders>
            <w:shd w:color="auto" w:fill="FFFFFF" w:val="clear"/>
          </w:tcPr>
          <w:p>
            <w:pPr>
              <w:pStyle w:val="Normal"/>
              <w:spacing w:lineRule="atLeast" w:line="320" w:before="0" w:after="0"/>
              <w:ind w:left="60" w:right="60" w:hanging="0"/>
              <w:jc w:val="right"/>
              <w:rPr/>
            </w:pPr>
            <w:r>
              <w:rPr>
                <w:rFonts w:cs="Arial" w:ascii="Arial" w:hAnsi="Arial"/>
                <w:color w:val="010205"/>
                <w:sz w:val="18"/>
                <w:szCs w:val="18"/>
              </w:rPr>
              <w:t>114.02400</w:t>
            </w:r>
          </w:p>
        </w:tc>
        <w:tc>
          <w:tcPr>
            <w:tcW w:w="1763" w:type="dxa"/>
            <w:tcBorders>
              <w:top w:val="single" w:sz="8" w:space="0" w:color="152935"/>
              <w:left w:val="single" w:sz="8" w:space="0" w:color="E0E0E0"/>
              <w:bottom w:val="single" w:sz="8" w:space="0" w:color="AEAEAE"/>
            </w:tcBorders>
            <w:shd w:color="auto" w:fill="FFFFFF" w:val="clear"/>
          </w:tcPr>
          <w:p>
            <w:pPr>
              <w:pStyle w:val="Normal"/>
              <w:spacing w:lineRule="atLeast" w:line="320" w:before="0" w:after="0"/>
              <w:ind w:left="60" w:right="60" w:hanging="0"/>
              <w:jc w:val="right"/>
              <w:rPr/>
            </w:pPr>
            <w:r>
              <w:rPr>
                <w:rFonts w:cs="Arial" w:ascii="Arial" w:hAnsi="Arial"/>
                <w:color w:val="010205"/>
                <w:sz w:val="18"/>
                <w:szCs w:val="18"/>
              </w:rPr>
              <w:t>46.55010</w:t>
            </w:r>
            <w:bookmarkStart w:id="0" w:name="__UnoMark__203_30208307861"/>
            <w:bookmarkStart w:id="1" w:name="__UnoMark__202_30208307861"/>
            <w:bookmarkStart w:id="2" w:name="__UnoMark__313_3000693829"/>
            <w:bookmarkStart w:id="3" w:name="__UnoMark__312_3000693829"/>
            <w:bookmarkStart w:id="4" w:name="__UnoMark__311_3000693829"/>
            <w:bookmarkStart w:id="5" w:name="__UnoMark__310_3000693829"/>
            <w:bookmarkEnd w:id="0"/>
            <w:bookmarkEnd w:id="1"/>
            <w:bookmarkEnd w:id="2"/>
            <w:bookmarkEnd w:id="3"/>
            <w:bookmarkEnd w:id="4"/>
            <w:bookmarkEnd w:id="5"/>
          </w:p>
        </w:tc>
      </w:tr>
      <w:tr>
        <w:trPr>
          <w:trHeight w:val="214" w:hRule="atLeast"/>
          <w:cantSplit w:val="true"/>
        </w:trPr>
        <w:tc>
          <w:tcPr>
            <w:tcW w:w="1565" w:type="dxa"/>
            <w:vMerge w:val="continue"/>
            <w:tcBorders>
              <w:top w:val="single" w:sz="8" w:space="0" w:color="152935"/>
              <w:bottom w:val="single" w:sz="8" w:space="0" w:color="152935"/>
            </w:tcBorders>
            <w:shd w:color="auto" w:fill="E0E0E0" w:val="clear"/>
          </w:tcPr>
          <w:p>
            <w:pPr>
              <w:pStyle w:val="Normal"/>
              <w:spacing w:lineRule="auto" w:line="240" w:before="0" w:after="0"/>
              <w:rPr>
                <w:rFonts w:ascii="Arial" w:hAnsi="Arial" w:cs="Arial"/>
                <w:color w:val="010205"/>
                <w:sz w:val="18"/>
                <w:szCs w:val="18"/>
              </w:rPr>
            </w:pPr>
            <w:r>
              <w:rPr>
                <w:rFonts w:cs="Arial" w:ascii="Arial" w:hAnsi="Arial"/>
                <w:color w:val="010205"/>
                <w:sz w:val="18"/>
                <w:szCs w:val="18"/>
              </w:rPr>
            </w:r>
            <w:bookmarkStart w:id="6" w:name="__UnoMark__278_117590596511"/>
            <w:bookmarkStart w:id="7" w:name="__UnoMark__277_117590596511"/>
            <w:bookmarkStart w:id="8" w:name="__UnoMark__205_30208307861"/>
            <w:bookmarkStart w:id="9" w:name="__UnoMark__204_30208307861"/>
            <w:bookmarkStart w:id="10" w:name="__UnoMark__317_3000693829"/>
            <w:bookmarkStart w:id="11" w:name="__UnoMark__316_3000693829"/>
            <w:bookmarkStart w:id="12" w:name="__UnoMark__278_117590596511"/>
            <w:bookmarkStart w:id="13" w:name="__UnoMark__277_117590596511"/>
            <w:bookmarkStart w:id="14" w:name="__UnoMark__205_30208307861"/>
            <w:bookmarkStart w:id="15" w:name="__UnoMark__204_30208307861"/>
            <w:bookmarkStart w:id="16" w:name="__UnoMark__317_3000693829"/>
            <w:bookmarkStart w:id="17" w:name="__UnoMark__316_3000693829"/>
            <w:bookmarkEnd w:id="12"/>
            <w:bookmarkEnd w:id="13"/>
            <w:bookmarkEnd w:id="14"/>
            <w:bookmarkEnd w:id="15"/>
            <w:bookmarkEnd w:id="16"/>
            <w:bookmarkEnd w:id="17"/>
          </w:p>
        </w:tc>
        <w:tc>
          <w:tcPr>
            <w:tcW w:w="1055" w:type="dxa"/>
            <w:tcBorders>
              <w:top w:val="single" w:sz="8" w:space="0" w:color="AEAEAE"/>
              <w:bottom w:val="single" w:sz="8" w:space="0" w:color="152935"/>
            </w:tcBorders>
            <w:shd w:color="auto" w:fill="E0E0E0" w:val="clear"/>
          </w:tcPr>
          <w:p>
            <w:pPr>
              <w:pStyle w:val="Normal"/>
              <w:spacing w:lineRule="atLeast" w:line="320" w:before="0" w:after="0"/>
              <w:ind w:left="60" w:right="60" w:hanging="0"/>
              <w:rPr/>
            </w:pPr>
            <w:bookmarkStart w:id="18" w:name="__UnoMark__279_117590596511"/>
            <w:bookmarkStart w:id="19" w:name="__UnoMark__208_30208307861"/>
            <w:bookmarkStart w:id="20" w:name="__UnoMark__322_3000693829"/>
            <w:bookmarkEnd w:id="18"/>
            <w:bookmarkEnd w:id="19"/>
            <w:bookmarkEnd w:id="20"/>
            <w:r>
              <w:rPr>
                <w:rFonts w:cs="Arial" w:ascii="Arial" w:hAnsi="Arial"/>
                <w:color w:val="264A60"/>
                <w:sz w:val="18"/>
                <w:szCs w:val="18"/>
              </w:rPr>
              <w:t>female</w:t>
            </w:r>
            <w:bookmarkStart w:id="21" w:name="__UnoMark__280_117590596511"/>
            <w:bookmarkStart w:id="22" w:name="__UnoMark__210_30208307861"/>
            <w:bookmarkStart w:id="23" w:name="__UnoMark__325_3000693829"/>
            <w:bookmarkEnd w:id="21"/>
            <w:bookmarkEnd w:id="22"/>
            <w:bookmarkEnd w:id="23"/>
          </w:p>
        </w:tc>
        <w:tc>
          <w:tcPr>
            <w:tcW w:w="1222" w:type="dxa"/>
            <w:tcBorders>
              <w:top w:val="single" w:sz="8" w:space="0" w:color="AEAEAE"/>
              <w:bottom w:val="single" w:sz="8" w:space="0" w:color="152935"/>
              <w:right w:val="single" w:sz="8" w:space="0" w:color="E0E0E0"/>
            </w:tcBorders>
            <w:shd w:color="auto" w:fill="FFFFFF" w:val="clear"/>
          </w:tcPr>
          <w:p>
            <w:pPr>
              <w:pStyle w:val="Normal"/>
              <w:spacing w:lineRule="atLeast" w:line="320" w:before="0" w:after="0"/>
              <w:ind w:left="60" w:right="60" w:hanging="0"/>
              <w:jc w:val="right"/>
              <w:rPr/>
            </w:pPr>
            <w:bookmarkStart w:id="24" w:name="__UnoMark__281_117590596511"/>
            <w:bookmarkStart w:id="25" w:name="__UnoMark__212_30208307861"/>
            <w:bookmarkStart w:id="26" w:name="__UnoMark__328_3000693829"/>
            <w:bookmarkEnd w:id="24"/>
            <w:bookmarkEnd w:id="25"/>
            <w:bookmarkEnd w:id="26"/>
            <w:r>
              <w:rPr>
                <w:rFonts w:cs="Arial" w:ascii="Arial" w:hAnsi="Arial"/>
                <w:color w:val="010205"/>
                <w:sz w:val="18"/>
                <w:szCs w:val="18"/>
              </w:rPr>
              <w:t>6</w:t>
            </w:r>
            <w:bookmarkStart w:id="27" w:name="__UnoMark__282_117590596511"/>
            <w:bookmarkStart w:id="28" w:name="__UnoMark__214_30208307861"/>
            <w:bookmarkStart w:id="29" w:name="__UnoMark__331_3000693829"/>
            <w:bookmarkEnd w:id="27"/>
            <w:bookmarkEnd w:id="28"/>
            <w:bookmarkEnd w:id="29"/>
          </w:p>
        </w:tc>
        <w:tc>
          <w:tcPr>
            <w:tcW w:w="1295" w:type="dxa"/>
            <w:tcBorders>
              <w:top w:val="single" w:sz="8" w:space="0" w:color="AEAEAE"/>
              <w:left w:val="single" w:sz="8" w:space="0" w:color="E0E0E0"/>
              <w:bottom w:val="single" w:sz="8" w:space="0" w:color="152935"/>
              <w:right w:val="single" w:sz="8" w:space="0" w:color="E0E0E0"/>
            </w:tcBorders>
            <w:shd w:color="auto" w:fill="FFFFFF" w:val="clear"/>
          </w:tcPr>
          <w:p>
            <w:pPr>
              <w:pStyle w:val="Normal"/>
              <w:spacing w:lineRule="atLeast" w:line="320" w:before="0" w:after="0"/>
              <w:ind w:left="60" w:right="60" w:hanging="0"/>
              <w:jc w:val="right"/>
              <w:rPr/>
            </w:pPr>
            <w:bookmarkStart w:id="30" w:name="__UnoMark__283_117590596511"/>
            <w:bookmarkStart w:id="31" w:name="__UnoMark__216_30208307861"/>
            <w:bookmarkStart w:id="32" w:name="__UnoMark__334_3000693829"/>
            <w:bookmarkEnd w:id="30"/>
            <w:bookmarkEnd w:id="31"/>
            <w:bookmarkEnd w:id="32"/>
            <w:r>
              <w:rPr>
                <w:rFonts w:cs="Arial" w:ascii="Arial" w:hAnsi="Arial"/>
                <w:color w:val="010205"/>
                <w:sz w:val="18"/>
                <w:szCs w:val="18"/>
              </w:rPr>
              <w:t>367.2000</w:t>
            </w:r>
            <w:bookmarkStart w:id="33" w:name="__UnoMark__284_117590596511"/>
            <w:bookmarkStart w:id="34" w:name="__UnoMark__218_30208307861"/>
            <w:bookmarkStart w:id="35" w:name="__UnoMark__337_3000693829"/>
            <w:bookmarkEnd w:id="33"/>
            <w:bookmarkEnd w:id="34"/>
            <w:bookmarkEnd w:id="35"/>
          </w:p>
        </w:tc>
        <w:tc>
          <w:tcPr>
            <w:tcW w:w="1715" w:type="dxa"/>
            <w:tcBorders>
              <w:top w:val="single" w:sz="8" w:space="0" w:color="AEAEAE"/>
              <w:left w:val="single" w:sz="8" w:space="0" w:color="E0E0E0"/>
              <w:bottom w:val="single" w:sz="8" w:space="0" w:color="152935"/>
              <w:right w:val="single" w:sz="8" w:space="0" w:color="E0E0E0"/>
            </w:tcBorders>
            <w:shd w:color="auto" w:fill="FFFFFF" w:val="clear"/>
          </w:tcPr>
          <w:p>
            <w:pPr>
              <w:pStyle w:val="Normal"/>
              <w:spacing w:lineRule="atLeast" w:line="320" w:before="0" w:after="0"/>
              <w:ind w:left="60" w:right="60" w:hanging="0"/>
              <w:jc w:val="right"/>
              <w:rPr/>
            </w:pPr>
            <w:bookmarkStart w:id="36" w:name="__UnoMark__285_117590596511"/>
            <w:bookmarkStart w:id="37" w:name="__UnoMark__220_30208307861"/>
            <w:bookmarkStart w:id="38" w:name="__UnoMark__340_3000693829"/>
            <w:bookmarkEnd w:id="36"/>
            <w:bookmarkEnd w:id="37"/>
            <w:bookmarkEnd w:id="38"/>
            <w:r>
              <w:rPr>
                <w:rFonts w:cs="Arial" w:ascii="Arial" w:hAnsi="Arial"/>
                <w:color w:val="010205"/>
                <w:sz w:val="18"/>
                <w:szCs w:val="18"/>
              </w:rPr>
              <w:t>104.93244</w:t>
            </w:r>
            <w:bookmarkStart w:id="39" w:name="__UnoMark__286_117590596511"/>
            <w:bookmarkStart w:id="40" w:name="__UnoMark__222_30208307861"/>
            <w:bookmarkStart w:id="41" w:name="__UnoMark__343_3000693829"/>
            <w:bookmarkEnd w:id="39"/>
            <w:bookmarkEnd w:id="40"/>
            <w:bookmarkEnd w:id="41"/>
          </w:p>
        </w:tc>
        <w:tc>
          <w:tcPr>
            <w:tcW w:w="1763" w:type="dxa"/>
            <w:tcBorders>
              <w:top w:val="single" w:sz="8" w:space="0" w:color="AEAEAE"/>
              <w:left w:val="single" w:sz="8" w:space="0" w:color="E0E0E0"/>
              <w:bottom w:val="single" w:sz="8" w:space="0" w:color="152935"/>
            </w:tcBorders>
            <w:shd w:color="auto" w:fill="FFFFFF" w:val="clear"/>
          </w:tcPr>
          <w:p>
            <w:pPr>
              <w:pStyle w:val="Normal"/>
              <w:spacing w:lineRule="atLeast" w:line="320" w:before="0" w:after="0"/>
              <w:ind w:left="60" w:right="60" w:hanging="0"/>
              <w:jc w:val="right"/>
              <w:rPr/>
            </w:pPr>
            <w:bookmarkStart w:id="42" w:name="__UnoMark__287_117590596511"/>
            <w:bookmarkStart w:id="43" w:name="__UnoMark__224_30208307861"/>
            <w:bookmarkStart w:id="44" w:name="__UnoMark__346_3000693829"/>
            <w:bookmarkEnd w:id="42"/>
            <w:bookmarkEnd w:id="43"/>
            <w:bookmarkEnd w:id="44"/>
            <w:r>
              <w:rPr>
                <w:rFonts w:cs="Arial" w:ascii="Arial" w:hAnsi="Arial"/>
                <w:color w:val="010205"/>
                <w:sz w:val="18"/>
                <w:szCs w:val="18"/>
              </w:rPr>
              <w:t>42.83849</w:t>
            </w:r>
          </w:p>
        </w:tc>
      </w:tr>
    </w:tbl>
    <w:p>
      <w:pPr>
        <w:pStyle w:val="Normal"/>
        <w:widowControl/>
        <w:spacing w:before="0" w:after="140"/>
        <w:jc w:val="left"/>
        <w:rPr>
          <w:rFonts w:ascii="Nunito;sans-serif" w:hAnsi="Nunito;sans-serif"/>
          <w:b w:val="false"/>
          <w:b w:val="false"/>
          <w:i w:val="false"/>
          <w:i w:val="false"/>
          <w:caps w:val="false"/>
          <w:smallCaps w:val="false"/>
          <w:color w:val="212529"/>
          <w:spacing w:val="0"/>
          <w:sz w:val="21"/>
          <w:lang w:bidi="ar-LY"/>
        </w:rPr>
      </w:pPr>
      <w:r>
        <w:rPr>
          <w:rFonts w:ascii="Nunito;sans-serif" w:hAnsi="Nunito;sans-serif"/>
          <w:b w:val="false"/>
          <w:i w:val="false"/>
          <w:caps w:val="false"/>
          <w:smallCaps w:val="false"/>
          <w:color w:val="212529"/>
          <w:spacing w:val="0"/>
          <w:sz w:val="21"/>
          <w:lang w:bidi="ar-LY"/>
        </w:rPr>
      </w:r>
    </w:p>
    <w:p>
      <w:pPr>
        <w:pStyle w:val="Normal"/>
        <w:widowControl/>
        <w:spacing w:before="0" w:after="140"/>
        <w:jc w:val="left"/>
        <w:rPr>
          <w:rFonts w:ascii="Nunito;sans-serif" w:hAnsi="Nunito;sans-serif"/>
          <w:b w:val="false"/>
          <w:b w:val="false"/>
          <w:i w:val="false"/>
          <w:i w:val="false"/>
          <w:caps w:val="false"/>
          <w:smallCaps w:val="false"/>
          <w:color w:val="212529"/>
          <w:spacing w:val="0"/>
          <w:sz w:val="21"/>
          <w:lang w:bidi="ar-LY"/>
        </w:rPr>
      </w:pPr>
      <w:r>
        <w:rPr>
          <w:rFonts w:ascii="Nunito;sans-serif" w:hAnsi="Nunito;sans-serif"/>
          <w:b w:val="false"/>
          <w:i w:val="false"/>
          <w:caps w:val="false"/>
          <w:smallCaps w:val="false"/>
          <w:color w:val="212529"/>
          <w:spacing w:val="0"/>
          <w:sz w:val="21"/>
          <w:lang w:bidi="ar-LY"/>
        </w:rPr>
        <w:t xml:space="preserve"> </w:t>
      </w:r>
    </w:p>
    <w:p>
      <w:pPr>
        <w:pStyle w:val="Normal"/>
        <w:widowControl/>
        <w:spacing w:before="0" w:after="140"/>
        <w:jc w:val="left"/>
        <w:rPr>
          <w:rFonts w:ascii="Nunito;sans-serif" w:hAnsi="Nunito;sans-serif"/>
          <w:b w:val="false"/>
          <w:b w:val="false"/>
          <w:i w:val="false"/>
          <w:i w:val="false"/>
          <w:caps w:val="false"/>
          <w:smallCaps w:val="false"/>
          <w:color w:val="212529"/>
          <w:spacing w:val="0"/>
          <w:sz w:val="21"/>
          <w:lang w:bidi="ar-LY"/>
        </w:rPr>
      </w:pPr>
      <w:r>
        <w:rPr>
          <w:rFonts w:ascii="Nunito;sans-serif" w:hAnsi="Nunito;sans-serif"/>
          <w:b w:val="false"/>
          <w:i w:val="false"/>
          <w:caps w:val="false"/>
          <w:smallCaps w:val="false"/>
          <w:color w:val="212529"/>
          <w:spacing w:val="0"/>
          <w:sz w:val="21"/>
          <w:lang w:bidi="ar-LY"/>
        </w:rPr>
      </w:r>
    </w:p>
    <w:p>
      <w:pPr>
        <w:pStyle w:val="Normal"/>
        <w:widowControl/>
        <w:spacing w:before="0" w:after="140"/>
        <w:jc w:val="left"/>
        <w:rPr>
          <w:rFonts w:ascii="Nunito;sans-serif" w:hAnsi="Nunito;sans-serif"/>
          <w:b w:val="false"/>
          <w:b w:val="false"/>
          <w:i w:val="false"/>
          <w:i w:val="false"/>
          <w:caps w:val="false"/>
          <w:smallCaps w:val="false"/>
          <w:color w:val="212529"/>
          <w:spacing w:val="0"/>
          <w:sz w:val="21"/>
          <w:lang w:bidi="ar-LY"/>
        </w:rPr>
      </w:pPr>
      <w:r>
        <w:rPr>
          <w:rFonts w:ascii="Nunito;sans-serif" w:hAnsi="Nunito;sans-serif"/>
          <w:b w:val="false"/>
          <w:i w:val="false"/>
          <w:caps w:val="false"/>
          <w:smallCaps w:val="false"/>
          <w:color w:val="212529"/>
          <w:spacing w:val="0"/>
          <w:sz w:val="21"/>
          <w:lang w:bidi="ar-LY"/>
        </w:rPr>
      </w:r>
    </w:p>
    <w:p>
      <w:pPr>
        <w:pStyle w:val="Normal"/>
        <w:widowControl/>
        <w:spacing w:before="342" w:after="482"/>
        <w:jc w:val="left"/>
        <w:rPr>
          <w:rFonts w:ascii="Times New Roman" w:hAnsi="Times New Roman"/>
          <w:b w:val="false"/>
          <w:b w:val="false"/>
          <w:i w:val="false"/>
          <w:i w:val="false"/>
          <w:caps w:val="false"/>
          <w:smallCaps w:val="false"/>
          <w:color w:val="212529"/>
          <w:spacing w:val="0"/>
          <w:sz w:val="24"/>
          <w:szCs w:val="24"/>
          <w:lang w:bidi="ar-LY"/>
        </w:rPr>
      </w:pPr>
      <w:r>
        <w:rPr>
          <w:b w:val="false"/>
          <w:i w:val="false"/>
          <w:caps w:val="false"/>
          <w:smallCaps w:val="false"/>
          <w:color w:val="212529"/>
          <w:spacing w:val="0"/>
          <w:sz w:val="24"/>
          <w:szCs w:val="24"/>
          <w:lang w:bidi="ar-LY"/>
        </w:rPr>
      </w:r>
    </w:p>
    <w:p>
      <w:pPr>
        <w:pStyle w:val="Normal"/>
        <w:widowControl/>
        <w:spacing w:lineRule="auto" w:line="360" w:before="0" w:after="140"/>
        <w:jc w:val="left"/>
        <w:rPr>
          <w:rFonts w:ascii="Times New Roman" w:hAnsi="Times New Roman"/>
          <w:b w:val="false"/>
          <w:b w:val="false"/>
          <w:i w:val="false"/>
          <w:i w:val="false"/>
          <w:caps w:val="false"/>
          <w:smallCaps w:val="false"/>
          <w:color w:val="212529"/>
          <w:spacing w:val="0"/>
          <w:sz w:val="24"/>
          <w:szCs w:val="24"/>
          <w:lang w:bidi="ar-LY"/>
        </w:rPr>
      </w:pPr>
      <w:r>
        <w:rPr>
          <w:b w:val="false"/>
          <w:i w:val="false"/>
          <w:caps w:val="false"/>
          <w:smallCaps w:val="false"/>
          <w:color w:val="212529"/>
          <w:spacing w:val="0"/>
          <w:sz w:val="24"/>
          <w:szCs w:val="24"/>
          <w:lang w:bidi="ar-LY"/>
        </w:rPr>
        <w:t xml:space="preserve">In the majority of the cases, when both women and men were studied, the results were grouped together, and there was no analysis of sex differences. Although the FDA and other regulatory authorities required more participation of women in clinical trials after recognizing the problem of underrepresentation of women, little is known about drug effects in women when compared to men. For a number of drugs it is well recognized that women suffer more frequently from side effects; however, it is often not clear whether this is due to gender differences in the pharmacokinetics or pharmacodynamics of the responsible drug. </w:t>
      </w:r>
    </w:p>
    <w:p>
      <w:pPr>
        <w:pStyle w:val="Normal"/>
        <w:widowControl/>
        <w:spacing w:lineRule="auto" w:line="360" w:before="0" w:after="140"/>
        <w:jc w:val="left"/>
        <w:rPr>
          <w:rFonts w:ascii="Times New Roman" w:hAnsi="Times New Roman"/>
          <w:b w:val="false"/>
          <w:b w:val="false"/>
          <w:i w:val="false"/>
          <w:i w:val="false"/>
          <w:caps w:val="false"/>
          <w:smallCaps w:val="false"/>
          <w:color w:val="212529"/>
          <w:spacing w:val="0"/>
          <w:sz w:val="24"/>
          <w:szCs w:val="24"/>
          <w:lang w:bidi="ar-LY"/>
        </w:rPr>
      </w:pPr>
      <w:r>
        <w:rPr>
          <w:b w:val="false"/>
          <w:i w:val="false"/>
          <w:caps w:val="false"/>
          <w:smallCaps w:val="false"/>
          <w:color w:val="212529"/>
          <w:spacing w:val="0"/>
          <w:sz w:val="24"/>
          <w:szCs w:val="24"/>
          <w:lang w:bidi="ar-LY"/>
        </w:rPr>
        <w:t>The outcomes were pooled together within the larger part of the cases, and there was no analysis of gender mingle When both women and men were investigated. Given the fact that the FDA and other regulatory agencies demanded more female involvement in clinical trials after acknowledging the issue of female underrepresentation, little is known about the effects of durg in women compared to men. It is commonly known that women are more likely to have side effects from a variety of medications; however, it is sometimes unclear whether this is due to gender contrasts in the pharmacokinetics or pharmacodynamics of the concerned medication. For medications with limited or vast therapeutic ranges, pharmacodynamic variations could be clinically significant.</w:t>
        <w:br/>
        <w:br/>
        <w:t>It's plausible that these gender differences are real.</w:t>
        <w:br/>
        <w:br/>
        <w:t>associated with an increased rate of adverse responses to</w:t>
        <w:br/>
        <w:br/>
        <w:t>In comparison to men, women are more likely to use drugs.</w:t>
      </w:r>
      <w:r>
        <w:rPr>
          <w:b w:val="false"/>
          <w:i w:val="false"/>
          <w:caps w:val="false"/>
          <w:smallCaps w:val="false"/>
          <w:color w:val="212529"/>
          <w:spacing w:val="0"/>
          <w:sz w:val="24"/>
          <w:szCs w:val="24"/>
          <w:vertAlign w:val="superscript"/>
          <w:lang w:bidi="ar-LY"/>
        </w:rPr>
        <w:t xml:space="preserve">1-3 </w:t>
      </w:r>
      <w:r>
        <w:rPr>
          <w:b w:val="false"/>
          <w:i w:val="false"/>
          <w:caps w:val="false"/>
          <w:smallCaps w:val="false"/>
          <w:color w:val="212529"/>
          <w:spacing w:val="0"/>
          <w:position w:val="0"/>
          <w:sz w:val="24"/>
          <w:sz w:val="24"/>
          <w:szCs w:val="24"/>
          <w:vertAlign w:val="baseline"/>
          <w:lang w:bidi="ar-LY"/>
        </w:rPr>
        <w:t>Demonstrations have shown that female rats have lower systemic and renal clearance of FUR.</w:t>
      </w:r>
      <w:r>
        <w:rPr>
          <w:b w:val="false"/>
          <w:i w:val="false"/>
          <w:caps w:val="false"/>
          <w:smallCaps w:val="false"/>
          <w:color w:val="212529"/>
          <w:spacing w:val="0"/>
          <w:sz w:val="24"/>
          <w:szCs w:val="24"/>
          <w:vertAlign w:val="superscript"/>
          <w:lang w:bidi="ar-LY"/>
        </w:rPr>
        <w:t xml:space="preserve">5 </w:t>
      </w:r>
      <w:r>
        <w:rPr>
          <w:b w:val="false"/>
          <w:i w:val="false"/>
          <w:caps w:val="false"/>
          <w:smallCaps w:val="false"/>
          <w:color w:val="212529"/>
          <w:spacing w:val="0"/>
          <w:position w:val="0"/>
          <w:sz w:val="24"/>
          <w:sz w:val="24"/>
          <w:szCs w:val="24"/>
          <w:vertAlign w:val="baseline"/>
          <w:lang w:bidi="ar-LY"/>
        </w:rPr>
        <w:t>Because FUR is a loop diuretic that is routinely used in clinical practise, it was important to finish the earlier pharmacokinetic studies and check if gender-related differences in the diuretic's pharmacodynamics were also identified. To do this, we gave both male and female rats the FUR dosage required to produce similar FUR excretion rates in their urine. A loop diuretic's urine excretion rate was demonstrated to be a useful indicator of diuretic levels aiming to the action site, and it would be used as a replacement concentration in several investigations.</w:t>
      </w:r>
    </w:p>
    <w:p>
      <w:pPr>
        <w:pStyle w:val="Normal"/>
        <w:widowControl/>
        <w:spacing w:lineRule="auto" w:line="360" w:before="513" w:after="653"/>
        <w:jc w:val="left"/>
        <w:rPr>
          <w:rFonts w:ascii="Times New Roman" w:hAnsi="Times New Roman"/>
          <w:b w:val="false"/>
          <w:b w:val="false"/>
          <w:i w:val="false"/>
          <w:i w:val="false"/>
          <w:caps w:val="false"/>
          <w:smallCaps w:val="false"/>
          <w:color w:val="212529"/>
          <w:spacing w:val="0"/>
          <w:position w:val="0"/>
          <w:sz w:val="24"/>
          <w:sz w:val="24"/>
          <w:szCs w:val="24"/>
          <w:vertAlign w:val="baseline"/>
          <w:lang w:bidi="ar-LY"/>
        </w:rPr>
      </w:pPr>
      <w:r>
        <w:rPr>
          <w:b w:val="false"/>
          <w:i w:val="false"/>
          <w:caps w:val="false"/>
          <w:smallCaps w:val="false"/>
          <w:color w:val="212529"/>
          <w:spacing w:val="0"/>
          <w:position w:val="0"/>
          <w:sz w:val="24"/>
          <w:sz w:val="24"/>
          <w:szCs w:val="24"/>
          <w:vertAlign w:val="baseline"/>
          <w:lang w:bidi="ar-LY"/>
        </w:rPr>
      </w:r>
    </w:p>
    <w:p>
      <w:pPr>
        <w:pStyle w:val="Normal"/>
        <w:widowControl/>
        <w:spacing w:before="0" w:after="140"/>
        <w:jc w:val="left"/>
        <w:rPr>
          <w:rFonts w:ascii="Nunito;sans-serif" w:hAnsi="Nunito;sans-serif"/>
          <w:b w:val="false"/>
          <w:b w:val="false"/>
          <w:i w:val="false"/>
          <w:i w:val="false"/>
          <w:caps w:val="false"/>
          <w:smallCaps w:val="false"/>
          <w:color w:val="212529"/>
          <w:spacing w:val="0"/>
          <w:position w:val="0"/>
          <w:sz w:val="24"/>
          <w:sz w:val="21"/>
          <w:vertAlign w:val="baseline"/>
          <w:lang w:bidi="ar-LY"/>
        </w:rPr>
      </w:pPr>
      <w:r>
        <w:rPr>
          <w:b/>
          <w:bCs/>
          <w:i w:val="false"/>
          <w:caps w:val="false"/>
          <w:smallCaps w:val="false"/>
          <w:color w:val="212529"/>
          <w:spacing w:val="0"/>
          <w:position w:val="0"/>
          <w:sz w:val="28"/>
          <w:sz w:val="28"/>
          <w:szCs w:val="28"/>
          <w:vertAlign w:val="baseline"/>
          <w:lang w:bidi="ar-LY"/>
        </w:rPr>
        <w:t>Conclusion</w:t>
      </w:r>
      <w:r>
        <w:rPr>
          <w:rFonts w:ascii="Nunito;sans-serif" w:hAnsi="Nunito;sans-serif"/>
          <w:b w:val="false"/>
          <w:i w:val="false"/>
          <w:caps w:val="false"/>
          <w:smallCaps w:val="false"/>
          <w:color w:val="212529"/>
          <w:spacing w:val="0"/>
          <w:position w:val="0"/>
          <w:sz w:val="21"/>
          <w:sz w:val="21"/>
          <w:vertAlign w:val="baseline"/>
          <w:lang w:bidi="ar-LY"/>
        </w:rPr>
        <w:t xml:space="preserve"> </w:t>
      </w:r>
    </w:p>
    <w:p>
      <w:pPr>
        <w:pStyle w:val="Normal"/>
        <w:widowControl/>
        <w:spacing w:before="0" w:after="140"/>
        <w:jc w:val="left"/>
        <w:rPr>
          <w:rFonts w:ascii="Nunito;sans-serif" w:hAnsi="Nunito;sans-serif"/>
          <w:b w:val="false"/>
          <w:b w:val="false"/>
          <w:i w:val="false"/>
          <w:i w:val="false"/>
          <w:caps w:val="false"/>
          <w:smallCaps w:val="false"/>
          <w:color w:val="212529"/>
          <w:spacing w:val="0"/>
          <w:position w:val="0"/>
          <w:sz w:val="21"/>
          <w:sz w:val="21"/>
          <w:vertAlign w:val="baseline"/>
          <w:lang w:bidi="ar-LY"/>
        </w:rPr>
      </w:pPr>
      <w:r>
        <w:rPr>
          <w:rFonts w:ascii="Nunito;sans-serif" w:hAnsi="Nunito;sans-serif"/>
          <w:b w:val="false"/>
          <w:i w:val="false"/>
          <w:caps w:val="false"/>
          <w:smallCaps w:val="false"/>
          <w:color w:val="212529"/>
          <w:spacing w:val="0"/>
          <w:position w:val="0"/>
          <w:sz w:val="21"/>
          <w:sz w:val="21"/>
          <w:vertAlign w:val="baseline"/>
          <w:lang w:bidi="ar-LY"/>
        </w:rPr>
      </w:r>
    </w:p>
    <w:p>
      <w:pPr>
        <w:pStyle w:val="Normal"/>
        <w:widowControl/>
        <w:spacing w:lineRule="auto" w:line="360" w:before="0" w:after="140"/>
        <w:jc w:val="left"/>
        <w:rPr>
          <w:rFonts w:ascii="Times New Roman" w:hAnsi="Times New Roman"/>
          <w:b w:val="false"/>
          <w:b w:val="false"/>
          <w:i w:val="false"/>
          <w:i w:val="false"/>
          <w:caps w:val="false"/>
          <w:smallCaps w:val="false"/>
          <w:color w:val="212529"/>
          <w:spacing w:val="0"/>
          <w:position w:val="0"/>
          <w:sz w:val="24"/>
          <w:sz w:val="24"/>
          <w:szCs w:val="24"/>
          <w:vertAlign w:val="baseline"/>
          <w:lang w:bidi="ar-LY"/>
        </w:rPr>
      </w:pPr>
      <w:r>
        <w:rPr>
          <w:b w:val="false"/>
          <w:i w:val="false"/>
          <w:caps w:val="false"/>
          <w:smallCaps w:val="false"/>
          <w:color w:val="212529"/>
          <w:spacing w:val="0"/>
          <w:position w:val="0"/>
          <w:sz w:val="24"/>
          <w:sz w:val="24"/>
          <w:szCs w:val="24"/>
          <w:vertAlign w:val="baseline"/>
          <w:lang w:bidi="ar-LY"/>
        </w:rPr>
        <w:t>If a certain amount of lasix were given for 6 hours duration, then we could come out with an idea that the urinary output would be the same or thereby equivalent between males and females, so as it has been presented in recent studies; the FUR amount was evident in an increased amount in male genders more than females. There was no statistically significant difference in urine flow rate between females based on age, parity, or initial versus repeated voiding. Genders does have substantial links between maximum and average urine flow rates and voided volume. No artificial limit on voided volume, such as a minimum of 200 ml, proved to be necessary. These nomograms include reference ranges for maximum and average urine flow rates in both sexes, as well as a variety of voided volume ranges (15-600 ml).</w:t>
      </w:r>
    </w:p>
    <w:p>
      <w:pPr>
        <w:pStyle w:val="Normal"/>
        <w:widowControl/>
        <w:spacing w:lineRule="auto" w:line="360" w:before="0" w:after="140"/>
        <w:jc w:val="left"/>
        <w:rPr>
          <w:rFonts w:ascii="Times New Roman" w:hAnsi="Times New Roman"/>
          <w:b w:val="false"/>
          <w:b w:val="false"/>
          <w:i w:val="false"/>
          <w:i w:val="false"/>
          <w:caps w:val="false"/>
          <w:smallCaps w:val="false"/>
          <w:color w:val="212529"/>
          <w:spacing w:val="0"/>
          <w:position w:val="0"/>
          <w:sz w:val="24"/>
          <w:sz w:val="24"/>
          <w:szCs w:val="24"/>
          <w:vertAlign w:val="baseline"/>
          <w:lang w:bidi="ar-LY"/>
        </w:rPr>
      </w:pPr>
      <w:r>
        <w:rPr>
          <w:b w:val="false"/>
          <w:i w:val="false"/>
          <w:caps w:val="false"/>
          <w:smallCaps w:val="false"/>
          <w:color w:val="212529"/>
          <w:spacing w:val="0"/>
          <w:position w:val="0"/>
          <w:sz w:val="24"/>
          <w:sz w:val="24"/>
          <w:szCs w:val="24"/>
          <w:vertAlign w:val="baseline"/>
          <w:lang w:bidi="ar-LY"/>
        </w:rPr>
      </w:r>
    </w:p>
    <w:p>
      <w:pPr>
        <w:pStyle w:val="Normal"/>
        <w:widowControl/>
        <w:spacing w:lineRule="auto" w:line="276" w:before="0" w:after="140"/>
        <w:jc w:val="left"/>
        <w:rPr>
          <w:rFonts w:ascii="Times New Roman" w:hAnsi="Times New Roman"/>
          <w:b w:val="false"/>
          <w:b w:val="false"/>
          <w:i w:val="false"/>
          <w:i w:val="false"/>
          <w:caps w:val="false"/>
          <w:smallCaps w:val="false"/>
          <w:color w:val="212529"/>
          <w:spacing w:val="0"/>
          <w:position w:val="0"/>
          <w:sz w:val="24"/>
          <w:sz w:val="24"/>
          <w:szCs w:val="24"/>
          <w:vertAlign w:val="baseline"/>
          <w:lang w:bidi="ar-LY"/>
        </w:rPr>
      </w:pPr>
      <w:r>
        <w:rPr>
          <w:b w:val="false"/>
          <w:i w:val="false"/>
          <w:caps w:val="false"/>
          <w:smallCaps w:val="false"/>
          <w:color w:val="212529"/>
          <w:spacing w:val="0"/>
          <w:position w:val="0"/>
          <w:sz w:val="24"/>
          <w:sz w:val="24"/>
          <w:szCs w:val="24"/>
          <w:vertAlign w:val="baseline"/>
          <w:lang w:bidi="ar-LY"/>
        </w:rPr>
      </w:r>
      <w:r>
        <w:br w:type="page"/>
      </w:r>
    </w:p>
    <w:p>
      <w:pPr>
        <w:pStyle w:val="Normal"/>
        <w:widowControl/>
        <w:spacing w:lineRule="auto" w:line="276" w:before="0" w:after="140"/>
        <w:jc w:val="left"/>
        <w:rPr>
          <w:rFonts w:ascii="Times New Roman" w:hAnsi="Times New Roman"/>
          <w:b w:val="false"/>
          <w:b w:val="false"/>
          <w:i w:val="false"/>
          <w:i w:val="false"/>
          <w:caps w:val="false"/>
          <w:smallCaps w:val="false"/>
          <w:color w:val="212529"/>
          <w:spacing w:val="0"/>
          <w:position w:val="0"/>
          <w:sz w:val="24"/>
          <w:sz w:val="24"/>
          <w:szCs w:val="24"/>
          <w:vertAlign w:val="baseline"/>
          <w:lang w:bidi="ar-LY"/>
        </w:rPr>
      </w:pPr>
      <w:r>
        <w:rPr>
          <w:b w:val="false"/>
          <w:i w:val="false"/>
          <w:caps w:val="false"/>
          <w:smallCaps w:val="false"/>
          <w:color w:val="212529"/>
          <w:spacing w:val="0"/>
          <w:position w:val="0"/>
          <w:sz w:val="24"/>
          <w:sz w:val="24"/>
          <w:szCs w:val="24"/>
          <w:vertAlign w:val="baseline"/>
          <w:lang w:bidi="ar-LY"/>
        </w:rPr>
      </w:r>
    </w:p>
    <w:p>
      <w:pPr>
        <w:pStyle w:val="Normal"/>
        <w:widowControl/>
        <w:spacing w:before="513" w:after="653"/>
        <w:jc w:val="left"/>
        <w:rPr>
          <w:rFonts w:ascii="Nunito;sans-serif" w:hAnsi="Nunito;sans-serif"/>
          <w:b w:val="false"/>
          <w:b w:val="false"/>
          <w:i w:val="false"/>
          <w:i w:val="false"/>
          <w:caps w:val="false"/>
          <w:smallCaps w:val="false"/>
          <w:color w:val="212529"/>
          <w:spacing w:val="0"/>
          <w:position w:val="0"/>
          <w:sz w:val="21"/>
          <w:sz w:val="21"/>
          <w:vertAlign w:val="baseline"/>
          <w:lang w:bidi="ar-LY"/>
        </w:rPr>
      </w:pPr>
      <w:r>
        <w:rPr>
          <w:rFonts w:ascii="Nunito;sans-serif" w:hAnsi="Nunito;sans-serif"/>
          <w:b w:val="false"/>
          <w:i w:val="false"/>
          <w:caps w:val="false"/>
          <w:smallCaps w:val="false"/>
          <w:color w:val="212529"/>
          <w:spacing w:val="0"/>
          <w:position w:val="0"/>
          <w:sz w:val="21"/>
          <w:sz w:val="21"/>
          <w:vertAlign w:val="baseline"/>
          <w:lang w:bidi="ar-LY"/>
        </w:rPr>
      </w:r>
    </w:p>
    <w:p>
      <w:pPr>
        <w:pStyle w:val="Normal"/>
        <w:widowControl/>
        <w:spacing w:before="0" w:after="140"/>
        <w:jc w:val="left"/>
        <w:rPr>
          <w:rFonts w:ascii="Nunito;sans-serif" w:hAnsi="Nunito;sans-serif"/>
          <w:b w:val="false"/>
          <w:b w:val="false"/>
          <w:i w:val="false"/>
          <w:i w:val="false"/>
          <w:caps w:val="false"/>
          <w:smallCaps w:val="false"/>
          <w:color w:val="212529"/>
          <w:spacing w:val="0"/>
          <w:position w:val="0"/>
          <w:sz w:val="24"/>
          <w:sz w:val="21"/>
          <w:vertAlign w:val="baseline"/>
          <w:lang w:bidi="ar-LY"/>
        </w:rPr>
      </w:pPr>
      <w:r>
        <w:rPr>
          <w:b/>
          <w:bCs/>
          <w:i w:val="false"/>
          <w:caps w:val="false"/>
          <w:smallCaps w:val="false"/>
          <w:color w:val="212529"/>
          <w:spacing w:val="0"/>
          <w:position w:val="0"/>
          <w:sz w:val="28"/>
          <w:sz w:val="28"/>
          <w:szCs w:val="28"/>
          <w:vertAlign w:val="baseline"/>
          <w:lang w:bidi="ar-LY"/>
        </w:rPr>
        <w:t>References</w:t>
      </w:r>
      <w:r>
        <w:rPr>
          <w:rFonts w:ascii="Nunito;sans-serif" w:hAnsi="Nunito;sans-serif"/>
          <w:b w:val="false"/>
          <w:i w:val="false"/>
          <w:caps w:val="false"/>
          <w:smallCaps w:val="false"/>
          <w:color w:val="212529"/>
          <w:spacing w:val="0"/>
          <w:position w:val="0"/>
          <w:sz w:val="21"/>
          <w:sz w:val="21"/>
          <w:vertAlign w:val="baseline"/>
          <w:lang w:bidi="ar-LY"/>
        </w:rPr>
        <w:t xml:space="preserve"> </w:t>
      </w:r>
    </w:p>
    <w:p>
      <w:pPr>
        <w:pStyle w:val="Normal"/>
        <w:widowControl/>
        <w:spacing w:lineRule="auto" w:line="360" w:before="0" w:after="0"/>
        <w:jc w:val="left"/>
        <w:rPr>
          <w:rFonts w:ascii="Nunito;sans-serif" w:hAnsi="Nunito;sans-serif"/>
          <w:b w:val="false"/>
          <w:b w:val="false"/>
          <w:i w:val="false"/>
          <w:i w:val="false"/>
          <w:caps w:val="false"/>
          <w:smallCaps w:val="false"/>
          <w:color w:val="212529"/>
          <w:spacing w:val="0"/>
          <w:position w:val="0"/>
          <w:sz w:val="21"/>
          <w:sz w:val="21"/>
          <w:vertAlign w:val="baseline"/>
          <w:lang w:bidi="ar-LY"/>
        </w:rPr>
      </w:pPr>
      <w:r>
        <w:rPr>
          <w:rFonts w:ascii="Nunito;sans-serif" w:hAnsi="Nunito;sans-serif"/>
          <w:b w:val="false"/>
          <w:i w:val="false"/>
          <w:caps w:val="false"/>
          <w:smallCaps w:val="false"/>
          <w:color w:val="212529"/>
          <w:spacing w:val="0"/>
          <w:position w:val="0"/>
          <w:sz w:val="21"/>
          <w:sz w:val="21"/>
          <w:vertAlign w:val="baseline"/>
          <w:lang w:bidi="ar-LY"/>
        </w:rPr>
      </w:r>
    </w:p>
    <w:p>
      <w:pPr>
        <w:pStyle w:val="Normal"/>
        <w:widowControl/>
        <w:spacing w:lineRule="auto" w:line="360" w:before="0" w:after="0"/>
        <w:jc w:val="left"/>
        <w:rPr>
          <w:rStyle w:val="Quotation"/>
          <w:rFonts w:ascii="Open Sans;Arial;sans-serif" w:hAnsi="Open Sans;Arial;sans-serif"/>
          <w:b w:val="false"/>
          <w:b w:val="false"/>
          <w:i w:val="false"/>
          <w:i w:val="false"/>
          <w:caps w:val="false"/>
          <w:smallCaps w:val="false"/>
          <w:color w:val="000000"/>
          <w:spacing w:val="0"/>
          <w:sz w:val="20"/>
        </w:rPr>
      </w:pPr>
      <w:r>
        <w:rPr>
          <w:rFonts w:ascii="Open Sans;Arial;sans-serif" w:hAnsi="Open Sans;Arial;sans-serif"/>
          <w:b w:val="false"/>
          <w:i w:val="false"/>
          <w:caps w:val="false"/>
          <w:smallCaps w:val="false"/>
          <w:color w:val="000000"/>
          <w:spacing w:val="0"/>
          <w:sz w:val="20"/>
        </w:rPr>
      </w:r>
    </w:p>
    <w:p>
      <w:pPr>
        <w:pStyle w:val="TextBody"/>
        <w:widowControl/>
        <w:spacing w:lineRule="auto" w:line="360" w:before="0" w:after="0"/>
        <w:jc w:val="left"/>
        <w:rPr>
          <w:rStyle w:val="Quotation"/>
          <w:rFonts w:ascii="sans-serif" w:hAnsi="sans-serif"/>
          <w:i w:val="false"/>
          <w:i w:val="false"/>
          <w:color w:val="202122"/>
          <w:sz w:val="18"/>
        </w:rPr>
      </w:pPr>
      <w:r>
        <w:rPr>
          <w:rFonts w:ascii="sans-serif" w:hAnsi="sans-serif"/>
          <w:i w:val="false"/>
          <w:color w:val="202122"/>
          <w:sz w:val="18"/>
        </w:rPr>
      </w:r>
    </w:p>
    <w:p>
      <w:pPr>
        <w:pStyle w:val="Normal"/>
        <w:widowControl/>
        <w:spacing w:lineRule="auto" w:line="360" w:before="0" w:after="140"/>
        <w:jc w:val="left"/>
        <w:rPr/>
      </w:pPr>
      <w:r>
        <w:rPr>
          <w:rStyle w:val="Quotation"/>
          <w:b w:val="false"/>
          <w:bCs w:val="false"/>
          <w:i w:val="false"/>
          <w:iCs w:val="false"/>
          <w:color w:val="202122"/>
          <w:sz w:val="24"/>
          <w:szCs w:val="24"/>
        </w:rPr>
        <w:t>1. Beierle I, Meibohm B, Derendorf H: Gender differences in pharmacokinetics and pharma</w:t>
      </w:r>
      <w:r>
        <w:rPr>
          <w:b w:val="false"/>
          <w:bCs w:val="false"/>
          <w:i w:val="false"/>
          <w:iCs w:val="false"/>
          <w:color w:val="202122"/>
          <w:sz w:val="24"/>
          <w:szCs w:val="24"/>
        </w:rPr>
        <w:t>codynamics. Int J Clin Pharmacol Ther 1999; 37:529–547</w:t>
      </w:r>
    </w:p>
    <w:p>
      <w:pPr>
        <w:pStyle w:val="Normal"/>
        <w:widowControl/>
        <w:spacing w:lineRule="auto" w:line="360" w:before="0" w:after="140"/>
        <w:jc w:val="left"/>
        <w:rPr>
          <w:rStyle w:val="Quotation"/>
          <w:rFonts w:ascii="Times New Roman" w:hAnsi="Times New Roman"/>
          <w:b w:val="false"/>
          <w:b w:val="false"/>
          <w:bCs w:val="false"/>
          <w:i w:val="false"/>
          <w:i w:val="false"/>
          <w:iCs w:val="false"/>
          <w:color w:val="202122"/>
          <w:sz w:val="24"/>
          <w:szCs w:val="24"/>
        </w:rPr>
      </w:pPr>
      <w:r>
        <w:rPr>
          <w:b w:val="false"/>
          <w:bCs w:val="false"/>
          <w:i w:val="false"/>
          <w:iCs w:val="false"/>
          <w:color w:val="202122"/>
          <w:sz w:val="24"/>
          <w:szCs w:val="24"/>
        </w:rPr>
      </w:r>
    </w:p>
    <w:p>
      <w:pPr>
        <w:pStyle w:val="Normal"/>
        <w:widowControl/>
        <w:spacing w:lineRule="auto" w:line="360" w:before="0" w:after="140"/>
        <w:jc w:val="left"/>
        <w:rPr>
          <w:rFonts w:ascii="Times New Roman" w:hAnsi="Times New Roman"/>
          <w:b w:val="false"/>
          <w:b w:val="false"/>
          <w:bCs w:val="false"/>
          <w:i w:val="false"/>
          <w:i w:val="false"/>
          <w:iCs w:val="false"/>
          <w:sz w:val="24"/>
          <w:szCs w:val="24"/>
        </w:rPr>
      </w:pPr>
      <w:r>
        <w:rPr>
          <w:b w:val="false"/>
          <w:bCs w:val="false"/>
          <w:i w:val="false"/>
          <w:iCs w:val="false"/>
          <w:color w:val="202122"/>
          <w:sz w:val="24"/>
          <w:szCs w:val="24"/>
        </w:rPr>
        <w:t>2. Gleiter CH, Gunter-Remy U: Gender differences in pharmacokinetics. Eur J Drug Metab Pharmacokinet 1996;21:123–128.</w:t>
      </w:r>
    </w:p>
    <w:p>
      <w:pPr>
        <w:pStyle w:val="Normal"/>
        <w:widowControl/>
        <w:spacing w:lineRule="auto" w:line="360" w:before="0" w:after="140"/>
        <w:jc w:val="left"/>
        <w:rPr>
          <w:rFonts w:ascii="Times New Roman" w:hAnsi="Times New Roman"/>
          <w:b w:val="false"/>
          <w:b w:val="false"/>
          <w:bCs w:val="false"/>
          <w:i w:val="false"/>
          <w:i w:val="false"/>
          <w:iCs w:val="false"/>
          <w:sz w:val="24"/>
          <w:szCs w:val="24"/>
        </w:rPr>
      </w:pPr>
      <w:r>
        <w:rPr>
          <w:b w:val="false"/>
          <w:bCs w:val="false"/>
          <w:i w:val="false"/>
          <w:iCs w:val="false"/>
          <w:sz w:val="24"/>
          <w:szCs w:val="24"/>
        </w:rPr>
      </w:r>
    </w:p>
    <w:p>
      <w:pPr>
        <w:pStyle w:val="Normal"/>
        <w:widowControl/>
        <w:spacing w:lineRule="auto" w:line="360" w:before="0" w:after="140"/>
        <w:jc w:val="left"/>
        <w:rPr/>
      </w:pPr>
      <w:r>
        <w:rPr>
          <w:rStyle w:val="Quotation"/>
          <w:b w:val="false"/>
          <w:bCs w:val="false"/>
          <w:i w:val="false"/>
          <w:iCs w:val="false"/>
          <w:color w:val="202122"/>
          <w:sz w:val="24"/>
          <w:szCs w:val="24"/>
        </w:rPr>
        <w:t>3.  Harris RZ, Benet LZ, Schwartz JB: Gender effects in pharmacokinetics and pharmacody</w:t>
      </w:r>
      <w:r>
        <w:rPr>
          <w:b w:val="false"/>
          <w:bCs w:val="false"/>
          <w:i w:val="false"/>
          <w:iCs w:val="false"/>
          <w:color w:val="202122"/>
          <w:sz w:val="24"/>
          <w:szCs w:val="24"/>
        </w:rPr>
        <w:t>namics. Drugs 1995;50:222–23</w:t>
      </w:r>
    </w:p>
    <w:p>
      <w:pPr>
        <w:pStyle w:val="Normal"/>
        <w:widowControl/>
        <w:spacing w:lineRule="auto" w:line="360" w:before="0" w:after="140"/>
        <w:jc w:val="left"/>
        <w:rPr>
          <w:color w:val="202122"/>
        </w:rPr>
      </w:pPr>
      <w:r>
        <w:rPr>
          <w:color w:val="202122"/>
        </w:rPr>
      </w:r>
    </w:p>
    <w:p>
      <w:pPr>
        <w:pStyle w:val="Normal"/>
        <w:widowControl/>
        <w:spacing w:lineRule="auto" w:line="360" w:before="0" w:after="140"/>
        <w:jc w:val="left"/>
        <w:rPr/>
      </w:pPr>
      <w:r>
        <w:rPr>
          <w:rStyle w:val="Quotation"/>
          <w:b w:val="false"/>
          <w:bCs w:val="false"/>
          <w:i w:val="false"/>
          <w:iCs w:val="false"/>
          <w:color w:val="202122"/>
          <w:sz w:val="24"/>
          <w:szCs w:val="24"/>
        </w:rPr>
        <w:t>4. Cerrutti JA, Quaglia NB, Torres AM: Charac</w:t>
      </w:r>
      <w:r>
        <w:rPr>
          <w:b w:val="false"/>
          <w:bCs w:val="false"/>
          <w:i w:val="false"/>
          <w:iCs w:val="false"/>
          <w:color w:val="202122"/>
          <w:sz w:val="24"/>
          <w:szCs w:val="24"/>
        </w:rPr>
        <w:t>terization of the mechanisms involved in the gender differences in p-aminohippurate renal elimination in rats. Can J Physiol Pharmacol 2001;79:805–813</w:t>
      </w:r>
    </w:p>
    <w:p>
      <w:pPr>
        <w:pStyle w:val="Normal"/>
        <w:widowControl/>
        <w:spacing w:lineRule="auto" w:line="360" w:before="0" w:after="140"/>
        <w:jc w:val="left"/>
        <w:rPr/>
      </w:pPr>
      <w:r>
        <w:rPr>
          <w:rStyle w:val="Quotation"/>
          <w:b w:val="false"/>
          <w:bCs w:val="false"/>
          <w:i w:val="false"/>
          <w:iCs w:val="false"/>
          <w:color w:val="202122"/>
          <w:sz w:val="24"/>
          <w:szCs w:val="24"/>
        </w:rPr>
        <w:t>5. Cerrutti JA, Quaglia NB, Brandoni A, Torres AM: Effects of gender on the pharmacokinetics of drugs secreted by the renal organic anions transport systems in the rat. Pharmacol Res 2002;45:107</w:t>
      </w:r>
      <w:r>
        <w:rPr>
          <w:b w:val="false"/>
          <w:bCs w:val="false"/>
          <w:i w:val="false"/>
          <w:iCs w:val="false"/>
          <w:color w:val="202122"/>
          <w:sz w:val="24"/>
          <w:szCs w:val="24"/>
        </w:rPr>
        <w:t>–112.</w:t>
      </w:r>
    </w:p>
    <w:p>
      <w:pPr>
        <w:pStyle w:val="Normal"/>
        <w:widowControl/>
        <w:spacing w:lineRule="auto" w:line="360" w:before="0" w:after="140"/>
        <w:jc w:val="left"/>
        <w:rPr/>
      </w:pPr>
      <w:r>
        <w:rPr>
          <w:rStyle w:val="Quotation"/>
          <w:b w:val="false"/>
          <w:bCs w:val="false"/>
          <w:i w:val="false"/>
          <w:iCs w:val="false"/>
          <w:color w:val="202122"/>
          <w:sz w:val="24"/>
          <w:szCs w:val="24"/>
        </w:rPr>
        <w:t>6. Shankar SS, Brater DC: Loop diuretics: From the Na-K-2Cl transporter to clinical use. Am J Physiol Renal Physiol 2003;284:F11</w:t>
      </w:r>
      <w:r>
        <w:rPr>
          <w:b w:val="false"/>
          <w:bCs w:val="false"/>
          <w:i w:val="false"/>
          <w:iCs w:val="false"/>
          <w:color w:val="202122"/>
          <w:sz w:val="24"/>
          <w:szCs w:val="24"/>
        </w:rPr>
        <w:t>–F21</w:t>
      </w:r>
    </w:p>
    <w:p>
      <w:pPr>
        <w:pStyle w:val="Normal"/>
        <w:widowControl/>
        <w:suppressAutoHyphens w:val="true"/>
        <w:spacing w:lineRule="auto" w:line="360" w:before="0" w:after="140"/>
        <w:jc w:val="left"/>
        <w:rPr/>
      </w:pPr>
      <w:r>
        <w:rPr>
          <w:rStyle w:val="Quotation"/>
          <w:b w:val="false"/>
          <w:bCs w:val="false"/>
          <w:i w:val="false"/>
          <w:iCs w:val="false"/>
          <w:color w:val="000000"/>
          <w:kern w:val="2"/>
          <w:sz w:val="24"/>
          <w:szCs w:val="24"/>
        </w:rPr>
        <w:t>7 . Urine Output: What's Normal and What's Not?. MD-HEALTH.COM. https://m.md-health.com/Normal-Urine-Output.html. Published 2022. Accessed June 19, 2022.</w:t>
      </w:r>
    </w:p>
    <w:p>
      <w:pPr>
        <w:pStyle w:val="Normal"/>
        <w:widowControl/>
        <w:suppressAutoHyphens w:val="true"/>
        <w:spacing w:lineRule="auto" w:line="360" w:before="0" w:after="140"/>
        <w:jc w:val="left"/>
        <w:rPr/>
      </w:pPr>
      <w:r>
        <w:rPr>
          <w:rStyle w:val="Quotation"/>
          <w:b w:val="false"/>
          <w:bCs w:val="false"/>
          <w:i w:val="false"/>
          <w:iCs w:val="false"/>
          <w:color w:val="202122"/>
          <w:kern w:val="2"/>
          <w:sz w:val="24"/>
          <w:szCs w:val="24"/>
        </w:rPr>
        <w:t>8. Brater DC: Diuretic therapy. N Engl J Med 1998;339:387</w:t>
      </w:r>
      <w:r>
        <w:rPr>
          <w:b w:val="false"/>
          <w:bCs w:val="false"/>
          <w:i w:val="false"/>
          <w:iCs w:val="false"/>
          <w:color w:val="202122"/>
          <w:sz w:val="24"/>
          <w:szCs w:val="24"/>
        </w:rPr>
        <w:t>–395.</w:t>
      </w:r>
    </w:p>
    <w:p>
      <w:pPr>
        <w:pStyle w:val="Normal"/>
        <w:widowControl/>
        <w:suppressAutoHyphens w:val="true"/>
        <w:spacing w:lineRule="auto" w:line="360" w:before="0" w:after="140"/>
        <w:jc w:val="left"/>
        <w:rPr>
          <w:rFonts w:ascii="Times New Roman" w:hAnsi="Times New Roman"/>
          <w:b w:val="false"/>
          <w:b w:val="false"/>
          <w:bCs w:val="false"/>
          <w:i w:val="false"/>
          <w:i w:val="false"/>
          <w:iCs w:val="false"/>
          <w:sz w:val="24"/>
          <w:szCs w:val="24"/>
        </w:rPr>
      </w:pPr>
      <w:r>
        <w:rPr>
          <w:b w:val="false"/>
          <w:bCs w:val="false"/>
          <w:i w:val="false"/>
          <w:iCs w:val="false"/>
          <w:color w:val="202122"/>
          <w:sz w:val="24"/>
          <w:szCs w:val="24"/>
        </w:rPr>
        <w:t>9 .  Torres AM, Rodriguez J, Elias M: Vulnerability of the thick ascending limb to glutathione depletion in rat kidney: Effects of diuretics and indomethacin. J Pharmacol Exp Ther 1989; 250:247–253</w:t>
      </w:r>
    </w:p>
    <w:p>
      <w:pPr>
        <w:pStyle w:val="Normal"/>
        <w:widowControl/>
        <w:suppressAutoHyphens w:val="true"/>
        <w:spacing w:lineRule="auto" w:line="360" w:before="0" w:after="140"/>
        <w:jc w:val="left"/>
        <w:rPr>
          <w:rFonts w:ascii="Times New Roman" w:hAnsi="Times New Roman"/>
          <w:b w:val="false"/>
          <w:b w:val="false"/>
          <w:bCs w:val="false"/>
          <w:i w:val="false"/>
          <w:i w:val="false"/>
          <w:iCs w:val="false"/>
          <w:sz w:val="24"/>
          <w:szCs w:val="24"/>
        </w:rPr>
      </w:pPr>
      <w:r>
        <w:rPr>
          <w:b w:val="false"/>
          <w:bCs w:val="false"/>
          <w:i w:val="false"/>
          <w:iCs w:val="false"/>
          <w:color w:val="202122"/>
          <w:sz w:val="24"/>
          <w:szCs w:val="24"/>
        </w:rPr>
        <w:t>10. Bratton AC, Marshall EK Jr: Determination of p-aminohippurate. J Biol Chem 1939;128:537– 542.</w:t>
      </w:r>
    </w:p>
    <w:p>
      <w:pPr>
        <w:pStyle w:val="Normal"/>
        <w:widowControl/>
        <w:suppressAutoHyphens w:val="true"/>
        <w:spacing w:lineRule="auto" w:line="360" w:before="0" w:after="0"/>
        <w:jc w:val="left"/>
        <w:rPr>
          <w:color w:val="202122"/>
        </w:rPr>
      </w:pPr>
      <w:r>
        <w:rPr>
          <w:color w:val="202122"/>
        </w:rPr>
      </w:r>
    </w:p>
    <w:p>
      <w:pPr>
        <w:pStyle w:val="Normal"/>
        <w:widowControl/>
        <w:spacing w:lineRule="auto" w:line="360" w:before="0" w:after="140"/>
        <w:rPr>
          <w:rFonts w:ascii="Times New Roman" w:hAnsi="Times New Roman"/>
          <w:b w:val="false"/>
          <w:b w:val="false"/>
          <w:bCs w:val="false"/>
          <w:i w:val="false"/>
          <w:i w:val="false"/>
          <w:iCs w:val="false"/>
          <w:sz w:val="24"/>
          <w:szCs w:val="24"/>
        </w:rPr>
      </w:pPr>
      <w:r>
        <w:rPr>
          <w:b w:val="false"/>
          <w:bCs w:val="false"/>
          <w:i w:val="false"/>
          <w:iCs w:val="false"/>
          <w:color w:val="202122"/>
          <w:sz w:val="24"/>
          <w:szCs w:val="24"/>
        </w:rPr>
        <w:t xml:space="preserve">12.  </w:t>
      </w:r>
      <w:r>
        <w:rPr>
          <w:b w:val="false"/>
          <w:bCs w:val="false"/>
          <w:i w:val="false"/>
          <w:iCs w:val="false"/>
          <w:color w:val="000000"/>
          <w:sz w:val="24"/>
          <w:szCs w:val="24"/>
        </w:rPr>
        <w:t>Furosemide (Lasix) - Use, Dosage, Class, MOA, Side effects, Brands. EMEDZ. https://emedz.net/furosemide-lasix. Published 2022. Accessed June 19, 2022.</w:t>
      </w:r>
    </w:p>
    <w:p>
      <w:pPr>
        <w:pStyle w:val="Normal"/>
        <w:widowControl/>
        <w:suppressAutoHyphens w:val="true"/>
        <w:spacing w:lineRule="auto" w:line="360" w:before="0" w:after="140"/>
        <w:jc w:val="left"/>
        <w:rPr>
          <w:rFonts w:ascii="Times New Roman" w:hAnsi="Times New Roman"/>
          <w:b w:val="false"/>
          <w:b w:val="false"/>
          <w:bCs w:val="false"/>
          <w:i w:val="false"/>
          <w:i w:val="false"/>
          <w:iCs w:val="false"/>
          <w:sz w:val="24"/>
          <w:szCs w:val="24"/>
        </w:rPr>
      </w:pPr>
      <w:r>
        <w:rPr>
          <w:b w:val="false"/>
          <w:bCs w:val="false"/>
          <w:i w:val="false"/>
          <w:iCs w:val="false"/>
          <w:color w:val="202122"/>
          <w:sz w:val="24"/>
          <w:szCs w:val="24"/>
        </w:rPr>
        <w:t>13. Arthur C. Guyton; John Edward Hall (2006). "25".</w:t>
      </w:r>
      <w:r>
        <w:rPr>
          <w:b w:val="false"/>
          <w:bCs w:val="false"/>
          <w:i w:val="false"/>
          <w:iCs w:val="false"/>
          <w:color w:val="3366BB"/>
          <w:sz w:val="24"/>
          <w:szCs w:val="24"/>
          <w:u w:val="single"/>
        </w:rPr>
        <w:t xml:space="preserve">Textbook of medical physiology </w:t>
      </w:r>
      <w:r>
        <w:rPr>
          <w:b w:val="false"/>
          <w:bCs w:val="false"/>
          <w:i w:val="false"/>
          <w:iCs w:val="false"/>
          <w:color w:val="202122"/>
          <w:sz w:val="24"/>
          <w:szCs w:val="24"/>
        </w:rPr>
        <w:t xml:space="preserve">(11 ed.). Elsevier Saunders. </w:t>
      </w:r>
      <w:r>
        <w:rPr>
          <w:b w:val="false"/>
          <w:bCs w:val="false"/>
          <w:i w:val="false"/>
          <w:iCs w:val="false"/>
          <w:color w:val="0645AD"/>
          <w:sz w:val="24"/>
          <w:szCs w:val="24"/>
          <w:u w:val="single"/>
        </w:rPr>
        <w:t>ISBN</w:t>
      </w:r>
      <w:r>
        <w:rPr>
          <w:b w:val="false"/>
          <w:bCs w:val="false"/>
          <w:i w:val="false"/>
          <w:iCs w:val="false"/>
          <w:color w:val="202122"/>
          <w:sz w:val="24"/>
          <w:szCs w:val="24"/>
          <w:u w:val="single"/>
        </w:rPr>
        <w:t xml:space="preserve"> </w:t>
      </w:r>
      <w:r>
        <w:rPr>
          <w:b w:val="false"/>
          <w:bCs w:val="false"/>
          <w:i w:val="false"/>
          <w:iCs w:val="false"/>
          <w:color w:val="0645AD"/>
          <w:sz w:val="24"/>
          <w:szCs w:val="24"/>
          <w:u w:val="single"/>
        </w:rPr>
        <w:t>978-0-8089-2317-6</w:t>
      </w:r>
      <w:r>
        <w:rPr>
          <w:b w:val="false"/>
          <w:bCs w:val="false"/>
          <w:i w:val="false"/>
          <w:iCs w:val="false"/>
          <w:color w:val="202122"/>
          <w:sz w:val="24"/>
          <w:szCs w:val="24"/>
        </w:rPr>
        <w:t xml:space="preserve">. </w:t>
      </w:r>
      <w:r>
        <w:rPr>
          <w:b w:val="false"/>
          <w:bCs w:val="false"/>
          <w:i w:val="false"/>
          <w:iCs w:val="false"/>
          <w:color w:val="3366BB"/>
          <w:sz w:val="24"/>
          <w:szCs w:val="24"/>
          <w:u w:val="single"/>
        </w:rPr>
        <w:t xml:space="preserve">Archived </w:t>
      </w:r>
      <w:r>
        <w:rPr>
          <w:b w:val="false"/>
          <w:bCs w:val="false"/>
          <w:i w:val="false"/>
          <w:iCs w:val="false"/>
          <w:color w:val="202122"/>
          <w:sz w:val="24"/>
          <w:szCs w:val="24"/>
        </w:rPr>
        <w:t>from the original on 26 May 2013. Retrieved 26 September 2011</w:t>
      </w:r>
    </w:p>
    <w:p>
      <w:pPr>
        <w:pStyle w:val="Normal"/>
        <w:widowControl/>
        <w:suppressAutoHyphens w:val="true"/>
        <w:spacing w:lineRule="auto" w:line="360" w:before="0" w:after="26"/>
        <w:jc w:val="left"/>
        <w:rPr>
          <w:color w:val="202122"/>
        </w:rPr>
      </w:pPr>
      <w:r>
        <w:rPr>
          <w:color w:val="202122"/>
        </w:rPr>
      </w:r>
    </w:p>
    <w:p>
      <w:pPr>
        <w:pStyle w:val="Normal"/>
        <w:widowControl/>
        <w:suppressAutoHyphens w:val="true"/>
        <w:spacing w:lineRule="auto" w:line="360" w:before="0" w:after="83"/>
        <w:ind w:left="0" w:hanging="0"/>
        <w:jc w:val="left"/>
        <w:rPr>
          <w:rFonts w:ascii="Times New Roman" w:hAnsi="Times New Roman"/>
          <w:b w:val="false"/>
          <w:b w:val="false"/>
          <w:bCs w:val="false"/>
          <w:i w:val="false"/>
          <w:i w:val="false"/>
          <w:iCs w:val="false"/>
          <w:sz w:val="24"/>
          <w:szCs w:val="24"/>
        </w:rPr>
      </w:pPr>
      <w:r>
        <w:rPr>
          <w:b w:val="false"/>
          <w:bCs w:val="false"/>
          <w:i w:val="false"/>
          <w:iCs w:val="false"/>
          <w:color w:val="202122"/>
          <w:sz w:val="24"/>
          <w:szCs w:val="24"/>
        </w:rPr>
        <w:t xml:space="preserve">14. Roe HH: A photometric method for determination of inulin in plasma and urine. J Biol Chem 1949;178:839–844. </w:t>
      </w:r>
    </w:p>
    <w:p>
      <w:pPr>
        <w:pStyle w:val="Normal"/>
        <w:widowControl/>
        <w:suppressAutoHyphens w:val="true"/>
        <w:spacing w:lineRule="auto" w:line="360" w:before="0" w:after="140"/>
        <w:jc w:val="left"/>
        <w:rPr/>
      </w:pPr>
      <w:r>
        <w:rPr/>
      </w:r>
    </w:p>
    <w:sectPr>
      <w:footerReference w:type="default" r:id="rId4"/>
      <w:type w:val="nextPage"/>
      <w:pgSz w:w="12240" w:h="15840"/>
      <w:pgMar w:left="1134" w:right="1134" w:header="0" w:top="1134" w:footer="1134" w:bottom="1439" w:gutter="0"/>
      <w:pgNumType w:fmt="decimal"/>
      <w:formProt w:val="false"/>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OpenSymbol">
    <w:altName w:val="Arial Unicode MS"/>
    <w:charset w:val="00"/>
    <w:family w:val="roman"/>
    <w:pitch w:val="variable"/>
  </w:font>
  <w:font w:name="Arial">
    <w:charset w:val="00"/>
    <w:family w:val="roman"/>
    <w:pitch w:val="variable"/>
  </w:font>
  <w:font w:name="Nunito">
    <w:altName w:val="sans-serif"/>
    <w:charset w:val="00"/>
    <w:family w:val="roman"/>
    <w:pitch w:val="variable"/>
  </w:font>
  <w:font w:name="Open Sans">
    <w:altName w:val="Arial"/>
    <w:charset w:val="00"/>
    <w:family w:val="roman"/>
    <w:pitch w:val="variable"/>
  </w:font>
  <w:font w:name="sans-serif">
    <w:altName w:val="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spacing w:before="0" w:after="0"/>
      <w:ind w:left="4320" w:hanging="0"/>
      <w:jc w:val="both"/>
      <w:rPr/>
    </w:pPr>
    <w:r>
      <w:rPr>
        <w:color w:val="000000"/>
      </w:rPr>
      <w:t xml:space="preserve">     </w:t>
    </w:r>
    <w:r>
      <w:rPr>
        <w:highlight w:val="white"/>
      </w:rPr>
      <w:fldChar w:fldCharType="begin"/>
    </w:r>
    <w:r>
      <w:rPr>
        <w:highlight w:val="white"/>
      </w:rPr>
      <w:instrText> PAGE </w:instrText>
    </w:r>
    <w:r>
      <w:rPr>
        <w:highlight w:val="white"/>
      </w:rPr>
      <w:fldChar w:fldCharType="separate"/>
    </w:r>
    <w:r>
      <w:rPr>
        <w:highlight w:val="white"/>
      </w:rPr>
      <w:t>9</w:t>
    </w:r>
    <w:r>
      <w:rPr>
        <w:highlight w:val="white"/>
      </w:rPr>
      <w:fldChar w:fldCharType="end"/>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suff w:val="nothing"/>
      <w:lvlText w:val=""/>
      <w:lvlJc w:val="left"/>
      <w:pPr>
        <w:ind w:left="707" w:hanging="0"/>
      </w:pPr>
      <w:rPr>
        <w:rFonts w:ascii="Symbol" w:hAnsi="Symbol" w:cs="Symbol" w:hint="default"/>
        <w:sz w:val="24"/>
        <w:b w:val="false"/>
        <w:rFonts w:cs="Symbol"/>
      </w:rPr>
    </w:lvl>
    <w:lvl w:ilvl="1">
      <w:start w:val="1"/>
      <w:numFmt w:val="bullet"/>
      <w:lvlText w:val=""/>
      <w:lvlJc w:val="left"/>
      <w:pPr>
        <w:tabs>
          <w:tab w:val="num" w:pos="1414"/>
        </w:tabs>
        <w:ind w:left="1414" w:hanging="283"/>
      </w:pPr>
      <w:rPr>
        <w:rFonts w:ascii="Symbol" w:hAnsi="Symbol" w:cs="Symbol" w:hint="default"/>
        <w:rFonts w:cs="Symbol"/>
      </w:rPr>
    </w:lvl>
    <w:lvl w:ilvl="2">
      <w:start w:val="1"/>
      <w:numFmt w:val="bullet"/>
      <w:lvlText w:val=""/>
      <w:lvlJc w:val="left"/>
      <w:pPr>
        <w:tabs>
          <w:tab w:val="num" w:pos="2121"/>
        </w:tabs>
        <w:ind w:left="2121" w:hanging="283"/>
      </w:pPr>
      <w:rPr>
        <w:rFonts w:ascii="Symbol" w:hAnsi="Symbol" w:cs="Symbol" w:hint="default"/>
        <w:rFonts w:cs="Symbol"/>
      </w:rPr>
    </w:lvl>
    <w:lvl w:ilvl="3">
      <w:start w:val="1"/>
      <w:numFmt w:val="bullet"/>
      <w:lvlText w:val=""/>
      <w:lvlJc w:val="left"/>
      <w:pPr>
        <w:tabs>
          <w:tab w:val="num" w:pos="2828"/>
        </w:tabs>
        <w:ind w:left="2828" w:hanging="283"/>
      </w:pPr>
      <w:rPr>
        <w:rFonts w:ascii="Symbol" w:hAnsi="Symbol" w:cs="Symbol" w:hint="default"/>
        <w:rFonts w:cs="Symbol"/>
      </w:rPr>
    </w:lvl>
    <w:lvl w:ilvl="4">
      <w:start w:val="1"/>
      <w:numFmt w:val="bullet"/>
      <w:lvlText w:val=""/>
      <w:lvlJc w:val="left"/>
      <w:pPr>
        <w:tabs>
          <w:tab w:val="num" w:pos="3535"/>
        </w:tabs>
        <w:ind w:left="3535" w:hanging="283"/>
      </w:pPr>
      <w:rPr>
        <w:rFonts w:ascii="Symbol" w:hAnsi="Symbol" w:cs="Symbol" w:hint="default"/>
        <w:rFonts w:cs="Symbol"/>
      </w:rPr>
    </w:lvl>
    <w:lvl w:ilvl="5">
      <w:start w:val="1"/>
      <w:numFmt w:val="bullet"/>
      <w:lvlText w:val=""/>
      <w:lvlJc w:val="left"/>
      <w:pPr>
        <w:tabs>
          <w:tab w:val="num" w:pos="4242"/>
        </w:tabs>
        <w:ind w:left="4242" w:hanging="283"/>
      </w:pPr>
      <w:rPr>
        <w:rFonts w:ascii="Symbol" w:hAnsi="Symbol" w:cs="Symbol" w:hint="default"/>
        <w:rFonts w:cs="Symbol"/>
      </w:rPr>
    </w:lvl>
    <w:lvl w:ilvl="6">
      <w:start w:val="1"/>
      <w:numFmt w:val="bullet"/>
      <w:lvlText w:val=""/>
      <w:lvlJc w:val="left"/>
      <w:pPr>
        <w:tabs>
          <w:tab w:val="num" w:pos="4949"/>
        </w:tabs>
        <w:ind w:left="4949" w:hanging="283"/>
      </w:pPr>
      <w:rPr>
        <w:rFonts w:ascii="Symbol" w:hAnsi="Symbol" w:cs="Symbol" w:hint="default"/>
        <w:rFonts w:cs="Symbol"/>
      </w:rPr>
    </w:lvl>
    <w:lvl w:ilvl="7">
      <w:start w:val="1"/>
      <w:numFmt w:val="bullet"/>
      <w:lvlText w:val=""/>
      <w:lvlJc w:val="left"/>
      <w:pPr>
        <w:tabs>
          <w:tab w:val="num" w:pos="5656"/>
        </w:tabs>
        <w:ind w:left="5656" w:hanging="283"/>
      </w:pPr>
      <w:rPr>
        <w:rFonts w:ascii="Symbol" w:hAnsi="Symbol" w:cs="Symbol" w:hint="default"/>
        <w:rFonts w:cs="Symbol"/>
      </w:rPr>
    </w:lvl>
    <w:lvl w:ilvl="8">
      <w:start w:val="1"/>
      <w:numFmt w:val="bullet"/>
      <w:lvlText w:val=""/>
      <w:lvlJc w:val="left"/>
      <w:pPr>
        <w:tabs>
          <w:tab w:val="num" w:pos="6363"/>
        </w:tabs>
        <w:ind w:left="6363" w:hanging="283"/>
      </w:pPr>
      <w:rPr>
        <w:rFonts w:ascii="Symbol" w:hAnsi="Symbol" w:cs="Symbol" w:hint="default"/>
        <w:rFonts w:cs="Symbol"/>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9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SimSun" w:cs="Arial"/>
        <w:kern w:val="2"/>
        <w:sz w:val="20"/>
        <w:szCs w:val="24"/>
        <w:lang w:val="en-US" w:eastAsia="zh-CN" w:bidi="hi-IN"/>
      </w:rPr>
    </w:rPrDefault>
    <w:pPrDefault>
      <w:pPr/>
    </w:pPrDefault>
  </w:docDefaults>
  <w:style w:type="paragraph" w:styleId="Normal">
    <w:name w:val="Normal"/>
    <w:qFormat/>
    <w:pPr>
      <w:widowControl/>
      <w:overflowPunct w:val="false"/>
      <w:bidi w:val="0"/>
      <w:jc w:val="left"/>
    </w:pPr>
    <w:rPr>
      <w:rFonts w:ascii="Times New Roman" w:hAnsi="Times New Roman" w:eastAsia="NSimSun" w:cs="Arial"/>
      <w:color w:val="auto"/>
      <w:kern w:val="2"/>
      <w:sz w:val="24"/>
      <w:szCs w:val="24"/>
      <w:lang w:val="en-US" w:eastAsia="zh-CN" w:bidi="hi-IN"/>
    </w:rPr>
  </w:style>
  <w:style w:type="character" w:styleId="InternetLink">
    <w:name w:val="Internet Link"/>
    <w:rPr>
      <w:color w:val="000080"/>
      <w:u w:val="single"/>
      <w:lang w:val="zxx" w:eastAsia="zxx" w:bidi="zxx"/>
    </w:rPr>
  </w:style>
  <w:style w:type="character" w:styleId="Character20style">
    <w:name w:val="Character_20_style"/>
    <w:qFormat/>
    <w:rPr/>
  </w:style>
  <w:style w:type="character" w:styleId="Quotation">
    <w:name w:val="Quotation"/>
    <w:qFormat/>
    <w:rPr>
      <w:i/>
      <w:iCs/>
    </w:rPr>
  </w:style>
  <w:style w:type="character" w:styleId="Bullets">
    <w:name w:val="Bullets"/>
    <w:qFormat/>
    <w:rPr>
      <w:rFonts w:ascii="OpenSymbol" w:hAnsi="OpenSymbol" w:eastAsia="OpenSymbol" w:cs="OpenSymbol"/>
    </w:rPr>
  </w:style>
  <w:style w:type="character" w:styleId="NumberingSymbols">
    <w:name w:val="Numbering Symbols"/>
    <w:qFormat/>
    <w:rPr/>
  </w:style>
  <w:style w:type="character" w:styleId="ListLabel1">
    <w:name w:val="ListLabel 1"/>
    <w:qFormat/>
    <w:rPr>
      <w:rFonts w:ascii="Times New Roman" w:hAnsi="Times New Roman" w:cs="Symbol"/>
      <w:b w:val="false"/>
      <w:sz w:val="24"/>
    </w:rPr>
  </w:style>
  <w:style w:type="character" w:styleId="ListLabel2">
    <w:name w:val="ListLabel 2"/>
    <w:qFormat/>
    <w:rPr>
      <w:rFonts w:cs="Symbol"/>
    </w:rPr>
  </w:style>
  <w:style w:type="character" w:styleId="ListLabel3">
    <w:name w:val="ListLabel 3"/>
    <w:qFormat/>
    <w:rPr>
      <w:rFonts w:cs="Symbol"/>
    </w:rPr>
  </w:style>
  <w:style w:type="character" w:styleId="ListLabel4">
    <w:name w:val="ListLabel 4"/>
    <w:qFormat/>
    <w:rPr>
      <w:rFonts w:cs="Symbol"/>
    </w:rPr>
  </w:style>
  <w:style w:type="character" w:styleId="ListLabel5">
    <w:name w:val="ListLabel 5"/>
    <w:qFormat/>
    <w:rPr>
      <w:rFonts w:cs="Symbol"/>
    </w:rPr>
  </w:style>
  <w:style w:type="character" w:styleId="ListLabel6">
    <w:name w:val="ListLabel 6"/>
    <w:qFormat/>
    <w:rPr>
      <w:rFonts w:cs="Symbol"/>
    </w:rPr>
  </w:style>
  <w:style w:type="character" w:styleId="ListLabel7">
    <w:name w:val="ListLabel 7"/>
    <w:qFormat/>
    <w:rPr>
      <w:rFonts w:cs="Symbol"/>
    </w:rPr>
  </w:style>
  <w:style w:type="character" w:styleId="ListLabel8">
    <w:name w:val="ListLabel 8"/>
    <w:qFormat/>
    <w:rPr>
      <w:rFonts w:cs="Symbol"/>
    </w:rPr>
  </w:style>
  <w:style w:type="character" w:styleId="ListLabel9">
    <w:name w:val="ListLabel 9"/>
    <w:qFormat/>
    <w:rPr>
      <w:rFonts w:cs="Symbol"/>
    </w:rPr>
  </w:style>
  <w:style w:type="character" w:styleId="ListLabel10">
    <w:name w:val="ListLabel 10"/>
    <w:qFormat/>
    <w:rPr>
      <w:rFonts w:ascii="Times New Roman" w:hAnsi="Times New Roman" w:cs="Symbol"/>
      <w:b w:val="false"/>
      <w:sz w:val="24"/>
    </w:rPr>
  </w:style>
  <w:style w:type="character" w:styleId="ListLabel11">
    <w:name w:val="ListLabel 11"/>
    <w:qFormat/>
    <w:rPr>
      <w:rFonts w:cs="Symbol"/>
    </w:rPr>
  </w:style>
  <w:style w:type="character" w:styleId="ListLabel12">
    <w:name w:val="ListLabel 12"/>
    <w:qFormat/>
    <w:rPr>
      <w:rFonts w:cs="Symbol"/>
    </w:rPr>
  </w:style>
  <w:style w:type="character" w:styleId="ListLabel13">
    <w:name w:val="ListLabel 13"/>
    <w:qFormat/>
    <w:rPr>
      <w:rFonts w:cs="Symbol"/>
    </w:rPr>
  </w:style>
  <w:style w:type="character" w:styleId="ListLabel14">
    <w:name w:val="ListLabel 14"/>
    <w:qFormat/>
    <w:rPr>
      <w:rFonts w:cs="Symbol"/>
    </w:rPr>
  </w:style>
  <w:style w:type="character" w:styleId="ListLabel15">
    <w:name w:val="ListLabel 15"/>
    <w:qFormat/>
    <w:rPr>
      <w:rFonts w:cs="Symbol"/>
    </w:rPr>
  </w:style>
  <w:style w:type="character" w:styleId="ListLabel16">
    <w:name w:val="ListLabel 16"/>
    <w:qFormat/>
    <w:rPr>
      <w:rFonts w:cs="Symbol"/>
    </w:rPr>
  </w:style>
  <w:style w:type="character" w:styleId="ListLabel17">
    <w:name w:val="ListLabel 17"/>
    <w:qFormat/>
    <w:rPr>
      <w:rFonts w:cs="Symbol"/>
    </w:rPr>
  </w:style>
  <w:style w:type="character" w:styleId="ListLabel18">
    <w:name w:val="ListLabel 18"/>
    <w:qFormat/>
    <w:rPr>
      <w:rFonts w:cs="Symbol"/>
    </w:rPr>
  </w:style>
  <w:style w:type="character" w:styleId="ListLabel19">
    <w:name w:val="ListLabel 19"/>
    <w:qFormat/>
    <w:rPr>
      <w:rFonts w:ascii="Times New Roman" w:hAnsi="Times New Roman" w:cs="Symbol"/>
      <w:b w:val="false"/>
      <w:sz w:val="24"/>
    </w:rPr>
  </w:style>
  <w:style w:type="character" w:styleId="ListLabel20">
    <w:name w:val="ListLabel 20"/>
    <w:qFormat/>
    <w:rPr>
      <w:rFonts w:cs="Symbol"/>
    </w:rPr>
  </w:style>
  <w:style w:type="character" w:styleId="ListLabel21">
    <w:name w:val="ListLabel 21"/>
    <w:qFormat/>
    <w:rPr>
      <w:rFonts w:cs="Symbol"/>
    </w:rPr>
  </w:style>
  <w:style w:type="character" w:styleId="ListLabel22">
    <w:name w:val="ListLabel 22"/>
    <w:qFormat/>
    <w:rPr>
      <w:rFonts w:cs="Symbol"/>
    </w:rPr>
  </w:style>
  <w:style w:type="character" w:styleId="ListLabel23">
    <w:name w:val="ListLabel 23"/>
    <w:qFormat/>
    <w:rPr>
      <w:rFonts w:cs="Symbol"/>
    </w:rPr>
  </w:style>
  <w:style w:type="character" w:styleId="ListLabel24">
    <w:name w:val="ListLabel 24"/>
    <w:qFormat/>
    <w:rPr>
      <w:rFonts w:cs="Symbol"/>
    </w:rPr>
  </w:style>
  <w:style w:type="character" w:styleId="ListLabel25">
    <w:name w:val="ListLabel 25"/>
    <w:qFormat/>
    <w:rPr>
      <w:rFonts w:cs="Symbol"/>
    </w:rPr>
  </w:style>
  <w:style w:type="character" w:styleId="ListLabel26">
    <w:name w:val="ListLabel 26"/>
    <w:qFormat/>
    <w:rPr>
      <w:rFonts w:cs="Symbol"/>
    </w:rPr>
  </w:style>
  <w:style w:type="character" w:styleId="ListLabel27">
    <w:name w:val="ListLabel 27"/>
    <w:qFormat/>
    <w:rPr>
      <w:rFonts w:cs="Symbol"/>
    </w:rPr>
  </w:style>
  <w:style w:type="paragraph" w:styleId="Heading">
    <w:name w:val="Heading"/>
    <w:basedOn w:val="Normal"/>
    <w:next w:val="TextBody"/>
    <w:qFormat/>
    <w:pPr>
      <w:keepNext w:val="true"/>
      <w:spacing w:before="240" w:after="120"/>
    </w:pPr>
    <w:rPr>
      <w:rFonts w:ascii="Arial" w:hAnsi="Arial" w:eastAsia="Microsoft YaHei" w:cs="Arial"/>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Footer">
    <w:name w:val="Footer"/>
    <w:basedOn w:val="Normal"/>
    <w:pPr>
      <w:suppressLineNumbers/>
      <w:tabs>
        <w:tab w:val="clear" w:pos="720"/>
        <w:tab w:val="center" w:pos="4986" w:leader="none"/>
        <w:tab w:val="right" w:pos="9972" w:leader="none"/>
      </w:tabs>
    </w:pPr>
    <w:rPr/>
  </w:style>
  <w:style w:type="paragraph" w:styleId="FrameContents">
    <w:name w:val="Frame Contents"/>
    <w:basedOn w:val="Normal"/>
    <w:qFormat/>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56</TotalTime>
  <Application>Trio_Office/6.2.8.2$Windows_x86 LibreOffice_project/</Application>
  <Pages>9</Pages>
  <Words>1632</Words>
  <Characters>8908</Characters>
  <CharactersWithSpaces>10493</CharactersWithSpaces>
  <Paragraphs>64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2022-06-17T19:36:59Z</dcterms:created>
  <dc:creator/>
  <dc:description/>
  <dc:language>en-US</dc:language>
  <cp:lastModifiedBy/>
  <dcterms:modified xsi:type="dcterms:W3CDTF">2022-06-20T16:14:19Z</dcterms:modified>
  <cp:revision>8</cp:revision>
  <dc:subject/>
  <dc:title/>
</cp:coreProperties>
</file>