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86E18" w:rsidRDefault="00EC7941">
      <w:r>
        <w:t xml:space="preserve">           </w:t>
      </w:r>
      <w:r>
        <w:rPr>
          <w:noProof/>
        </w:rPr>
        <w:drawing>
          <wp:anchor distT="0" distB="0" distL="114300" distR="114300" simplePos="0" relativeHeight="251658240" behindDoc="0" locked="0" layoutInCell="1" hidden="0" allowOverlap="1">
            <wp:simplePos x="0" y="0"/>
            <wp:positionH relativeFrom="column">
              <wp:posOffset>-419099</wp:posOffset>
            </wp:positionH>
            <wp:positionV relativeFrom="paragraph">
              <wp:posOffset>0</wp:posOffset>
            </wp:positionV>
            <wp:extent cx="6486525" cy="1298575"/>
            <wp:effectExtent l="0" t="0" r="0" b="0"/>
            <wp:wrapSquare wrapText="bothSides" distT="0" distB="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6486525" cy="1298575"/>
                    </a:xfrm>
                    <a:prstGeom prst="rect">
                      <a:avLst/>
                    </a:prstGeom>
                    <a:ln/>
                  </pic:spPr>
                </pic:pic>
              </a:graphicData>
            </a:graphic>
          </wp:anchor>
        </w:drawing>
      </w:r>
    </w:p>
    <w:p w:rsidR="00B86E18" w:rsidRDefault="00EC7941">
      <w:pPr>
        <w:spacing w:line="240" w:lineRule="auto"/>
        <w:jc w:val="center"/>
        <w:rPr>
          <w:rFonts w:ascii="Calibri" w:eastAsia="Calibri" w:hAnsi="Calibri" w:cs="Calibri"/>
          <w:sz w:val="32"/>
          <w:szCs w:val="32"/>
        </w:rPr>
      </w:pPr>
      <w:r>
        <w:rPr>
          <w:rFonts w:ascii="Calibri" w:eastAsia="Calibri" w:hAnsi="Calibri" w:cs="Calibri"/>
          <w:sz w:val="32"/>
          <w:szCs w:val="32"/>
        </w:rPr>
        <w:t>Libyan International</w:t>
      </w:r>
    </w:p>
    <w:p w:rsidR="00B86E18" w:rsidRDefault="00EC7941">
      <w:pPr>
        <w:spacing w:line="240" w:lineRule="auto"/>
        <w:jc w:val="center"/>
        <w:rPr>
          <w:rFonts w:ascii="Calibri" w:eastAsia="Calibri" w:hAnsi="Calibri" w:cs="Calibri"/>
          <w:sz w:val="32"/>
          <w:szCs w:val="32"/>
        </w:rPr>
      </w:pPr>
      <w:bookmarkStart w:id="0" w:name="_30j0zll" w:colFirst="0" w:colLast="0"/>
      <w:bookmarkEnd w:id="0"/>
      <w:r>
        <w:rPr>
          <w:rFonts w:ascii="Calibri" w:eastAsia="Calibri" w:hAnsi="Calibri" w:cs="Calibri"/>
          <w:sz w:val="32"/>
          <w:szCs w:val="32"/>
        </w:rPr>
        <w:t>Medical University</w:t>
      </w:r>
    </w:p>
    <w:p w:rsidR="00B86E18" w:rsidRDefault="00EC7941">
      <w:pPr>
        <w:spacing w:line="240" w:lineRule="auto"/>
        <w:jc w:val="center"/>
        <w:rPr>
          <w:rFonts w:ascii="Calibri" w:eastAsia="Calibri" w:hAnsi="Calibri" w:cs="Calibri"/>
          <w:sz w:val="32"/>
          <w:szCs w:val="32"/>
        </w:rPr>
      </w:pPr>
      <w:bookmarkStart w:id="1" w:name="_rwzow26ys8k3" w:colFirst="0" w:colLast="0"/>
      <w:bookmarkEnd w:id="1"/>
      <w:r>
        <w:rPr>
          <w:rFonts w:ascii="Calibri" w:eastAsia="Calibri" w:hAnsi="Calibri" w:cs="Calibri"/>
          <w:sz w:val="32"/>
          <w:szCs w:val="32"/>
        </w:rPr>
        <w:t xml:space="preserve">Name:Bader </w:t>
      </w:r>
      <w:proofErr w:type="spellStart"/>
      <w:r>
        <w:rPr>
          <w:rFonts w:ascii="Calibri" w:eastAsia="Calibri" w:hAnsi="Calibri" w:cs="Calibri"/>
          <w:sz w:val="32"/>
          <w:szCs w:val="32"/>
        </w:rPr>
        <w:t>Amsadef</w:t>
      </w:r>
      <w:proofErr w:type="spellEnd"/>
      <w:r>
        <w:rPr>
          <w:rFonts w:ascii="Calibri" w:eastAsia="Calibri" w:hAnsi="Calibri" w:cs="Calibri"/>
          <w:sz w:val="32"/>
          <w:szCs w:val="32"/>
        </w:rPr>
        <w:t xml:space="preserve"> Bader</w:t>
      </w:r>
    </w:p>
    <w:p w:rsidR="00B86E18" w:rsidRDefault="00B86E18">
      <w:pPr>
        <w:spacing w:line="240" w:lineRule="auto"/>
        <w:jc w:val="center"/>
        <w:rPr>
          <w:rFonts w:ascii="Calibri" w:eastAsia="Calibri" w:hAnsi="Calibri" w:cs="Calibri"/>
          <w:sz w:val="32"/>
          <w:szCs w:val="32"/>
        </w:rPr>
      </w:pPr>
      <w:bookmarkStart w:id="2" w:name="_rmwh2og8if4y" w:colFirst="0" w:colLast="0"/>
      <w:bookmarkEnd w:id="2"/>
    </w:p>
    <w:p w:rsidR="00B86E18" w:rsidRDefault="00EC7941">
      <w:pPr>
        <w:spacing w:line="240" w:lineRule="auto"/>
        <w:jc w:val="center"/>
        <w:rPr>
          <w:rFonts w:ascii="Calibri" w:eastAsia="Calibri" w:hAnsi="Calibri" w:cs="Calibri"/>
          <w:sz w:val="32"/>
          <w:szCs w:val="32"/>
        </w:rPr>
      </w:pPr>
      <w:bookmarkStart w:id="3" w:name="_9sjdscz3637r" w:colFirst="0" w:colLast="0"/>
      <w:bookmarkEnd w:id="3"/>
      <w:r>
        <w:rPr>
          <w:rFonts w:ascii="Calibri" w:eastAsia="Calibri" w:hAnsi="Calibri" w:cs="Calibri"/>
          <w:sz w:val="32"/>
          <w:szCs w:val="32"/>
        </w:rPr>
        <w:t>Roll num: 3051</w:t>
      </w:r>
    </w:p>
    <w:p w:rsidR="00B86E18" w:rsidRDefault="00B86E18">
      <w:pPr>
        <w:spacing w:line="240" w:lineRule="auto"/>
        <w:jc w:val="center"/>
        <w:rPr>
          <w:rFonts w:ascii="Calibri" w:eastAsia="Calibri" w:hAnsi="Calibri" w:cs="Calibri"/>
          <w:sz w:val="32"/>
          <w:szCs w:val="32"/>
        </w:rPr>
      </w:pPr>
      <w:bookmarkStart w:id="4" w:name="_2xyx1lif0n3o" w:colFirst="0" w:colLast="0"/>
      <w:bookmarkEnd w:id="4"/>
    </w:p>
    <w:p w:rsidR="00B86E18" w:rsidRDefault="00EC7941">
      <w:pPr>
        <w:spacing w:line="240" w:lineRule="auto"/>
        <w:jc w:val="center"/>
        <w:rPr>
          <w:rFonts w:ascii="Calibri" w:eastAsia="Calibri" w:hAnsi="Calibri" w:cs="Calibri"/>
          <w:sz w:val="32"/>
          <w:szCs w:val="32"/>
        </w:rPr>
      </w:pPr>
      <w:bookmarkStart w:id="5" w:name="_uc2pg4snm466" w:colFirst="0" w:colLast="0"/>
      <w:bookmarkEnd w:id="5"/>
      <w:r>
        <w:rPr>
          <w:rFonts w:ascii="Calibri" w:eastAsia="Calibri" w:hAnsi="Calibri" w:cs="Calibri"/>
          <w:sz w:val="32"/>
          <w:szCs w:val="32"/>
        </w:rPr>
        <w:t>Report 2nd medical year</w:t>
      </w:r>
    </w:p>
    <w:p w:rsidR="00B86E18" w:rsidRDefault="00B86E18">
      <w:pPr>
        <w:spacing w:line="240" w:lineRule="auto"/>
        <w:jc w:val="center"/>
        <w:rPr>
          <w:rFonts w:ascii="Calibri" w:eastAsia="Calibri" w:hAnsi="Calibri" w:cs="Calibri"/>
          <w:sz w:val="32"/>
          <w:szCs w:val="32"/>
        </w:rPr>
      </w:pPr>
      <w:bookmarkStart w:id="6" w:name="_y8dgulzc40yz" w:colFirst="0" w:colLast="0"/>
      <w:bookmarkEnd w:id="6"/>
    </w:p>
    <w:p w:rsidR="00B86E18" w:rsidRDefault="00B86E18">
      <w:pPr>
        <w:spacing w:line="240" w:lineRule="auto"/>
        <w:jc w:val="center"/>
        <w:rPr>
          <w:rFonts w:ascii="Calibri" w:eastAsia="Calibri" w:hAnsi="Calibri" w:cs="Calibri"/>
          <w:sz w:val="32"/>
          <w:szCs w:val="32"/>
        </w:rPr>
      </w:pPr>
      <w:bookmarkStart w:id="7" w:name="_2fo3i03w7da1" w:colFirst="0" w:colLast="0"/>
      <w:bookmarkEnd w:id="7"/>
    </w:p>
    <w:p w:rsidR="00B86E18" w:rsidRDefault="00B86E18">
      <w:pPr>
        <w:spacing w:line="240" w:lineRule="auto"/>
        <w:jc w:val="center"/>
        <w:rPr>
          <w:rFonts w:ascii="Calibri" w:eastAsia="Calibri" w:hAnsi="Calibri" w:cs="Calibri"/>
          <w:sz w:val="32"/>
          <w:szCs w:val="32"/>
        </w:rPr>
      </w:pPr>
      <w:bookmarkStart w:id="8" w:name="_ovi1c9ur91t9" w:colFirst="0" w:colLast="0"/>
      <w:bookmarkEnd w:id="8"/>
    </w:p>
    <w:p w:rsidR="00B86E18" w:rsidRDefault="00EC7941">
      <w:pPr>
        <w:rPr>
          <w:rFonts w:ascii="Calibri" w:eastAsia="Calibri" w:hAnsi="Calibri" w:cs="Calibri"/>
          <w:b/>
          <w:sz w:val="28"/>
          <w:szCs w:val="28"/>
        </w:rPr>
      </w:pPr>
      <w:r>
        <w:rPr>
          <w:rFonts w:ascii="Calibri" w:eastAsia="Calibri" w:hAnsi="Calibri" w:cs="Calibri"/>
          <w:b/>
          <w:sz w:val="28"/>
          <w:szCs w:val="28"/>
        </w:rPr>
        <w:t>Abstract:</w:t>
      </w:r>
    </w:p>
    <w:p w:rsidR="00B86E18" w:rsidRDefault="00EC7941">
      <w:pPr>
        <w:rPr>
          <w:rFonts w:ascii="Calibri" w:eastAsia="Calibri" w:hAnsi="Calibri" w:cs="Calibri"/>
          <w:sz w:val="28"/>
          <w:szCs w:val="28"/>
        </w:rPr>
      </w:pPr>
      <w:r>
        <w:rPr>
          <w:rFonts w:ascii="Calibri" w:eastAsia="Calibri" w:hAnsi="Calibri" w:cs="Calibri"/>
          <w:sz w:val="28"/>
          <w:szCs w:val="28"/>
        </w:rPr>
        <w:t>Asymptomatic bacteriuria is the presence of bacteria in correctly collected urine of a patient who has no signs or symptoms of a urinary tract infection. Between the ages of 65 and 80, 15% of women and men suffer with asymptomatic bacteriuria. The guys sho</w:t>
      </w:r>
      <w:r>
        <w:rPr>
          <w:rFonts w:ascii="Calibri" w:eastAsia="Calibri" w:hAnsi="Calibri" w:cs="Calibri"/>
          <w:sz w:val="28"/>
          <w:szCs w:val="28"/>
        </w:rPr>
        <w:t>wed no signs of bacterial growth. More than half of the ladies in the research had bacterial growth. The midstream catch method was used to obtain the urine sample. A diagnosis is made based on the number of colony-forming units (CFUs) per milliliter of ur</w:t>
      </w:r>
      <w:r>
        <w:rPr>
          <w:rFonts w:ascii="Calibri" w:eastAsia="Calibri" w:hAnsi="Calibri" w:cs="Calibri"/>
          <w:sz w:val="28"/>
          <w:szCs w:val="28"/>
        </w:rPr>
        <w:t>ine.</w:t>
      </w:r>
    </w:p>
    <w:p w:rsidR="00B86E18" w:rsidRDefault="00B86E18">
      <w:pPr>
        <w:rPr>
          <w:rFonts w:ascii="Calibri" w:eastAsia="Calibri" w:hAnsi="Calibri" w:cs="Calibri"/>
          <w:sz w:val="28"/>
          <w:szCs w:val="28"/>
        </w:rPr>
      </w:pPr>
    </w:p>
    <w:p w:rsidR="00B86E18" w:rsidRDefault="00EC7941">
      <w:pPr>
        <w:rPr>
          <w:rFonts w:ascii="Calibri" w:eastAsia="Calibri" w:hAnsi="Calibri" w:cs="Calibri"/>
          <w:b/>
          <w:sz w:val="28"/>
          <w:szCs w:val="28"/>
        </w:rPr>
      </w:pPr>
      <w:r>
        <w:rPr>
          <w:rFonts w:ascii="Calibri" w:eastAsia="Calibri" w:hAnsi="Calibri" w:cs="Calibri"/>
          <w:b/>
          <w:sz w:val="28"/>
          <w:szCs w:val="28"/>
        </w:rPr>
        <w:t>Introduction</w:t>
      </w:r>
    </w:p>
    <w:p w:rsidR="00B86E18" w:rsidRDefault="00EC7941">
      <w:pPr>
        <w:rPr>
          <w:rFonts w:ascii="Calibri" w:eastAsia="Calibri" w:hAnsi="Calibri" w:cs="Calibri"/>
          <w:sz w:val="28"/>
          <w:szCs w:val="28"/>
        </w:rPr>
      </w:pPr>
      <w:r>
        <w:rPr>
          <w:rFonts w:ascii="Calibri" w:eastAsia="Calibri" w:hAnsi="Calibri" w:cs="Calibri"/>
          <w:sz w:val="28"/>
          <w:szCs w:val="28"/>
        </w:rPr>
        <w:t>Asymptomatic bacteriuria can afflict up to 15% of women and men between the ages of 65 and 80, and up to 40% to 50% of people over 80. In clinical practice, asymptomatic bacteriuria is extremely prevalent. A patient with asymptomatic bac</w:t>
      </w:r>
      <w:r>
        <w:rPr>
          <w:rFonts w:ascii="Calibri" w:eastAsia="Calibri" w:hAnsi="Calibri" w:cs="Calibri"/>
          <w:sz w:val="28"/>
          <w:szCs w:val="28"/>
        </w:rPr>
        <w:t>teriuria has bacteria in their urine, but no symptoms or signs of a urinary tract infection. In newborns and small children, asymptomatic bacteriuria is uncommon, but it becomes more common as people get older. The vast majority of persons with asymptomati</w:t>
      </w:r>
      <w:r>
        <w:rPr>
          <w:rFonts w:ascii="Calibri" w:eastAsia="Calibri" w:hAnsi="Calibri" w:cs="Calibri"/>
          <w:sz w:val="28"/>
          <w:szCs w:val="28"/>
        </w:rPr>
        <w:t xml:space="preserve">c bacteriuria will never develop symptomatic urinary </w:t>
      </w:r>
      <w:r>
        <w:rPr>
          <w:rFonts w:ascii="Calibri" w:eastAsia="Calibri" w:hAnsi="Calibri" w:cs="Calibri"/>
          <w:sz w:val="28"/>
          <w:szCs w:val="28"/>
        </w:rPr>
        <w:lastRenderedPageBreak/>
        <w:t>tract infections, and their bacteriuria will do no harm. By definition, asymptomatic patients have asymptomatic bacteriuria. They exhibit no signs of infection as a result of the bacteria in the urine.Sy</w:t>
      </w:r>
      <w:r>
        <w:rPr>
          <w:rFonts w:ascii="Calibri" w:eastAsia="Calibri" w:hAnsi="Calibri" w:cs="Calibri"/>
          <w:sz w:val="28"/>
          <w:szCs w:val="28"/>
        </w:rPr>
        <w:t>mptomatic bacteriuria and urinary tract infections have quite distinct diagnoses and treatments. A number of variables are thought to contribute to the increased prevalence of asymptomatic bacteriuria. The following are some of them: Fecal soiling of the p</w:t>
      </w:r>
      <w:r>
        <w:rPr>
          <w:rFonts w:ascii="Calibri" w:eastAsia="Calibri" w:hAnsi="Calibri" w:cs="Calibri"/>
          <w:sz w:val="28"/>
          <w:szCs w:val="28"/>
        </w:rPr>
        <w:t xml:space="preserve">erineum (particularly in women), indwelling urinary catheters, and frequent instrumentation of the urinary system are all symptoms of obstructive </w:t>
      </w:r>
      <w:proofErr w:type="spellStart"/>
      <w:r>
        <w:rPr>
          <w:rFonts w:ascii="Calibri" w:eastAsia="Calibri" w:hAnsi="Calibri" w:cs="Calibri"/>
          <w:sz w:val="28"/>
          <w:szCs w:val="28"/>
        </w:rPr>
        <w:t>uropathy</w:t>
      </w:r>
      <w:proofErr w:type="spellEnd"/>
      <w:r>
        <w:rPr>
          <w:rFonts w:ascii="Calibri" w:eastAsia="Calibri" w:hAnsi="Calibri" w:cs="Calibri"/>
          <w:sz w:val="28"/>
          <w:szCs w:val="28"/>
        </w:rPr>
        <w:t xml:space="preserve"> (stones, prostatic, etc.).</w:t>
      </w:r>
    </w:p>
    <w:p w:rsidR="00B86E18" w:rsidRDefault="00B86E18">
      <w:pPr>
        <w:rPr>
          <w:rFonts w:ascii="Calibri" w:eastAsia="Calibri" w:hAnsi="Calibri" w:cs="Calibri"/>
          <w:sz w:val="28"/>
          <w:szCs w:val="28"/>
        </w:rPr>
      </w:pPr>
    </w:p>
    <w:p w:rsidR="00B86E18" w:rsidRDefault="00EC7941">
      <w:pPr>
        <w:rPr>
          <w:rFonts w:ascii="Calibri" w:eastAsia="Calibri" w:hAnsi="Calibri" w:cs="Calibri"/>
          <w:sz w:val="28"/>
          <w:szCs w:val="28"/>
        </w:rPr>
      </w:pPr>
      <w:r>
        <w:rPr>
          <w:rFonts w:ascii="Calibri" w:eastAsia="Calibri" w:hAnsi="Calibri" w:cs="Calibri"/>
          <w:b/>
          <w:sz w:val="28"/>
          <w:szCs w:val="28"/>
        </w:rPr>
        <w:t xml:space="preserve">Methods and materials </w:t>
      </w:r>
    </w:p>
    <w:p w:rsidR="00B86E18" w:rsidRDefault="00EC7941">
      <w:pPr>
        <w:jc w:val="both"/>
        <w:rPr>
          <w:rFonts w:ascii="Calibri" w:eastAsia="Calibri" w:hAnsi="Calibri" w:cs="Calibri"/>
          <w:b/>
          <w:sz w:val="28"/>
          <w:szCs w:val="28"/>
        </w:rPr>
      </w:pPr>
      <w:bookmarkStart w:id="9" w:name="_2et92p0" w:colFirst="0" w:colLast="0"/>
      <w:bookmarkEnd w:id="9"/>
      <w:r>
        <w:rPr>
          <w:rFonts w:ascii="Calibri" w:eastAsia="Calibri" w:hAnsi="Calibri" w:cs="Calibri"/>
          <w:sz w:val="24"/>
          <w:szCs w:val="24"/>
        </w:rPr>
        <w:t xml:space="preserve">By midstream catch urine specimen, we collect the </w:t>
      </w:r>
      <w:r>
        <w:rPr>
          <w:rFonts w:ascii="Calibri" w:eastAsia="Calibri" w:hAnsi="Calibri" w:cs="Calibri"/>
          <w:sz w:val="24"/>
          <w:szCs w:val="24"/>
        </w:rPr>
        <w:t>samples from a 12 females and 12 males. Also we use urine culture to identify the bacterial growth.</w:t>
      </w:r>
    </w:p>
    <w:p w:rsidR="00B86E18" w:rsidRDefault="00B86E18">
      <w:pPr>
        <w:jc w:val="both"/>
        <w:rPr>
          <w:rFonts w:ascii="Calibri" w:eastAsia="Calibri" w:hAnsi="Calibri" w:cs="Calibri"/>
          <w:b/>
          <w:sz w:val="28"/>
          <w:szCs w:val="28"/>
        </w:rPr>
      </w:pPr>
      <w:bookmarkStart w:id="10" w:name="_ppoqjyuddtli" w:colFirst="0" w:colLast="0"/>
      <w:bookmarkEnd w:id="10"/>
    </w:p>
    <w:p w:rsidR="00B86E18" w:rsidRDefault="00EC7941">
      <w:pPr>
        <w:spacing w:line="240" w:lineRule="auto"/>
        <w:rPr>
          <w:rFonts w:ascii="Calibri" w:eastAsia="Calibri" w:hAnsi="Calibri" w:cs="Calibri"/>
          <w:b/>
          <w:sz w:val="28"/>
          <w:szCs w:val="28"/>
        </w:rPr>
      </w:pPr>
      <w:r>
        <w:rPr>
          <w:rFonts w:ascii="Calibri" w:eastAsia="Calibri" w:hAnsi="Calibri" w:cs="Calibri"/>
          <w:b/>
          <w:sz w:val="28"/>
          <w:szCs w:val="28"/>
        </w:rPr>
        <w:t>Results:</w:t>
      </w:r>
    </w:p>
    <w:p w:rsidR="00B86E18" w:rsidRDefault="00EC7941">
      <w:pPr>
        <w:spacing w:line="240" w:lineRule="auto"/>
        <w:rPr>
          <w:rFonts w:ascii="Calibri" w:eastAsia="Calibri" w:hAnsi="Calibri" w:cs="Calibri"/>
          <w:b/>
          <w:sz w:val="28"/>
          <w:szCs w:val="28"/>
        </w:rPr>
      </w:pPr>
      <w:r>
        <w:rPr>
          <w:rFonts w:ascii="Calibri" w:eastAsia="Calibri" w:hAnsi="Calibri" w:cs="Calibri"/>
          <w:b/>
          <w:sz w:val="28"/>
          <w:szCs w:val="28"/>
        </w:rPr>
        <w:t>This can be seen in the 24 samples that were tested in this study.:</w:t>
      </w:r>
    </w:p>
    <w:p w:rsidR="00B86E18" w:rsidRDefault="00EC7941">
      <w:pPr>
        <w:numPr>
          <w:ilvl w:val="0"/>
          <w:numId w:val="1"/>
        </w:numPr>
        <w:rPr>
          <w:color w:val="111111"/>
          <w:sz w:val="24"/>
          <w:szCs w:val="24"/>
        </w:rPr>
      </w:pPr>
      <w:r>
        <w:rPr>
          <w:color w:val="111111"/>
          <w:sz w:val="24"/>
          <w:szCs w:val="24"/>
        </w:rPr>
        <w:t>Rejection of the null hypothesis</w:t>
      </w:r>
    </w:p>
    <w:p w:rsidR="00B86E18" w:rsidRDefault="00EC7941">
      <w:pPr>
        <w:numPr>
          <w:ilvl w:val="0"/>
          <w:numId w:val="1"/>
        </w:numPr>
        <w:rPr>
          <w:color w:val="111111"/>
          <w:sz w:val="24"/>
          <w:szCs w:val="24"/>
        </w:rPr>
      </w:pPr>
      <w:r>
        <w:rPr>
          <w:color w:val="111111"/>
          <w:sz w:val="24"/>
          <w:szCs w:val="24"/>
        </w:rPr>
        <w:t>There is a significant difference between mal</w:t>
      </w:r>
      <w:r>
        <w:rPr>
          <w:color w:val="111111"/>
          <w:sz w:val="24"/>
          <w:szCs w:val="24"/>
        </w:rPr>
        <w:t>es and females growth of the bacteria.</w:t>
      </w:r>
    </w:p>
    <w:p w:rsidR="00B86E18" w:rsidRDefault="00B86E18">
      <w:pPr>
        <w:rPr>
          <w:color w:val="111111"/>
          <w:sz w:val="24"/>
          <w:szCs w:val="24"/>
        </w:rPr>
      </w:pPr>
    </w:p>
    <w:p w:rsidR="00B86E18" w:rsidRDefault="00B86E18">
      <w:pPr>
        <w:rPr>
          <w:color w:val="111111"/>
          <w:sz w:val="24"/>
          <w:szCs w:val="24"/>
        </w:rPr>
      </w:pPr>
    </w:p>
    <w:p w:rsidR="00B86E18" w:rsidRDefault="00B86E18">
      <w:pPr>
        <w:rPr>
          <w:color w:val="111111"/>
          <w:sz w:val="24"/>
          <w:szCs w:val="24"/>
        </w:rPr>
      </w:pPr>
    </w:p>
    <w:tbl>
      <w:tblPr>
        <w:tblStyle w:val="a"/>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22"/>
        <w:gridCol w:w="937"/>
        <w:gridCol w:w="1814"/>
        <w:gridCol w:w="1153"/>
        <w:gridCol w:w="1476"/>
        <w:gridCol w:w="1476"/>
        <w:gridCol w:w="1030"/>
      </w:tblGrid>
      <w:tr w:rsidR="00B86E18">
        <w:trPr>
          <w:cantSplit/>
        </w:trPr>
        <w:tc>
          <w:tcPr>
            <w:tcW w:w="8808" w:type="dxa"/>
            <w:gridSpan w:val="7"/>
            <w:tcBorders>
              <w:top w:val="nil"/>
              <w:left w:val="nil"/>
              <w:bottom w:val="nil"/>
              <w:right w:val="nil"/>
            </w:tcBorders>
            <w:shd w:val="clear" w:color="auto" w:fill="FFFFFF"/>
            <w:tcMar>
              <w:top w:w="0" w:type="dxa"/>
              <w:bottom w:w="0" w:type="dxa"/>
            </w:tcMar>
            <w:vAlign w:val="center"/>
          </w:tcPr>
          <w:p w:rsidR="00B86E18" w:rsidRDefault="00B86E18">
            <w:pPr>
              <w:ind w:left="60" w:right="60"/>
              <w:jc w:val="center"/>
              <w:rPr>
                <w:b/>
                <w:color w:val="010205"/>
              </w:rPr>
            </w:pPr>
          </w:p>
          <w:p w:rsidR="00B86E18" w:rsidRDefault="00EC7941">
            <w:pPr>
              <w:ind w:left="60" w:right="60"/>
              <w:jc w:val="center"/>
              <w:rPr>
                <w:color w:val="010205"/>
              </w:rPr>
            </w:pPr>
            <w:r>
              <w:rPr>
                <w:b/>
                <w:color w:val="010205"/>
              </w:rPr>
              <w:t xml:space="preserve">Table (1) Gender * </w:t>
            </w:r>
            <w:proofErr w:type="spellStart"/>
            <w:r>
              <w:rPr>
                <w:b/>
                <w:color w:val="010205"/>
              </w:rPr>
              <w:t>UTICATS</w:t>
            </w:r>
            <w:proofErr w:type="spellEnd"/>
            <w:r>
              <w:rPr>
                <w:b/>
                <w:color w:val="010205"/>
              </w:rPr>
              <w:t xml:space="preserve"> Cross-tabulation</w:t>
            </w:r>
          </w:p>
        </w:tc>
      </w:tr>
      <w:tr w:rsidR="00B86E18">
        <w:trPr>
          <w:cantSplit/>
        </w:trPr>
        <w:tc>
          <w:tcPr>
            <w:tcW w:w="3673" w:type="dxa"/>
            <w:gridSpan w:val="3"/>
            <w:vMerge w:val="restart"/>
            <w:tcBorders>
              <w:top w:val="nil"/>
              <w:left w:val="nil"/>
              <w:bottom w:val="nil"/>
              <w:right w:val="nil"/>
            </w:tcBorders>
            <w:shd w:val="clear" w:color="auto" w:fill="FFFFFF"/>
            <w:tcMar>
              <w:top w:w="0" w:type="dxa"/>
              <w:bottom w:w="0" w:type="dxa"/>
            </w:tcMar>
            <w:vAlign w:val="bottom"/>
          </w:tcPr>
          <w:p w:rsidR="00B86E18" w:rsidRDefault="00B86E18">
            <w:pPr>
              <w:spacing w:line="240" w:lineRule="auto"/>
              <w:rPr>
                <w:rFonts w:ascii="Times New Roman" w:eastAsia="Times New Roman" w:hAnsi="Times New Roman" w:cs="Times New Roman"/>
                <w:sz w:val="24"/>
                <w:szCs w:val="24"/>
              </w:rPr>
            </w:pPr>
          </w:p>
        </w:tc>
        <w:tc>
          <w:tcPr>
            <w:tcW w:w="4105" w:type="dxa"/>
            <w:gridSpan w:val="3"/>
            <w:tcBorders>
              <w:top w:val="nil"/>
              <w:left w:val="nil"/>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proofErr w:type="spellStart"/>
            <w:r>
              <w:rPr>
                <w:color w:val="264A60"/>
                <w:sz w:val="18"/>
                <w:szCs w:val="18"/>
              </w:rPr>
              <w:t>UTICATS</w:t>
            </w:r>
            <w:proofErr w:type="spellEnd"/>
          </w:p>
        </w:tc>
        <w:tc>
          <w:tcPr>
            <w:tcW w:w="1030" w:type="dxa"/>
            <w:vMerge w:val="restart"/>
            <w:tcBorders>
              <w:top w:val="nil"/>
              <w:left w:val="single" w:sz="8" w:space="0" w:color="E0E0E0"/>
              <w:bottom w:val="nil"/>
              <w:right w:val="nil"/>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Total</w:t>
            </w:r>
          </w:p>
        </w:tc>
      </w:tr>
      <w:tr w:rsidR="00B86E18">
        <w:trPr>
          <w:cantSplit/>
        </w:trPr>
        <w:tc>
          <w:tcPr>
            <w:tcW w:w="3673" w:type="dxa"/>
            <w:gridSpan w:val="3"/>
            <w:vMerge/>
            <w:tcBorders>
              <w:top w:val="nil"/>
              <w:left w:val="nil"/>
              <w:bottom w:val="nil"/>
              <w:right w:val="nil"/>
            </w:tcBorders>
            <w:shd w:val="clear" w:color="auto" w:fill="FFFFFF"/>
            <w:tcMar>
              <w:top w:w="0" w:type="dxa"/>
              <w:bottom w:w="0" w:type="dxa"/>
            </w:tcMar>
            <w:vAlign w:val="bottom"/>
          </w:tcPr>
          <w:p w:rsidR="00B86E18" w:rsidRDefault="00B86E18">
            <w:pPr>
              <w:widowControl w:val="0"/>
              <w:rPr>
                <w:color w:val="264A60"/>
                <w:sz w:val="18"/>
                <w:szCs w:val="18"/>
              </w:rPr>
            </w:pPr>
          </w:p>
        </w:tc>
        <w:tc>
          <w:tcPr>
            <w:tcW w:w="1153" w:type="dxa"/>
            <w:tcBorders>
              <w:top w:val="nil"/>
              <w:left w:val="nil"/>
              <w:bottom w:val="single" w:sz="8" w:space="0" w:color="152935"/>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Significant growth</w:t>
            </w:r>
          </w:p>
        </w:tc>
        <w:tc>
          <w:tcPr>
            <w:tcW w:w="1030" w:type="dxa"/>
            <w:vMerge/>
            <w:tcBorders>
              <w:top w:val="nil"/>
              <w:left w:val="single" w:sz="8" w:space="0" w:color="E0E0E0"/>
              <w:bottom w:val="nil"/>
              <w:right w:val="nil"/>
            </w:tcBorders>
            <w:shd w:val="clear" w:color="auto" w:fill="FFFFFF"/>
            <w:tcMar>
              <w:top w:w="0" w:type="dxa"/>
              <w:bottom w:w="0" w:type="dxa"/>
            </w:tcMar>
            <w:vAlign w:val="bottom"/>
          </w:tcPr>
          <w:p w:rsidR="00B86E18" w:rsidRDefault="00B86E18">
            <w:pPr>
              <w:widowControl w:val="0"/>
              <w:rPr>
                <w:color w:val="264A60"/>
                <w:sz w:val="18"/>
                <w:szCs w:val="18"/>
              </w:rPr>
            </w:pPr>
          </w:p>
        </w:tc>
      </w:tr>
      <w:tr w:rsidR="00B86E18">
        <w:trPr>
          <w:cantSplit/>
        </w:trPr>
        <w:tc>
          <w:tcPr>
            <w:tcW w:w="922" w:type="dxa"/>
            <w:vMerge w:val="restart"/>
            <w:tcBorders>
              <w:top w:val="single" w:sz="8" w:space="0" w:color="152935"/>
              <w:left w:val="nil"/>
              <w:bottom w:val="nil"/>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Gender</w:t>
            </w:r>
          </w:p>
        </w:tc>
        <w:tc>
          <w:tcPr>
            <w:tcW w:w="937" w:type="dxa"/>
            <w:vMerge w:val="restart"/>
            <w:tcBorders>
              <w:top w:val="single" w:sz="8" w:space="0" w:color="152935"/>
              <w:left w:val="nil"/>
              <w:bottom w:val="nil"/>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Male</w:t>
            </w:r>
          </w:p>
        </w:tc>
        <w:tc>
          <w:tcPr>
            <w:tcW w:w="1814" w:type="dxa"/>
            <w:tcBorders>
              <w:top w:val="single" w:sz="8" w:space="0" w:color="152935"/>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12</w:t>
            </w:r>
          </w:p>
        </w:tc>
      </w:tr>
      <w:tr w:rsidR="00B86E18">
        <w:trPr>
          <w:cantSplit/>
        </w:trPr>
        <w:tc>
          <w:tcPr>
            <w:tcW w:w="922"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12.0</w:t>
            </w:r>
          </w:p>
        </w:tc>
      </w:tr>
      <w:tr w:rsidR="00B86E18">
        <w:trPr>
          <w:cantSplit/>
        </w:trPr>
        <w:tc>
          <w:tcPr>
            <w:tcW w:w="922"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r>
      <w:tr w:rsidR="00B86E18">
        <w:trPr>
          <w:cantSplit/>
        </w:trPr>
        <w:tc>
          <w:tcPr>
            <w:tcW w:w="922"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937"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nil"/>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 xml:space="preserve">% within </w:t>
            </w:r>
            <w:proofErr w:type="spellStart"/>
            <w:r>
              <w:rPr>
                <w:color w:val="264A60"/>
                <w:sz w:val="18"/>
                <w:szCs w:val="18"/>
              </w:rPr>
              <w:t>UTICATS</w:t>
            </w:r>
            <w:proofErr w:type="spellEnd"/>
          </w:p>
        </w:tc>
        <w:tc>
          <w:tcPr>
            <w:tcW w:w="1153" w:type="dxa"/>
            <w:tcBorders>
              <w:top w:val="single" w:sz="8" w:space="0" w:color="AEAEAE"/>
              <w:left w:val="nil"/>
              <w:bottom w:val="nil"/>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50.0%</w:t>
            </w:r>
          </w:p>
        </w:tc>
      </w:tr>
      <w:tr w:rsidR="00B86E18">
        <w:trPr>
          <w:cantSplit/>
        </w:trPr>
        <w:tc>
          <w:tcPr>
            <w:tcW w:w="922"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937" w:type="dxa"/>
            <w:vMerge w:val="restart"/>
            <w:tcBorders>
              <w:top w:val="single" w:sz="8" w:space="0" w:color="AEAEAE"/>
              <w:left w:val="nil"/>
              <w:bottom w:val="nil"/>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Female</w:t>
            </w: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12</w:t>
            </w:r>
          </w:p>
        </w:tc>
      </w:tr>
      <w:tr w:rsidR="00B86E18">
        <w:trPr>
          <w:cantSplit/>
        </w:trPr>
        <w:tc>
          <w:tcPr>
            <w:tcW w:w="922"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12.0</w:t>
            </w:r>
          </w:p>
        </w:tc>
      </w:tr>
      <w:tr w:rsidR="00B86E18">
        <w:trPr>
          <w:cantSplit/>
        </w:trPr>
        <w:tc>
          <w:tcPr>
            <w:tcW w:w="922"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r>
      <w:tr w:rsidR="00B86E18">
        <w:trPr>
          <w:cantSplit/>
        </w:trPr>
        <w:tc>
          <w:tcPr>
            <w:tcW w:w="922" w:type="dxa"/>
            <w:vMerge/>
            <w:tcBorders>
              <w:top w:val="single" w:sz="8" w:space="0" w:color="152935"/>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937" w:type="dxa"/>
            <w:vMerge/>
            <w:tcBorders>
              <w:top w:val="single" w:sz="8" w:space="0" w:color="AEAEAE"/>
              <w:left w:val="nil"/>
              <w:bottom w:val="nil"/>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nil"/>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 xml:space="preserve">% within </w:t>
            </w:r>
            <w:proofErr w:type="spellStart"/>
            <w:r>
              <w:rPr>
                <w:color w:val="264A60"/>
                <w:sz w:val="18"/>
                <w:szCs w:val="18"/>
              </w:rPr>
              <w:t>UTICATS</w:t>
            </w:r>
            <w:proofErr w:type="spellEnd"/>
          </w:p>
        </w:tc>
        <w:tc>
          <w:tcPr>
            <w:tcW w:w="1153" w:type="dxa"/>
            <w:tcBorders>
              <w:top w:val="single" w:sz="8" w:space="0" w:color="AEAEAE"/>
              <w:left w:val="nil"/>
              <w:bottom w:val="nil"/>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c>
          <w:tcPr>
            <w:tcW w:w="1030" w:type="dxa"/>
            <w:tcBorders>
              <w:top w:val="single" w:sz="8" w:space="0" w:color="AEAEAE"/>
              <w:left w:val="single" w:sz="8" w:space="0" w:color="E0E0E0"/>
              <w:bottom w:val="nil"/>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50.0%</w:t>
            </w:r>
          </w:p>
        </w:tc>
      </w:tr>
      <w:tr w:rsidR="00B86E18">
        <w:trPr>
          <w:cantSplit/>
        </w:trPr>
        <w:tc>
          <w:tcPr>
            <w:tcW w:w="1859" w:type="dxa"/>
            <w:gridSpan w:val="2"/>
            <w:vMerge w:val="restart"/>
            <w:tcBorders>
              <w:top w:val="single" w:sz="8" w:space="0" w:color="AEAEAE"/>
              <w:left w:val="nil"/>
              <w:bottom w:val="single" w:sz="8" w:space="0" w:color="152935"/>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Total</w:t>
            </w: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24</w:t>
            </w:r>
          </w:p>
        </w:tc>
      </w:tr>
      <w:tr w:rsidR="00B86E18">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24.0</w:t>
            </w:r>
          </w:p>
        </w:tc>
      </w:tr>
      <w:tr w:rsidR="00B86E18">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r>
      <w:tr w:rsidR="00B86E18">
        <w:trPr>
          <w:cantSplit/>
        </w:trPr>
        <w:tc>
          <w:tcPr>
            <w:tcW w:w="1859" w:type="dxa"/>
            <w:gridSpan w:val="2"/>
            <w:vMerge/>
            <w:tcBorders>
              <w:top w:val="single" w:sz="8" w:space="0" w:color="AEAEAE"/>
              <w:left w:val="nil"/>
              <w:bottom w:val="single" w:sz="8" w:space="0" w:color="152935"/>
              <w:right w:val="nil"/>
            </w:tcBorders>
            <w:shd w:val="clear" w:color="auto" w:fill="E0E0E0"/>
            <w:tcMar>
              <w:top w:w="0" w:type="dxa"/>
              <w:bottom w:w="0" w:type="dxa"/>
            </w:tcMar>
          </w:tcPr>
          <w:p w:rsidR="00B86E18" w:rsidRDefault="00B86E18">
            <w:pPr>
              <w:widowControl w:val="0"/>
              <w:rPr>
                <w:color w:val="010205"/>
                <w:sz w:val="18"/>
                <w:szCs w:val="18"/>
              </w:rPr>
            </w:pPr>
          </w:p>
        </w:tc>
        <w:tc>
          <w:tcPr>
            <w:tcW w:w="1814" w:type="dxa"/>
            <w:tcBorders>
              <w:top w:val="single" w:sz="8" w:space="0" w:color="AEAEAE"/>
              <w:left w:val="nil"/>
              <w:bottom w:val="single" w:sz="8" w:space="0" w:color="152935"/>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 xml:space="preserve">% within </w:t>
            </w:r>
            <w:proofErr w:type="spellStart"/>
            <w:r>
              <w:rPr>
                <w:color w:val="264A60"/>
                <w:sz w:val="18"/>
                <w:szCs w:val="18"/>
              </w:rPr>
              <w:t>UTICATS</w:t>
            </w:r>
            <w:proofErr w:type="spellEnd"/>
          </w:p>
        </w:tc>
        <w:tc>
          <w:tcPr>
            <w:tcW w:w="1153" w:type="dxa"/>
            <w:tcBorders>
              <w:top w:val="single" w:sz="8" w:space="0" w:color="AEAEAE"/>
              <w:left w:val="nil"/>
              <w:bottom w:val="single" w:sz="8" w:space="0" w:color="152935"/>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100.0%</w:t>
            </w:r>
          </w:p>
        </w:tc>
      </w:tr>
    </w:tbl>
    <w:p w:rsidR="00B86E18" w:rsidRDefault="00B86E18">
      <w:pPr>
        <w:spacing w:line="240" w:lineRule="auto"/>
        <w:rPr>
          <w:rFonts w:ascii="Times New Roman" w:eastAsia="Times New Roman" w:hAnsi="Times New Roman" w:cs="Times New Roman"/>
          <w:sz w:val="24"/>
          <w:szCs w:val="24"/>
        </w:rPr>
      </w:pPr>
    </w:p>
    <w:p w:rsidR="00B86E18" w:rsidRDefault="00B86E18">
      <w:pPr>
        <w:spacing w:line="240" w:lineRule="auto"/>
        <w:rPr>
          <w:rFonts w:ascii="Times New Roman" w:eastAsia="Times New Roman" w:hAnsi="Times New Roman" w:cs="Times New Roman"/>
          <w:sz w:val="24"/>
          <w:szCs w:val="24"/>
        </w:rPr>
      </w:pPr>
    </w:p>
    <w:p w:rsidR="00B86E18" w:rsidRDefault="00B86E18">
      <w:pPr>
        <w:spacing w:line="240" w:lineRule="auto"/>
        <w:rPr>
          <w:rFonts w:ascii="Times New Roman" w:eastAsia="Times New Roman" w:hAnsi="Times New Roman" w:cs="Times New Roman"/>
          <w:sz w:val="24"/>
          <w:szCs w:val="24"/>
        </w:rPr>
      </w:pPr>
    </w:p>
    <w:p w:rsidR="00B86E18" w:rsidRDefault="00B86E18">
      <w:pPr>
        <w:spacing w:line="240" w:lineRule="auto"/>
        <w:rPr>
          <w:rFonts w:ascii="Times New Roman" w:eastAsia="Times New Roman" w:hAnsi="Times New Roman" w:cs="Times New Roman"/>
          <w:sz w:val="24"/>
          <w:szCs w:val="24"/>
        </w:rPr>
      </w:pPr>
    </w:p>
    <w:p w:rsidR="00B86E18" w:rsidRDefault="00B86E18">
      <w:pPr>
        <w:spacing w:line="240" w:lineRule="auto"/>
        <w:rPr>
          <w:rFonts w:ascii="Times New Roman" w:eastAsia="Times New Roman" w:hAnsi="Times New Roman" w:cs="Times New Roman"/>
          <w:sz w:val="24"/>
          <w:szCs w:val="24"/>
        </w:rPr>
      </w:pPr>
    </w:p>
    <w:p w:rsidR="00B86E18" w:rsidRDefault="00B86E18">
      <w:pPr>
        <w:spacing w:line="240" w:lineRule="auto"/>
        <w:rPr>
          <w:rFonts w:ascii="Times New Roman" w:eastAsia="Times New Roman" w:hAnsi="Times New Roman" w:cs="Times New Roman"/>
          <w:sz w:val="24"/>
          <w:szCs w:val="24"/>
        </w:rPr>
      </w:pPr>
    </w:p>
    <w:tbl>
      <w:tblPr>
        <w:tblStyle w:val="a0"/>
        <w:tblW w:w="10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380"/>
        <w:gridCol w:w="1600"/>
        <w:gridCol w:w="660"/>
        <w:gridCol w:w="760"/>
        <w:gridCol w:w="1040"/>
        <w:gridCol w:w="840"/>
        <w:gridCol w:w="940"/>
        <w:gridCol w:w="940"/>
        <w:gridCol w:w="1240"/>
        <w:gridCol w:w="1040"/>
        <w:gridCol w:w="1040"/>
      </w:tblGrid>
      <w:tr w:rsidR="00B86E18">
        <w:trPr>
          <w:cantSplit/>
        </w:trPr>
        <w:tc>
          <w:tcPr>
            <w:tcW w:w="10480" w:type="dxa"/>
            <w:gridSpan w:val="11"/>
            <w:tcBorders>
              <w:top w:val="nil"/>
              <w:left w:val="nil"/>
              <w:bottom w:val="nil"/>
              <w:right w:val="nil"/>
            </w:tcBorders>
            <w:shd w:val="clear" w:color="auto" w:fill="FFFFFF"/>
            <w:tcMar>
              <w:top w:w="0" w:type="dxa"/>
              <w:bottom w:w="0" w:type="dxa"/>
            </w:tcMar>
            <w:vAlign w:val="center"/>
          </w:tcPr>
          <w:p w:rsidR="00B86E18" w:rsidRDefault="00EC7941">
            <w:pPr>
              <w:ind w:left="60" w:right="60"/>
              <w:jc w:val="center"/>
              <w:rPr>
                <w:color w:val="010205"/>
              </w:rPr>
            </w:pPr>
            <w:r>
              <w:rPr>
                <w:b/>
                <w:color w:val="010205"/>
              </w:rPr>
              <w:t>Chi-Square Tests</w:t>
            </w:r>
          </w:p>
        </w:tc>
      </w:tr>
      <w:tr w:rsidR="00B86E18">
        <w:trPr>
          <w:cantSplit/>
        </w:trPr>
        <w:tc>
          <w:tcPr>
            <w:tcW w:w="1980" w:type="dxa"/>
            <w:gridSpan w:val="2"/>
            <w:vMerge w:val="restart"/>
            <w:tcBorders>
              <w:top w:val="nil"/>
              <w:left w:val="nil"/>
              <w:bottom w:val="nil"/>
              <w:right w:val="nil"/>
            </w:tcBorders>
            <w:shd w:val="clear" w:color="auto" w:fill="FFFFFF"/>
            <w:tcMar>
              <w:top w:w="0" w:type="dxa"/>
              <w:bottom w:w="0" w:type="dxa"/>
            </w:tcMar>
            <w:vAlign w:val="bottom"/>
          </w:tcPr>
          <w:p w:rsidR="00B86E18" w:rsidRDefault="00B86E18">
            <w:pPr>
              <w:spacing w:line="240" w:lineRule="auto"/>
              <w:rPr>
                <w:rFonts w:ascii="Times New Roman" w:eastAsia="Times New Roman" w:hAnsi="Times New Roman" w:cs="Times New Roman"/>
                <w:sz w:val="24"/>
                <w:szCs w:val="24"/>
              </w:rPr>
            </w:pPr>
          </w:p>
        </w:tc>
        <w:tc>
          <w:tcPr>
            <w:tcW w:w="660" w:type="dxa"/>
            <w:vMerge w:val="restart"/>
            <w:tcBorders>
              <w:top w:val="nil"/>
              <w:left w:val="nil"/>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Value</w:t>
            </w:r>
          </w:p>
        </w:tc>
        <w:tc>
          <w:tcPr>
            <w:tcW w:w="76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df</w:t>
            </w:r>
          </w:p>
        </w:tc>
        <w:tc>
          <w:tcPr>
            <w:tcW w:w="10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Asymptotic Significance (2-sided)</w:t>
            </w:r>
          </w:p>
        </w:tc>
        <w:tc>
          <w:tcPr>
            <w:tcW w:w="2720" w:type="dxa"/>
            <w:gridSpan w:val="3"/>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Monte Carlo Sig. (2-sided)</w:t>
            </w:r>
          </w:p>
        </w:tc>
        <w:tc>
          <w:tcPr>
            <w:tcW w:w="3320" w:type="dxa"/>
            <w:gridSpan w:val="3"/>
            <w:tcBorders>
              <w:top w:val="nil"/>
              <w:left w:val="single" w:sz="8" w:space="0" w:color="E0E0E0"/>
              <w:bottom w:val="nil"/>
              <w:right w:val="nil"/>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Monte Carlo Sig. (1-sided)</w:t>
            </w:r>
          </w:p>
        </w:tc>
      </w:tr>
      <w:tr w:rsidR="00B86E18">
        <w:trPr>
          <w:cantSplit/>
        </w:trPr>
        <w:tc>
          <w:tcPr>
            <w:tcW w:w="1980" w:type="dxa"/>
            <w:gridSpan w:val="2"/>
            <w:vMerge/>
            <w:tcBorders>
              <w:top w:val="nil"/>
              <w:left w:val="nil"/>
              <w:bottom w:val="nil"/>
              <w:right w:val="nil"/>
            </w:tcBorders>
            <w:shd w:val="clear" w:color="auto" w:fill="FFFFFF"/>
            <w:tcMar>
              <w:top w:w="0" w:type="dxa"/>
              <w:bottom w:w="0" w:type="dxa"/>
            </w:tcMar>
            <w:vAlign w:val="bottom"/>
          </w:tcPr>
          <w:p w:rsidR="00B86E18" w:rsidRDefault="00B86E18">
            <w:pPr>
              <w:widowControl w:val="0"/>
              <w:rPr>
                <w:color w:val="264A60"/>
                <w:sz w:val="18"/>
                <w:szCs w:val="18"/>
              </w:rPr>
            </w:pPr>
          </w:p>
        </w:tc>
        <w:tc>
          <w:tcPr>
            <w:tcW w:w="660" w:type="dxa"/>
            <w:vMerge/>
            <w:tcBorders>
              <w:top w:val="nil"/>
              <w:left w:val="nil"/>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76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10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8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Significance</w:t>
            </w:r>
          </w:p>
        </w:tc>
        <w:tc>
          <w:tcPr>
            <w:tcW w:w="1880" w:type="dxa"/>
            <w:gridSpan w:val="2"/>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99% Confidence Interval</w:t>
            </w:r>
          </w:p>
        </w:tc>
        <w:tc>
          <w:tcPr>
            <w:tcW w:w="1240" w:type="dxa"/>
            <w:vMerge w:val="restart"/>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Significance</w:t>
            </w:r>
          </w:p>
        </w:tc>
        <w:tc>
          <w:tcPr>
            <w:tcW w:w="2080" w:type="dxa"/>
            <w:gridSpan w:val="2"/>
            <w:tcBorders>
              <w:top w:val="nil"/>
              <w:left w:val="single" w:sz="8" w:space="0" w:color="E0E0E0"/>
              <w:bottom w:val="nil"/>
              <w:right w:val="nil"/>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99% Confidence Interval</w:t>
            </w:r>
          </w:p>
        </w:tc>
      </w:tr>
      <w:tr w:rsidR="00B86E18">
        <w:trPr>
          <w:cantSplit/>
        </w:trPr>
        <w:tc>
          <w:tcPr>
            <w:tcW w:w="1980" w:type="dxa"/>
            <w:gridSpan w:val="2"/>
            <w:vMerge/>
            <w:tcBorders>
              <w:top w:val="nil"/>
              <w:left w:val="nil"/>
              <w:bottom w:val="nil"/>
              <w:right w:val="nil"/>
            </w:tcBorders>
            <w:shd w:val="clear" w:color="auto" w:fill="FFFFFF"/>
            <w:tcMar>
              <w:top w:w="0" w:type="dxa"/>
              <w:bottom w:w="0" w:type="dxa"/>
            </w:tcMar>
            <w:vAlign w:val="bottom"/>
          </w:tcPr>
          <w:p w:rsidR="00B86E18" w:rsidRDefault="00B86E18">
            <w:pPr>
              <w:widowControl w:val="0"/>
              <w:rPr>
                <w:color w:val="264A60"/>
                <w:sz w:val="18"/>
                <w:szCs w:val="18"/>
              </w:rPr>
            </w:pPr>
          </w:p>
        </w:tc>
        <w:tc>
          <w:tcPr>
            <w:tcW w:w="660" w:type="dxa"/>
            <w:vMerge/>
            <w:tcBorders>
              <w:top w:val="nil"/>
              <w:left w:val="nil"/>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76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10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8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9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Lower Bound</w:t>
            </w:r>
          </w:p>
        </w:tc>
        <w:tc>
          <w:tcPr>
            <w:tcW w:w="9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Upper Bound</w:t>
            </w:r>
          </w:p>
        </w:tc>
        <w:tc>
          <w:tcPr>
            <w:tcW w:w="1240" w:type="dxa"/>
            <w:vMerge/>
            <w:tcBorders>
              <w:top w:val="nil"/>
              <w:left w:val="single" w:sz="8" w:space="0" w:color="E0E0E0"/>
              <w:bottom w:val="nil"/>
              <w:right w:val="single" w:sz="8" w:space="0" w:color="E0E0E0"/>
            </w:tcBorders>
            <w:shd w:val="clear" w:color="auto" w:fill="FFFFFF"/>
            <w:tcMar>
              <w:top w:w="0" w:type="dxa"/>
              <w:bottom w:w="0" w:type="dxa"/>
            </w:tcMar>
            <w:vAlign w:val="bottom"/>
          </w:tcPr>
          <w:p w:rsidR="00B86E18" w:rsidRDefault="00B86E18">
            <w:pPr>
              <w:widowControl w:val="0"/>
              <w:rPr>
                <w:color w:val="264A60"/>
                <w:sz w:val="18"/>
                <w:szCs w:val="18"/>
              </w:rPr>
            </w:pPr>
          </w:p>
        </w:tc>
        <w:tc>
          <w:tcPr>
            <w:tcW w:w="1040" w:type="dxa"/>
            <w:tcBorders>
              <w:top w:val="nil"/>
              <w:left w:val="single" w:sz="8" w:space="0" w:color="E0E0E0"/>
              <w:bottom w:val="single" w:sz="8" w:space="0" w:color="152935"/>
              <w:right w:val="single" w:sz="8" w:space="0" w:color="E0E0E0"/>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Lower Bound</w:t>
            </w:r>
          </w:p>
        </w:tc>
        <w:tc>
          <w:tcPr>
            <w:tcW w:w="1040" w:type="dxa"/>
            <w:tcBorders>
              <w:top w:val="nil"/>
              <w:left w:val="single" w:sz="8" w:space="0" w:color="E0E0E0"/>
              <w:bottom w:val="single" w:sz="8" w:space="0" w:color="152935"/>
              <w:right w:val="nil"/>
            </w:tcBorders>
            <w:shd w:val="clear" w:color="auto" w:fill="FFFFFF"/>
            <w:tcMar>
              <w:top w:w="0" w:type="dxa"/>
              <w:bottom w:w="0" w:type="dxa"/>
            </w:tcMar>
            <w:vAlign w:val="bottom"/>
          </w:tcPr>
          <w:p w:rsidR="00B86E18" w:rsidRDefault="00EC7941">
            <w:pPr>
              <w:ind w:left="60" w:right="60"/>
              <w:jc w:val="center"/>
              <w:rPr>
                <w:color w:val="264A60"/>
                <w:sz w:val="18"/>
                <w:szCs w:val="18"/>
              </w:rPr>
            </w:pPr>
            <w:r>
              <w:rPr>
                <w:color w:val="264A60"/>
                <w:sz w:val="18"/>
                <w:szCs w:val="18"/>
              </w:rPr>
              <w:t>Upper Bound</w:t>
            </w:r>
          </w:p>
        </w:tc>
      </w:tr>
      <w:tr w:rsidR="00B86E18">
        <w:trPr>
          <w:cantSplit/>
        </w:trPr>
        <w:tc>
          <w:tcPr>
            <w:tcW w:w="380" w:type="dxa"/>
            <w:tcMar>
              <w:top w:w="0" w:type="dxa"/>
              <w:bottom w:w="0" w:type="dxa"/>
            </w:tcMar>
          </w:tcPr>
          <w:p w:rsidR="00B86E18" w:rsidRDefault="00B86E18">
            <w:pPr>
              <w:widowControl w:val="0"/>
              <w:rPr>
                <w:color w:val="264A60"/>
                <w:sz w:val="18"/>
                <w:szCs w:val="18"/>
              </w:rPr>
            </w:pPr>
          </w:p>
        </w:tc>
        <w:tc>
          <w:tcPr>
            <w:tcW w:w="1600" w:type="dxa"/>
            <w:tcBorders>
              <w:top w:val="single" w:sz="8" w:space="0" w:color="152935"/>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Pearson Chi-Square</w:t>
            </w:r>
          </w:p>
        </w:tc>
        <w:tc>
          <w:tcPr>
            <w:tcW w:w="660" w:type="dxa"/>
            <w:tcBorders>
              <w:top w:val="single" w:sz="8" w:space="0" w:color="152935"/>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8.727</w:t>
            </w:r>
            <w:r>
              <w:rPr>
                <w:color w:val="010205"/>
                <w:sz w:val="18"/>
                <w:szCs w:val="18"/>
                <w:vertAlign w:val="superscript"/>
              </w:rPr>
              <w:t>a</w:t>
            </w:r>
          </w:p>
        </w:tc>
        <w:tc>
          <w:tcPr>
            <w:tcW w:w="76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w:t>
            </w:r>
          </w:p>
        </w:tc>
        <w:tc>
          <w:tcPr>
            <w:tcW w:w="10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.013</w:t>
            </w:r>
          </w:p>
        </w:tc>
        <w:tc>
          <w:tcPr>
            <w:tcW w:w="8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.018</w:t>
            </w:r>
            <w:r>
              <w:rPr>
                <w:color w:val="010205"/>
                <w:sz w:val="18"/>
                <w:szCs w:val="18"/>
                <w:vertAlign w:val="superscript"/>
              </w:rPr>
              <w:t>b</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.014</w:t>
            </w:r>
          </w:p>
        </w:tc>
        <w:tc>
          <w:tcPr>
            <w:tcW w:w="9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.021</w:t>
            </w:r>
          </w:p>
        </w:tc>
        <w:tc>
          <w:tcPr>
            <w:tcW w:w="12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152935"/>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152935"/>
              <w:left w:val="single" w:sz="8" w:space="0" w:color="E0E0E0"/>
              <w:bottom w:val="single" w:sz="8" w:space="0" w:color="AEAEAE"/>
              <w:right w:val="nil"/>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r>
      <w:tr w:rsidR="00B86E18">
        <w:trPr>
          <w:cantSplit/>
        </w:trPr>
        <w:tc>
          <w:tcPr>
            <w:tcW w:w="380" w:type="dxa"/>
            <w:tcMar>
              <w:top w:w="0" w:type="dxa"/>
              <w:bottom w:w="0" w:type="dxa"/>
            </w:tcMar>
          </w:tcPr>
          <w:p w:rsidR="00B86E18" w:rsidRDefault="00B86E18">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Likelihood Ratio</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9.949</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.007</w:t>
            </w: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.012</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.009</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.015</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r>
      <w:tr w:rsidR="00B86E18">
        <w:trPr>
          <w:cantSplit/>
        </w:trPr>
        <w:tc>
          <w:tcPr>
            <w:tcW w:w="380" w:type="dxa"/>
            <w:tcMar>
              <w:top w:w="0" w:type="dxa"/>
              <w:bottom w:w="0" w:type="dxa"/>
            </w:tcMar>
          </w:tcPr>
          <w:p w:rsidR="00B86E18" w:rsidRDefault="00B86E18">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Fisher's Exact Test</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8.180</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.018</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.014</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.021</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r>
      <w:tr w:rsidR="00B86E18">
        <w:trPr>
          <w:cantSplit/>
        </w:trPr>
        <w:tc>
          <w:tcPr>
            <w:tcW w:w="380" w:type="dxa"/>
            <w:tcMar>
              <w:top w:w="0" w:type="dxa"/>
              <w:bottom w:w="0" w:type="dxa"/>
            </w:tcMar>
          </w:tcPr>
          <w:p w:rsidR="00B86E18" w:rsidRDefault="00B86E18">
            <w:pPr>
              <w:widowControl w:val="0"/>
              <w:rPr>
                <w:rFonts w:ascii="Times New Roman" w:eastAsia="Times New Roman" w:hAnsi="Times New Roman" w:cs="Times New Roman"/>
                <w:sz w:val="24"/>
                <w:szCs w:val="24"/>
              </w:rPr>
            </w:pPr>
          </w:p>
        </w:tc>
        <w:tc>
          <w:tcPr>
            <w:tcW w:w="1600" w:type="dxa"/>
            <w:tcBorders>
              <w:top w:val="single" w:sz="8" w:space="0" w:color="AEAEAE"/>
              <w:left w:val="nil"/>
              <w:bottom w:val="single" w:sz="8" w:space="0" w:color="AEAEAE"/>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Linear-by-Linear Association</w:t>
            </w:r>
          </w:p>
        </w:tc>
        <w:tc>
          <w:tcPr>
            <w:tcW w:w="660" w:type="dxa"/>
            <w:tcBorders>
              <w:top w:val="single" w:sz="8" w:space="0" w:color="AEAEAE"/>
              <w:left w:val="nil"/>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8.065</w:t>
            </w:r>
            <w:r>
              <w:rPr>
                <w:color w:val="010205"/>
                <w:sz w:val="18"/>
                <w:szCs w:val="18"/>
                <w:vertAlign w:val="superscript"/>
              </w:rPr>
              <w:t>c</w:t>
            </w:r>
          </w:p>
        </w:tc>
        <w:tc>
          <w:tcPr>
            <w:tcW w:w="76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1</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.005</w:t>
            </w:r>
          </w:p>
        </w:tc>
        <w:tc>
          <w:tcPr>
            <w:tcW w:w="8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.006</w:t>
            </w:r>
            <w:r>
              <w:rPr>
                <w:color w:val="010205"/>
                <w:sz w:val="18"/>
                <w:szCs w:val="18"/>
                <w:vertAlign w:val="superscript"/>
              </w:rPr>
              <w:t>b</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.004</w:t>
            </w:r>
          </w:p>
        </w:tc>
        <w:tc>
          <w:tcPr>
            <w:tcW w:w="9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.008</w:t>
            </w:r>
          </w:p>
        </w:tc>
        <w:tc>
          <w:tcPr>
            <w:tcW w:w="12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.002</w:t>
            </w:r>
            <w:r>
              <w:rPr>
                <w:color w:val="010205"/>
                <w:sz w:val="18"/>
                <w:szCs w:val="18"/>
                <w:vertAlign w:val="superscript"/>
              </w:rPr>
              <w:t>b</w:t>
            </w:r>
          </w:p>
        </w:tc>
        <w:tc>
          <w:tcPr>
            <w:tcW w:w="1040" w:type="dxa"/>
            <w:tcBorders>
              <w:top w:val="single" w:sz="8" w:space="0" w:color="AEAEAE"/>
              <w:left w:val="single" w:sz="8" w:space="0" w:color="E0E0E0"/>
              <w:bottom w:val="single" w:sz="8" w:space="0" w:color="AEAEAE"/>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.001</w:t>
            </w:r>
          </w:p>
        </w:tc>
        <w:tc>
          <w:tcPr>
            <w:tcW w:w="1040" w:type="dxa"/>
            <w:tcBorders>
              <w:top w:val="single" w:sz="8" w:space="0" w:color="AEAEAE"/>
              <w:left w:val="single" w:sz="8" w:space="0" w:color="E0E0E0"/>
              <w:bottom w:val="single" w:sz="8" w:space="0" w:color="AEAEAE"/>
              <w:right w:val="nil"/>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.003</w:t>
            </w:r>
          </w:p>
        </w:tc>
      </w:tr>
      <w:tr w:rsidR="00B86E18">
        <w:trPr>
          <w:cantSplit/>
        </w:trPr>
        <w:tc>
          <w:tcPr>
            <w:tcW w:w="380" w:type="dxa"/>
            <w:tcMar>
              <w:top w:w="0" w:type="dxa"/>
              <w:bottom w:w="0" w:type="dxa"/>
            </w:tcMar>
          </w:tcPr>
          <w:p w:rsidR="00B86E18" w:rsidRDefault="00B86E18">
            <w:pPr>
              <w:widowControl w:val="0"/>
              <w:rPr>
                <w:color w:val="010205"/>
                <w:sz w:val="18"/>
                <w:szCs w:val="18"/>
              </w:rPr>
            </w:pPr>
          </w:p>
        </w:tc>
        <w:tc>
          <w:tcPr>
            <w:tcW w:w="1600" w:type="dxa"/>
            <w:tcBorders>
              <w:top w:val="single" w:sz="8" w:space="0" w:color="AEAEAE"/>
              <w:left w:val="nil"/>
              <w:bottom w:val="single" w:sz="8" w:space="0" w:color="152935"/>
              <w:right w:val="nil"/>
            </w:tcBorders>
            <w:shd w:val="clear" w:color="auto" w:fill="E0E0E0"/>
            <w:tcMar>
              <w:top w:w="0" w:type="dxa"/>
              <w:bottom w:w="0" w:type="dxa"/>
            </w:tcMar>
          </w:tcPr>
          <w:p w:rsidR="00B86E18" w:rsidRDefault="00EC7941">
            <w:pPr>
              <w:ind w:left="60" w:right="60"/>
              <w:rPr>
                <w:color w:val="264A60"/>
                <w:sz w:val="18"/>
                <w:szCs w:val="18"/>
              </w:rPr>
            </w:pPr>
            <w:r>
              <w:rPr>
                <w:color w:val="264A60"/>
                <w:sz w:val="18"/>
                <w:szCs w:val="18"/>
              </w:rPr>
              <w:t>N of Valid Cases</w:t>
            </w:r>
          </w:p>
        </w:tc>
        <w:tc>
          <w:tcPr>
            <w:tcW w:w="660" w:type="dxa"/>
            <w:tcBorders>
              <w:top w:val="single" w:sz="8" w:space="0" w:color="AEAEAE"/>
              <w:left w:val="nil"/>
              <w:bottom w:val="single" w:sz="8" w:space="0" w:color="152935"/>
              <w:right w:val="single" w:sz="8" w:space="0" w:color="E0E0E0"/>
            </w:tcBorders>
            <w:shd w:val="clear" w:color="auto" w:fill="FFFFFF"/>
            <w:tcMar>
              <w:top w:w="0" w:type="dxa"/>
              <w:bottom w:w="0" w:type="dxa"/>
            </w:tcMar>
          </w:tcPr>
          <w:p w:rsidR="00B86E18" w:rsidRDefault="00EC7941">
            <w:pPr>
              <w:ind w:left="60" w:right="60"/>
              <w:jc w:val="right"/>
              <w:rPr>
                <w:color w:val="010205"/>
                <w:sz w:val="18"/>
                <w:szCs w:val="18"/>
              </w:rPr>
            </w:pPr>
            <w:r>
              <w:rPr>
                <w:color w:val="010205"/>
                <w:sz w:val="18"/>
                <w:szCs w:val="18"/>
              </w:rPr>
              <w:t>24</w:t>
            </w:r>
          </w:p>
        </w:tc>
        <w:tc>
          <w:tcPr>
            <w:tcW w:w="76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8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9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9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2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single" w:sz="8" w:space="0" w:color="E0E0E0"/>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c>
          <w:tcPr>
            <w:tcW w:w="1040" w:type="dxa"/>
            <w:tcBorders>
              <w:top w:val="single" w:sz="8" w:space="0" w:color="AEAEAE"/>
              <w:left w:val="single" w:sz="8" w:space="0" w:color="E0E0E0"/>
              <w:bottom w:val="single" w:sz="8" w:space="0" w:color="152935"/>
              <w:right w:val="nil"/>
            </w:tcBorders>
            <w:shd w:val="clear" w:color="auto" w:fill="FFFFFF"/>
            <w:tcMar>
              <w:top w:w="0" w:type="dxa"/>
              <w:bottom w:w="0" w:type="dxa"/>
            </w:tcMar>
            <w:vAlign w:val="center"/>
          </w:tcPr>
          <w:p w:rsidR="00B86E18" w:rsidRDefault="00B86E18">
            <w:pPr>
              <w:spacing w:line="240" w:lineRule="auto"/>
              <w:rPr>
                <w:rFonts w:ascii="Times New Roman" w:eastAsia="Times New Roman" w:hAnsi="Times New Roman" w:cs="Times New Roman"/>
                <w:sz w:val="24"/>
                <w:szCs w:val="24"/>
              </w:rPr>
            </w:pPr>
          </w:p>
        </w:tc>
      </w:tr>
      <w:tr w:rsidR="00B86E18">
        <w:trPr>
          <w:cantSplit/>
        </w:trPr>
        <w:tc>
          <w:tcPr>
            <w:tcW w:w="380" w:type="dxa"/>
            <w:tcMar>
              <w:top w:w="0" w:type="dxa"/>
              <w:bottom w:w="0" w:type="dxa"/>
            </w:tcMar>
          </w:tcPr>
          <w:p w:rsidR="00B86E18" w:rsidRDefault="00B86E18">
            <w:pPr>
              <w:widowControl w:val="0"/>
              <w:rPr>
                <w:rFonts w:ascii="Times New Roman" w:eastAsia="Times New Roman" w:hAnsi="Times New Roman" w:cs="Times New Roman"/>
                <w:sz w:val="24"/>
                <w:szCs w:val="24"/>
              </w:rPr>
            </w:pPr>
          </w:p>
        </w:tc>
        <w:tc>
          <w:tcPr>
            <w:tcW w:w="10100" w:type="dxa"/>
            <w:gridSpan w:val="10"/>
            <w:tcBorders>
              <w:top w:val="nil"/>
              <w:left w:val="nil"/>
              <w:bottom w:val="nil"/>
              <w:right w:val="nil"/>
            </w:tcBorders>
            <w:shd w:val="clear" w:color="auto" w:fill="FFFFFF"/>
            <w:tcMar>
              <w:top w:w="0" w:type="dxa"/>
              <w:bottom w:w="0" w:type="dxa"/>
            </w:tcMar>
          </w:tcPr>
          <w:p w:rsidR="00B86E18" w:rsidRDefault="00EC7941">
            <w:pPr>
              <w:ind w:left="60" w:right="60"/>
              <w:rPr>
                <w:color w:val="010205"/>
                <w:sz w:val="18"/>
                <w:szCs w:val="18"/>
              </w:rPr>
            </w:pPr>
            <w:r>
              <w:rPr>
                <w:color w:val="010205"/>
                <w:sz w:val="18"/>
                <w:szCs w:val="18"/>
              </w:rPr>
              <w:t>a. 2 cells (33.3%) have expected count less than 5. The minimum expected count is 1.00.</w:t>
            </w:r>
          </w:p>
        </w:tc>
      </w:tr>
      <w:tr w:rsidR="00B86E18">
        <w:trPr>
          <w:cantSplit/>
        </w:trPr>
        <w:tc>
          <w:tcPr>
            <w:tcW w:w="380" w:type="dxa"/>
            <w:tcMar>
              <w:top w:w="0" w:type="dxa"/>
              <w:bottom w:w="0" w:type="dxa"/>
            </w:tcMar>
          </w:tcPr>
          <w:p w:rsidR="00B86E18" w:rsidRDefault="00B86E18">
            <w:pPr>
              <w:widowControl w:val="0"/>
              <w:rPr>
                <w:color w:val="010205"/>
                <w:sz w:val="18"/>
                <w:szCs w:val="18"/>
              </w:rPr>
            </w:pPr>
          </w:p>
        </w:tc>
        <w:tc>
          <w:tcPr>
            <w:tcW w:w="10100" w:type="dxa"/>
            <w:gridSpan w:val="10"/>
            <w:tcBorders>
              <w:top w:val="nil"/>
              <w:left w:val="nil"/>
              <w:bottom w:val="nil"/>
              <w:right w:val="nil"/>
            </w:tcBorders>
            <w:shd w:val="clear" w:color="auto" w:fill="FFFFFF"/>
            <w:tcMar>
              <w:top w:w="0" w:type="dxa"/>
              <w:bottom w:w="0" w:type="dxa"/>
            </w:tcMar>
          </w:tcPr>
          <w:p w:rsidR="00B86E18" w:rsidRDefault="00EC7941">
            <w:pPr>
              <w:ind w:left="60" w:right="60"/>
              <w:rPr>
                <w:color w:val="010205"/>
                <w:sz w:val="18"/>
                <w:szCs w:val="18"/>
              </w:rPr>
            </w:pPr>
            <w:r>
              <w:rPr>
                <w:color w:val="010205"/>
                <w:sz w:val="18"/>
                <w:szCs w:val="18"/>
              </w:rPr>
              <w:t>b. Based on 10000 sampled tables with starting seed 2000000.</w:t>
            </w:r>
          </w:p>
        </w:tc>
      </w:tr>
      <w:tr w:rsidR="00B86E18">
        <w:trPr>
          <w:cantSplit/>
        </w:trPr>
        <w:tc>
          <w:tcPr>
            <w:tcW w:w="380" w:type="dxa"/>
            <w:tcMar>
              <w:top w:w="0" w:type="dxa"/>
              <w:bottom w:w="0" w:type="dxa"/>
            </w:tcMar>
          </w:tcPr>
          <w:p w:rsidR="00B86E18" w:rsidRDefault="00B86E18">
            <w:pPr>
              <w:widowControl w:val="0"/>
              <w:rPr>
                <w:color w:val="010205"/>
                <w:sz w:val="18"/>
                <w:szCs w:val="18"/>
              </w:rPr>
            </w:pPr>
          </w:p>
        </w:tc>
        <w:tc>
          <w:tcPr>
            <w:tcW w:w="10100" w:type="dxa"/>
            <w:gridSpan w:val="10"/>
            <w:tcBorders>
              <w:top w:val="nil"/>
              <w:left w:val="nil"/>
              <w:bottom w:val="nil"/>
              <w:right w:val="nil"/>
            </w:tcBorders>
            <w:shd w:val="clear" w:color="auto" w:fill="FFFFFF"/>
            <w:tcMar>
              <w:top w:w="0" w:type="dxa"/>
              <w:bottom w:w="0" w:type="dxa"/>
            </w:tcMar>
          </w:tcPr>
          <w:p w:rsidR="00B86E18" w:rsidRDefault="00EC7941">
            <w:pPr>
              <w:ind w:left="60" w:right="60"/>
              <w:rPr>
                <w:color w:val="010205"/>
                <w:sz w:val="18"/>
                <w:szCs w:val="18"/>
              </w:rPr>
            </w:pPr>
            <w:r>
              <w:rPr>
                <w:color w:val="010205"/>
                <w:sz w:val="18"/>
                <w:szCs w:val="18"/>
              </w:rPr>
              <w:t>c. The standardized statistic is 2.840.</w:t>
            </w:r>
          </w:p>
        </w:tc>
      </w:tr>
    </w:tbl>
    <w:p w:rsidR="00B86E18" w:rsidRDefault="00B86E18">
      <w:pPr>
        <w:rPr>
          <w:color w:val="111111"/>
          <w:sz w:val="24"/>
          <w:szCs w:val="24"/>
        </w:rPr>
      </w:pPr>
    </w:p>
    <w:p w:rsidR="00B86E18" w:rsidRDefault="00EC7941">
      <w:pPr>
        <w:rPr>
          <w:color w:val="111111"/>
          <w:sz w:val="24"/>
          <w:szCs w:val="24"/>
        </w:rPr>
      </w:pPr>
      <w:r>
        <w:rPr>
          <w:color w:val="111111"/>
          <w:sz w:val="24"/>
          <w:szCs w:val="24"/>
        </w:rPr>
        <w:t xml:space="preserve">The findings show that about 9 of the tested males exhibited </w:t>
      </w:r>
      <w:r>
        <w:rPr>
          <w:color w:val="111111"/>
          <w:sz w:val="24"/>
          <w:szCs w:val="24"/>
        </w:rPr>
        <w:t>no growth, compared to only 2 of the tested females, a statistically significant difference. Only approximately three males are thought to have small, insignificant growth. Males have seen no substantial growth, whereas females have seen significant develo</w:t>
      </w:r>
      <w:r>
        <w:rPr>
          <w:color w:val="111111"/>
          <w:sz w:val="24"/>
          <w:szCs w:val="24"/>
        </w:rPr>
        <w:t>pment. This also shows that the general findings of the study differ depending on gender.</w:t>
      </w:r>
    </w:p>
    <w:p w:rsidR="00B86E18" w:rsidRDefault="00B86E18">
      <w:pPr>
        <w:rPr>
          <w:color w:val="111111"/>
          <w:sz w:val="24"/>
          <w:szCs w:val="24"/>
        </w:rPr>
      </w:pPr>
    </w:p>
    <w:p w:rsidR="00B86E18" w:rsidRDefault="00EC7941">
      <w:pPr>
        <w:rPr>
          <w:color w:val="111111"/>
          <w:sz w:val="24"/>
          <w:szCs w:val="24"/>
        </w:rPr>
      </w:pPr>
      <w:r>
        <w:rPr>
          <w:rFonts w:ascii="Times New Roman" w:eastAsia="Times New Roman" w:hAnsi="Times New Roman" w:cs="Times New Roman"/>
          <w:b/>
          <w:color w:val="111111"/>
          <w:sz w:val="28"/>
          <w:szCs w:val="28"/>
        </w:rPr>
        <w:t>Discussion</w:t>
      </w:r>
    </w:p>
    <w:p w:rsidR="00B86E18" w:rsidRDefault="00EC7941">
      <w:pPr>
        <w:rPr>
          <w:color w:val="111111"/>
          <w:sz w:val="24"/>
          <w:szCs w:val="24"/>
        </w:rPr>
      </w:pPr>
      <w:r>
        <w:rPr>
          <w:color w:val="111111"/>
          <w:sz w:val="24"/>
          <w:szCs w:val="24"/>
        </w:rPr>
        <w:t>Urinary tract infections (UTIs) have become more common in the last 30 years. To investigate the epidemiology and prevalence of total infections, numerous</w:t>
      </w:r>
      <w:r>
        <w:rPr>
          <w:color w:val="111111"/>
          <w:sz w:val="24"/>
          <w:szCs w:val="24"/>
        </w:rPr>
        <w:t xml:space="preserve"> studies have been conducted. Among the study they undertook, they uncovered a new sort of patient. Those who have bacterial growth in their urine but no other infection symptoms. Those who have asymptomatic </w:t>
      </w:r>
      <w:proofErr w:type="spellStart"/>
      <w:r>
        <w:rPr>
          <w:color w:val="111111"/>
          <w:sz w:val="24"/>
          <w:szCs w:val="24"/>
        </w:rPr>
        <w:t>baceriureia</w:t>
      </w:r>
      <w:proofErr w:type="spellEnd"/>
      <w:r>
        <w:rPr>
          <w:color w:val="111111"/>
          <w:sz w:val="24"/>
          <w:szCs w:val="24"/>
        </w:rPr>
        <w:t xml:space="preserve"> are known as asymptomatic </w:t>
      </w:r>
      <w:proofErr w:type="spellStart"/>
      <w:r>
        <w:rPr>
          <w:color w:val="111111"/>
          <w:sz w:val="24"/>
          <w:szCs w:val="24"/>
        </w:rPr>
        <w:t>baceriurei</w:t>
      </w:r>
      <w:r>
        <w:rPr>
          <w:color w:val="111111"/>
          <w:sz w:val="24"/>
          <w:szCs w:val="24"/>
        </w:rPr>
        <w:t>a</w:t>
      </w:r>
      <w:proofErr w:type="spellEnd"/>
      <w:r>
        <w:rPr>
          <w:color w:val="111111"/>
          <w:sz w:val="24"/>
          <w:szCs w:val="24"/>
        </w:rPr>
        <w:t xml:space="preserve"> patients (ASB). </w:t>
      </w:r>
      <w:proofErr w:type="spellStart"/>
      <w:r>
        <w:rPr>
          <w:color w:val="111111"/>
          <w:sz w:val="24"/>
          <w:szCs w:val="24"/>
        </w:rPr>
        <w:t>Bacteriouria</w:t>
      </w:r>
      <w:proofErr w:type="spellEnd"/>
      <w:r>
        <w:rPr>
          <w:color w:val="111111"/>
          <w:sz w:val="24"/>
          <w:szCs w:val="24"/>
        </w:rPr>
        <w:t xml:space="preserve"> is the presence of bacteria in the urine without any signs or symptoms of infection. In the study, urine culture is performed to diagnose asymptomatic bacteriuria. Both a catheterized specimen and a clean-catch specimen obtai</w:t>
      </w:r>
      <w:r>
        <w:rPr>
          <w:color w:val="111111"/>
          <w:sz w:val="24"/>
          <w:szCs w:val="24"/>
        </w:rPr>
        <w:t xml:space="preserve">ned correctly are acceptable. In these studies, they discovered that E.Coli is the most common cause of asymptomatic bacteriuria (ASB), which is defined by colonization of the urinary system rather than infection. Other bacteria, such as Pseudomonas </w:t>
      </w:r>
      <w:proofErr w:type="spellStart"/>
      <w:r>
        <w:rPr>
          <w:color w:val="111111"/>
          <w:sz w:val="24"/>
          <w:szCs w:val="24"/>
        </w:rPr>
        <w:t>aerugi</w:t>
      </w:r>
      <w:r>
        <w:rPr>
          <w:color w:val="111111"/>
          <w:sz w:val="24"/>
          <w:szCs w:val="24"/>
        </w:rPr>
        <w:t>nosa</w:t>
      </w:r>
      <w:proofErr w:type="spellEnd"/>
      <w:r>
        <w:rPr>
          <w:color w:val="111111"/>
          <w:sz w:val="24"/>
          <w:szCs w:val="24"/>
        </w:rPr>
        <w:t xml:space="preserve"> and Staphylococcus aureus, have been discovered as less common sources of infection than E.Coli. In this study, the participants are in their forties, when bacteria in the urinary system are least likely to develop or grow. Despite the fact that sever</w:t>
      </w:r>
      <w:r>
        <w:rPr>
          <w:color w:val="111111"/>
          <w:sz w:val="24"/>
          <w:szCs w:val="24"/>
        </w:rPr>
        <w:t xml:space="preserve">al samples had significant microbial growth, indicating that they had </w:t>
      </w:r>
      <w:r>
        <w:rPr>
          <w:color w:val="111111"/>
          <w:sz w:val="24"/>
          <w:szCs w:val="24"/>
        </w:rPr>
        <w:lastRenderedPageBreak/>
        <w:t>been contaminated (ASB). According to the data, around 8.3 percent of all males and females are involved in the bacterium's proliferation. In contrast, another study comprising 83 people</w:t>
      </w:r>
      <w:r>
        <w:rPr>
          <w:color w:val="111111"/>
          <w:sz w:val="24"/>
          <w:szCs w:val="24"/>
        </w:rPr>
        <w:t xml:space="preserve"> (39 men and 44 women) discovered that just 16.7% of females are affected. The findings were comparable to ours, with approximately 8 cultures demonstrating significant development (9.6%), and they are all females, accounting for nearly 20.5 percent of the</w:t>
      </w:r>
      <w:r>
        <w:rPr>
          <w:color w:val="111111"/>
          <w:sz w:val="24"/>
          <w:szCs w:val="24"/>
        </w:rPr>
        <w:t xml:space="preserve"> total. The numbers and outcomes will be highlighted in the graphs below.</w:t>
      </w:r>
    </w:p>
    <w:p w:rsidR="00B86E18" w:rsidRDefault="00B86E18">
      <w:pPr>
        <w:rPr>
          <w:color w:val="111111"/>
          <w:sz w:val="24"/>
          <w:szCs w:val="24"/>
        </w:rPr>
      </w:pPr>
    </w:p>
    <w:p w:rsidR="00B86E18" w:rsidRDefault="00B86E18">
      <w:pPr>
        <w:rPr>
          <w:color w:val="111111"/>
          <w:sz w:val="24"/>
          <w:szCs w:val="24"/>
        </w:rPr>
      </w:pPr>
    </w:p>
    <w:p w:rsidR="00B86E18" w:rsidRDefault="00EC7941">
      <w:pPr>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28"/>
          <w:szCs w:val="28"/>
        </w:rPr>
        <w:t>Conclusion</w:t>
      </w:r>
    </w:p>
    <w:p w:rsidR="00B86E18" w:rsidRDefault="00EC7941">
      <w:pPr>
        <w:rPr>
          <w:rFonts w:ascii="Times New Roman" w:eastAsia="Times New Roman" w:hAnsi="Times New Roman" w:cs="Times New Roman"/>
          <w:color w:val="111111"/>
          <w:sz w:val="28"/>
          <w:szCs w:val="28"/>
        </w:rPr>
      </w:pPr>
      <w:r>
        <w:rPr>
          <w:rFonts w:ascii="Times New Roman" w:eastAsia="Times New Roman" w:hAnsi="Times New Roman" w:cs="Times New Roman"/>
          <w:color w:val="111111"/>
          <w:sz w:val="28"/>
          <w:szCs w:val="28"/>
        </w:rPr>
        <w:t>As a result, we might infer that asymptomatic bacteriuria has become increasingly common in various cultures. This demonstrated an increase in the prevalence of ASB with age, as well as the fact that it is gender dependent, with females being more likely t</w:t>
      </w:r>
      <w:r>
        <w:rPr>
          <w:rFonts w:ascii="Times New Roman" w:eastAsia="Times New Roman" w:hAnsi="Times New Roman" w:cs="Times New Roman"/>
          <w:color w:val="111111"/>
          <w:sz w:val="28"/>
          <w:szCs w:val="28"/>
        </w:rPr>
        <w:t xml:space="preserve">o have ASB than boys. Furthermore, because the prevalence of ASB increases with age, it is assumed to be an age-dependent infection. The most prevalent source of infection is E.Coli, which is followed by </w:t>
      </w:r>
      <w:proofErr w:type="spellStart"/>
      <w:r>
        <w:rPr>
          <w:rFonts w:ascii="Times New Roman" w:eastAsia="Times New Roman" w:hAnsi="Times New Roman" w:cs="Times New Roman"/>
          <w:color w:val="111111"/>
          <w:sz w:val="28"/>
          <w:szCs w:val="28"/>
        </w:rPr>
        <w:t>P.aureigenosa</w:t>
      </w:r>
      <w:proofErr w:type="spellEnd"/>
      <w:r>
        <w:rPr>
          <w:rFonts w:ascii="Times New Roman" w:eastAsia="Times New Roman" w:hAnsi="Times New Roman" w:cs="Times New Roman"/>
          <w:color w:val="111111"/>
          <w:sz w:val="28"/>
          <w:szCs w:val="28"/>
        </w:rPr>
        <w:t xml:space="preserve"> and S.aureus. Treatment should be star</w:t>
      </w:r>
      <w:r>
        <w:rPr>
          <w:rFonts w:ascii="Times New Roman" w:eastAsia="Times New Roman" w:hAnsi="Times New Roman" w:cs="Times New Roman"/>
          <w:color w:val="111111"/>
          <w:sz w:val="28"/>
          <w:szCs w:val="28"/>
        </w:rPr>
        <w:t>ted and supplied depending on the microorganism's resistance to antibiotics.</w:t>
      </w:r>
    </w:p>
    <w:p w:rsidR="00B86E18" w:rsidRDefault="00B86E18">
      <w:pPr>
        <w:rPr>
          <w:rFonts w:ascii="Times New Roman" w:eastAsia="Times New Roman" w:hAnsi="Times New Roman" w:cs="Times New Roman"/>
          <w:b/>
          <w:color w:val="111111"/>
          <w:sz w:val="28"/>
          <w:szCs w:val="28"/>
        </w:rPr>
      </w:pPr>
    </w:p>
    <w:p w:rsidR="00B86E18" w:rsidRDefault="00B86E18">
      <w:pPr>
        <w:rPr>
          <w:rFonts w:ascii="Times New Roman" w:eastAsia="Times New Roman" w:hAnsi="Times New Roman" w:cs="Times New Roman"/>
          <w:b/>
          <w:color w:val="111111"/>
          <w:sz w:val="28"/>
          <w:szCs w:val="28"/>
        </w:rPr>
      </w:pPr>
    </w:p>
    <w:p w:rsidR="00B86E18" w:rsidRDefault="00EC7941">
      <w:pPr>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28"/>
          <w:szCs w:val="28"/>
        </w:rPr>
        <w:t>References</w:t>
      </w:r>
    </w:p>
    <w:p w:rsidR="00B86E18" w:rsidRDefault="00EC7941">
      <w:pPr>
        <w:numPr>
          <w:ilvl w:val="0"/>
          <w:numId w:val="2"/>
        </w:numPr>
        <w:spacing w:line="240" w:lineRule="auto"/>
        <w:rPr>
          <w:color w:val="010205"/>
          <w:sz w:val="24"/>
          <w:szCs w:val="24"/>
        </w:rPr>
      </w:pPr>
      <w:r>
        <w:rPr>
          <w:rFonts w:ascii="Calibri" w:eastAsia="Calibri" w:hAnsi="Calibri" w:cs="Calibri"/>
          <w:b/>
          <w:sz w:val="28"/>
          <w:szCs w:val="28"/>
        </w:rPr>
        <w:t>.</w:t>
      </w:r>
      <w:proofErr w:type="spellStart"/>
      <w:r>
        <w:rPr>
          <w:rFonts w:ascii="Calibri" w:eastAsia="Calibri" w:hAnsi="Calibri" w:cs="Calibri"/>
          <w:sz w:val="24"/>
          <w:szCs w:val="24"/>
        </w:rPr>
        <w:t>Winquist</w:t>
      </w:r>
      <w:proofErr w:type="spellEnd"/>
      <w:r>
        <w:rPr>
          <w:rFonts w:ascii="Calibri" w:eastAsia="Calibri" w:hAnsi="Calibri" w:cs="Calibri"/>
          <w:sz w:val="24"/>
          <w:szCs w:val="24"/>
        </w:rPr>
        <w:t xml:space="preserve"> AG, </w:t>
      </w:r>
      <w:proofErr w:type="spellStart"/>
      <w:r>
        <w:rPr>
          <w:rFonts w:ascii="Calibri" w:eastAsia="Calibri" w:hAnsi="Calibri" w:cs="Calibri"/>
          <w:sz w:val="24"/>
          <w:szCs w:val="24"/>
        </w:rPr>
        <w:t>Orrico</w:t>
      </w:r>
      <w:proofErr w:type="spellEnd"/>
      <w:r>
        <w:rPr>
          <w:rFonts w:ascii="Calibri" w:eastAsia="Calibri" w:hAnsi="Calibri" w:cs="Calibri"/>
          <w:sz w:val="24"/>
          <w:szCs w:val="24"/>
        </w:rPr>
        <w:t xml:space="preserve"> MA, Peterson LR. Evaluation of the cytocentrifuge Gram stain as a        screening test for bacteriuria in specimens from specific patient popula</w:t>
      </w:r>
      <w:r>
        <w:rPr>
          <w:rFonts w:ascii="Calibri" w:eastAsia="Calibri" w:hAnsi="Calibri" w:cs="Calibri"/>
          <w:sz w:val="24"/>
          <w:szCs w:val="24"/>
        </w:rPr>
        <w:t xml:space="preserve">tions. Am J </w:t>
      </w:r>
      <w:proofErr w:type="spellStart"/>
      <w:r>
        <w:rPr>
          <w:rFonts w:ascii="Calibri" w:eastAsia="Calibri" w:hAnsi="Calibri" w:cs="Calibri"/>
          <w:sz w:val="24"/>
          <w:szCs w:val="24"/>
        </w:rPr>
        <w:t>Clin</w:t>
      </w:r>
      <w:proofErr w:type="spellEnd"/>
      <w:r>
        <w:rPr>
          <w:rFonts w:ascii="Calibri" w:eastAsia="Calibri" w:hAnsi="Calibri" w:cs="Calibri"/>
          <w:sz w:val="24"/>
          <w:szCs w:val="24"/>
        </w:rPr>
        <w:t xml:space="preserve"> </w:t>
      </w:r>
      <w:proofErr w:type="spellStart"/>
      <w:r>
        <w:rPr>
          <w:rFonts w:ascii="Calibri" w:eastAsia="Calibri" w:hAnsi="Calibri" w:cs="Calibri"/>
          <w:sz w:val="24"/>
          <w:szCs w:val="24"/>
        </w:rPr>
        <w:t>Pathol</w:t>
      </w:r>
      <w:proofErr w:type="spellEnd"/>
      <w:r>
        <w:rPr>
          <w:rFonts w:ascii="Calibri" w:eastAsia="Calibri" w:hAnsi="Calibri" w:cs="Calibri"/>
          <w:sz w:val="24"/>
          <w:szCs w:val="24"/>
        </w:rPr>
        <w:t xml:space="preserve">. 1997;108(5):515-524. </w:t>
      </w:r>
      <w:proofErr w:type="spellStart"/>
      <w:r>
        <w:rPr>
          <w:rFonts w:ascii="Calibri" w:eastAsia="Calibri" w:hAnsi="Calibri" w:cs="Calibri"/>
          <w:sz w:val="24"/>
          <w:szCs w:val="24"/>
        </w:rPr>
        <w:t>doi:10.1093</w:t>
      </w:r>
      <w:proofErr w:type="spellEnd"/>
      <w:r>
        <w:rPr>
          <w:rFonts w:ascii="Calibri" w:eastAsia="Calibri" w:hAnsi="Calibri" w:cs="Calibri"/>
          <w:sz w:val="24"/>
          <w:szCs w:val="24"/>
        </w:rPr>
        <w:t>/</w:t>
      </w:r>
      <w:proofErr w:type="spellStart"/>
      <w:r>
        <w:rPr>
          <w:rFonts w:ascii="Calibri" w:eastAsia="Calibri" w:hAnsi="Calibri" w:cs="Calibri"/>
          <w:sz w:val="24"/>
          <w:szCs w:val="24"/>
        </w:rPr>
        <w:t>ajcp</w:t>
      </w:r>
      <w:proofErr w:type="spellEnd"/>
      <w:r>
        <w:rPr>
          <w:rFonts w:ascii="Calibri" w:eastAsia="Calibri" w:hAnsi="Calibri" w:cs="Calibri"/>
          <w:sz w:val="24"/>
          <w:szCs w:val="24"/>
        </w:rPr>
        <w:t>/108.5.515</w:t>
      </w:r>
    </w:p>
    <w:p w:rsidR="00B86E18" w:rsidRDefault="00B86E18">
      <w:pPr>
        <w:spacing w:line="240" w:lineRule="auto"/>
        <w:rPr>
          <w:rFonts w:ascii="Calibri" w:eastAsia="Calibri" w:hAnsi="Calibri" w:cs="Calibri"/>
          <w:sz w:val="24"/>
          <w:szCs w:val="24"/>
        </w:rPr>
      </w:pPr>
      <w:bookmarkStart w:id="11" w:name="_y90yp6cthila" w:colFirst="0" w:colLast="0"/>
      <w:bookmarkEnd w:id="11"/>
    </w:p>
    <w:p w:rsidR="00B86E18" w:rsidRDefault="00EC7941">
      <w:pPr>
        <w:spacing w:line="240" w:lineRule="auto"/>
        <w:rPr>
          <w:rFonts w:ascii="Calibri" w:eastAsia="Calibri" w:hAnsi="Calibri" w:cs="Calibri"/>
          <w:sz w:val="24"/>
          <w:szCs w:val="24"/>
        </w:rPr>
      </w:pPr>
      <w:bookmarkStart w:id="12" w:name="_gjdgxs" w:colFirst="0" w:colLast="0"/>
      <w:bookmarkEnd w:id="12"/>
      <w:r>
        <w:rPr>
          <w:rFonts w:ascii="Calibri" w:eastAsia="Calibri" w:hAnsi="Calibri" w:cs="Calibri"/>
          <w:b/>
          <w:sz w:val="28"/>
          <w:szCs w:val="28"/>
        </w:rPr>
        <w:t xml:space="preserve">      </w:t>
      </w:r>
      <w:proofErr w:type="spellStart"/>
      <w:r>
        <w:rPr>
          <w:rFonts w:ascii="Calibri" w:eastAsia="Calibri" w:hAnsi="Calibri" w:cs="Calibri"/>
          <w:b/>
          <w:sz w:val="28"/>
          <w:szCs w:val="28"/>
        </w:rPr>
        <w:t>2.</w:t>
      </w:r>
      <w:r>
        <w:rPr>
          <w:color w:val="010205"/>
          <w:sz w:val="24"/>
          <w:szCs w:val="24"/>
          <w:highlight w:val="white"/>
        </w:rPr>
        <w:t>Givler</w:t>
      </w:r>
      <w:proofErr w:type="spellEnd"/>
      <w:r>
        <w:rPr>
          <w:color w:val="010205"/>
          <w:sz w:val="24"/>
          <w:szCs w:val="24"/>
          <w:highlight w:val="white"/>
        </w:rPr>
        <w:t xml:space="preserve"> D, </w:t>
      </w:r>
      <w:proofErr w:type="spellStart"/>
      <w:r>
        <w:rPr>
          <w:color w:val="010205"/>
          <w:sz w:val="24"/>
          <w:szCs w:val="24"/>
          <w:highlight w:val="white"/>
        </w:rPr>
        <w:t>Givler</w:t>
      </w:r>
      <w:proofErr w:type="spellEnd"/>
      <w:r>
        <w:rPr>
          <w:color w:val="010205"/>
          <w:sz w:val="24"/>
          <w:szCs w:val="24"/>
          <w:highlight w:val="white"/>
        </w:rPr>
        <w:t xml:space="preserve"> A. Asymptomatic Bacteriuria. Ncbi.nlm.nih.gov. https://www.ncbi.nlm.nih.gov/books/NBK441848/. Published 2022. Accessed June 3, 2022</w:t>
      </w:r>
    </w:p>
    <w:p w:rsidR="00B86E18" w:rsidRDefault="00EC7941">
      <w:pPr>
        <w:pBdr>
          <w:top w:val="none" w:sz="0" w:space="0" w:color="000000"/>
          <w:bottom w:val="none" w:sz="0" w:space="12" w:color="000000"/>
          <w:right w:val="none" w:sz="0" w:space="0" w:color="000000"/>
        </w:pBdr>
        <w:spacing w:line="360" w:lineRule="auto"/>
        <w:rPr>
          <w:rFonts w:ascii="Calibri" w:eastAsia="Calibri" w:hAnsi="Calibri" w:cs="Calibri"/>
          <w:sz w:val="24"/>
          <w:szCs w:val="24"/>
        </w:rPr>
      </w:pPr>
      <w:r>
        <w:rPr>
          <w:rFonts w:ascii="Calibri" w:eastAsia="Calibri" w:hAnsi="Calibri" w:cs="Calibri"/>
          <w:sz w:val="24"/>
          <w:szCs w:val="24"/>
        </w:rPr>
        <w:t xml:space="preserve">  </w:t>
      </w:r>
    </w:p>
    <w:p w:rsidR="00B86E18" w:rsidRDefault="00EC7941">
      <w:pPr>
        <w:pBdr>
          <w:top w:val="none" w:sz="0" w:space="0" w:color="000000"/>
          <w:bottom w:val="none" w:sz="0" w:space="12" w:color="000000"/>
          <w:right w:val="none" w:sz="0" w:space="0" w:color="000000"/>
        </w:pBdr>
        <w:spacing w:line="360" w:lineRule="auto"/>
        <w:rPr>
          <w:color w:val="010205"/>
          <w:sz w:val="24"/>
          <w:szCs w:val="24"/>
        </w:rPr>
      </w:pPr>
      <w:r>
        <w:rPr>
          <w:rFonts w:ascii="Calibri" w:eastAsia="Calibri" w:hAnsi="Calibri" w:cs="Calibri"/>
          <w:b/>
          <w:sz w:val="28"/>
          <w:szCs w:val="28"/>
        </w:rPr>
        <w:t xml:space="preserve">      3.</w:t>
      </w:r>
      <w:hyperlink r:id="rId8">
        <w:r>
          <w:rPr>
            <w:color w:val="010205"/>
            <w:sz w:val="24"/>
            <w:szCs w:val="24"/>
          </w:rPr>
          <w:t xml:space="preserve">KASS EH. Asymptomatic infections of the urinary tract. Trans </w:t>
        </w:r>
        <w:proofErr w:type="spellStart"/>
        <w:r>
          <w:rPr>
            <w:color w:val="010205"/>
            <w:sz w:val="24"/>
            <w:szCs w:val="24"/>
          </w:rPr>
          <w:t>Assoc</w:t>
        </w:r>
        <w:proofErr w:type="spellEnd"/>
        <w:r>
          <w:rPr>
            <w:color w:val="010205"/>
            <w:sz w:val="24"/>
            <w:szCs w:val="24"/>
          </w:rPr>
          <w:t xml:space="preserve"> Am Physicians 1956; 69:56.</w:t>
        </w:r>
      </w:hyperlink>
    </w:p>
    <w:p w:rsidR="00B86E18" w:rsidRDefault="00EC7941">
      <w:pPr>
        <w:spacing w:line="240" w:lineRule="auto"/>
        <w:rPr>
          <w:color w:val="010205"/>
          <w:sz w:val="24"/>
          <w:szCs w:val="24"/>
        </w:rPr>
      </w:pPr>
      <w:r>
        <w:rPr>
          <w:rFonts w:ascii="Calibri" w:eastAsia="Calibri" w:hAnsi="Calibri" w:cs="Calibri"/>
          <w:b/>
          <w:sz w:val="28"/>
          <w:szCs w:val="28"/>
        </w:rPr>
        <w:t xml:space="preserve">     </w:t>
      </w:r>
      <w:proofErr w:type="spellStart"/>
      <w:r>
        <w:rPr>
          <w:rFonts w:ascii="Calibri" w:eastAsia="Calibri" w:hAnsi="Calibri" w:cs="Calibri"/>
          <w:b/>
          <w:sz w:val="28"/>
          <w:szCs w:val="28"/>
        </w:rPr>
        <w:t>4.</w:t>
      </w:r>
      <w:r>
        <w:rPr>
          <w:rFonts w:ascii="Calibri" w:eastAsia="Calibri" w:hAnsi="Calibri" w:cs="Calibri"/>
          <w:sz w:val="24"/>
          <w:szCs w:val="24"/>
        </w:rPr>
        <w:t>Ciancaglini</w:t>
      </w:r>
      <w:proofErr w:type="spellEnd"/>
      <w:r>
        <w:rPr>
          <w:rFonts w:ascii="Calibri" w:eastAsia="Calibri" w:hAnsi="Calibri" w:cs="Calibri"/>
          <w:sz w:val="24"/>
          <w:szCs w:val="24"/>
        </w:rPr>
        <w:t xml:space="preserve"> E, </w:t>
      </w:r>
      <w:proofErr w:type="spellStart"/>
      <w:r>
        <w:rPr>
          <w:rFonts w:ascii="Calibri" w:eastAsia="Calibri" w:hAnsi="Calibri" w:cs="Calibri"/>
          <w:sz w:val="24"/>
          <w:szCs w:val="24"/>
        </w:rPr>
        <w:t>Fazii</w:t>
      </w:r>
      <w:proofErr w:type="spellEnd"/>
      <w:r>
        <w:rPr>
          <w:rFonts w:ascii="Calibri" w:eastAsia="Calibri" w:hAnsi="Calibri" w:cs="Calibri"/>
          <w:sz w:val="24"/>
          <w:szCs w:val="24"/>
        </w:rPr>
        <w:t xml:space="preserve"> P, </w:t>
      </w:r>
      <w:proofErr w:type="spellStart"/>
      <w:r>
        <w:rPr>
          <w:rFonts w:ascii="Calibri" w:eastAsia="Calibri" w:hAnsi="Calibri" w:cs="Calibri"/>
          <w:sz w:val="24"/>
          <w:szCs w:val="24"/>
        </w:rPr>
        <w:t>Sforza</w:t>
      </w:r>
      <w:proofErr w:type="spellEnd"/>
      <w:r>
        <w:rPr>
          <w:rFonts w:ascii="Calibri" w:eastAsia="Calibri" w:hAnsi="Calibri" w:cs="Calibri"/>
          <w:sz w:val="24"/>
          <w:szCs w:val="24"/>
        </w:rPr>
        <w:t xml:space="preserve"> GR. The use of a differential fluorescent staining method to detect bacteriuria. </w:t>
      </w:r>
      <w:proofErr w:type="spellStart"/>
      <w:r>
        <w:rPr>
          <w:rFonts w:ascii="Calibri" w:eastAsia="Calibri" w:hAnsi="Calibri" w:cs="Calibri"/>
          <w:sz w:val="24"/>
          <w:szCs w:val="24"/>
        </w:rPr>
        <w:t>Clin</w:t>
      </w:r>
      <w:proofErr w:type="spellEnd"/>
      <w:r>
        <w:rPr>
          <w:rFonts w:ascii="Calibri" w:eastAsia="Calibri" w:hAnsi="Calibri" w:cs="Calibri"/>
          <w:sz w:val="24"/>
          <w:szCs w:val="24"/>
        </w:rPr>
        <w:t xml:space="preserve"> L</w:t>
      </w:r>
      <w:r>
        <w:rPr>
          <w:rFonts w:ascii="Calibri" w:eastAsia="Calibri" w:hAnsi="Calibri" w:cs="Calibri"/>
          <w:sz w:val="24"/>
          <w:szCs w:val="24"/>
        </w:rPr>
        <w:t>ab. 2004;50(11-12):685-688</w:t>
      </w:r>
    </w:p>
    <w:p w:rsidR="00B86E18" w:rsidRDefault="00B86E18">
      <w:pPr>
        <w:rPr>
          <w:rFonts w:ascii="Times New Roman" w:eastAsia="Times New Roman" w:hAnsi="Times New Roman" w:cs="Times New Roman"/>
          <w:b/>
          <w:color w:val="111111"/>
          <w:sz w:val="28"/>
          <w:szCs w:val="28"/>
        </w:rPr>
      </w:pPr>
    </w:p>
    <w:p w:rsidR="00B86E18" w:rsidRDefault="00B86E18">
      <w:pPr>
        <w:spacing w:line="240" w:lineRule="auto"/>
        <w:rPr>
          <w:rFonts w:ascii="Calibri" w:eastAsia="Calibri" w:hAnsi="Calibri" w:cs="Calibri"/>
          <w:b/>
          <w:sz w:val="28"/>
          <w:szCs w:val="28"/>
        </w:rPr>
      </w:pPr>
    </w:p>
    <w:p w:rsidR="00B86E18" w:rsidRDefault="00B86E18">
      <w:pPr>
        <w:rPr>
          <w:rFonts w:ascii="Times New Roman" w:eastAsia="Times New Roman" w:hAnsi="Times New Roman" w:cs="Times New Roman"/>
          <w:color w:val="111111"/>
          <w:sz w:val="28"/>
          <w:szCs w:val="28"/>
        </w:rPr>
      </w:pPr>
    </w:p>
    <w:p w:rsidR="00B86E18" w:rsidRDefault="00B86E18">
      <w:pPr>
        <w:jc w:val="both"/>
        <w:rPr>
          <w:rFonts w:ascii="Calibri" w:eastAsia="Calibri" w:hAnsi="Calibri" w:cs="Calibri"/>
          <w:b/>
          <w:sz w:val="28"/>
          <w:szCs w:val="28"/>
        </w:rPr>
      </w:pPr>
      <w:bookmarkStart w:id="13" w:name="_zbqufvvpfauk" w:colFirst="0" w:colLast="0"/>
      <w:bookmarkEnd w:id="13"/>
    </w:p>
    <w:p w:rsidR="00B86E18" w:rsidRDefault="00B86E18">
      <w:pPr>
        <w:jc w:val="both"/>
        <w:rPr>
          <w:rFonts w:ascii="Calibri" w:eastAsia="Calibri" w:hAnsi="Calibri" w:cs="Calibri"/>
          <w:b/>
          <w:sz w:val="28"/>
          <w:szCs w:val="28"/>
        </w:rPr>
      </w:pPr>
      <w:bookmarkStart w:id="14" w:name="_hjyp4slogcjt" w:colFirst="0" w:colLast="0"/>
      <w:bookmarkEnd w:id="14"/>
    </w:p>
    <w:p w:rsidR="00B86E18" w:rsidRDefault="00B86E18">
      <w:pPr>
        <w:spacing w:line="240" w:lineRule="auto"/>
        <w:jc w:val="center"/>
        <w:rPr>
          <w:rFonts w:ascii="Calibri" w:eastAsia="Calibri" w:hAnsi="Calibri" w:cs="Calibri"/>
          <w:sz w:val="32"/>
          <w:szCs w:val="32"/>
        </w:rPr>
      </w:pPr>
      <w:bookmarkStart w:id="15" w:name="_l3vtynf8iq9" w:colFirst="0" w:colLast="0"/>
      <w:bookmarkEnd w:id="15"/>
    </w:p>
    <w:p w:rsidR="00B86E18" w:rsidRDefault="00B86E18">
      <w:pPr>
        <w:spacing w:line="240" w:lineRule="auto"/>
        <w:jc w:val="center"/>
        <w:rPr>
          <w:rFonts w:ascii="Calibri" w:eastAsia="Calibri" w:hAnsi="Calibri" w:cs="Calibri"/>
          <w:sz w:val="32"/>
          <w:szCs w:val="32"/>
        </w:rPr>
      </w:pPr>
      <w:bookmarkStart w:id="16" w:name="_5sxwlstgia53" w:colFirst="0" w:colLast="0"/>
      <w:bookmarkEnd w:id="16"/>
    </w:p>
    <w:p w:rsidR="00B86E18" w:rsidRDefault="00B86E18">
      <w:pPr>
        <w:spacing w:line="240" w:lineRule="auto"/>
        <w:jc w:val="center"/>
        <w:rPr>
          <w:rFonts w:ascii="Calibri" w:eastAsia="Calibri" w:hAnsi="Calibri" w:cs="Calibri"/>
          <w:sz w:val="32"/>
          <w:szCs w:val="32"/>
        </w:rPr>
      </w:pPr>
      <w:bookmarkStart w:id="17" w:name="_x1yfseir4x7u" w:colFirst="0" w:colLast="0"/>
      <w:bookmarkEnd w:id="17"/>
    </w:p>
    <w:p w:rsidR="00B86E18" w:rsidRDefault="00B86E18">
      <w:pPr>
        <w:spacing w:line="240" w:lineRule="auto"/>
        <w:jc w:val="center"/>
        <w:rPr>
          <w:rFonts w:ascii="Calibri" w:eastAsia="Calibri" w:hAnsi="Calibri" w:cs="Calibri"/>
          <w:sz w:val="32"/>
          <w:szCs w:val="32"/>
        </w:rPr>
      </w:pPr>
      <w:bookmarkStart w:id="18" w:name="_5s7ju2j7s0ah" w:colFirst="0" w:colLast="0"/>
      <w:bookmarkEnd w:id="18"/>
    </w:p>
    <w:p w:rsidR="00B86E18" w:rsidRDefault="00B86E18"/>
    <w:sectPr w:rsidR="00B86E18">
      <w:head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00000" w:rsidRDefault="00EC7941">
      <w:pPr>
        <w:spacing w:line="240" w:lineRule="auto"/>
      </w:pPr>
      <w:r>
        <w:separator/>
      </w:r>
    </w:p>
  </w:endnote>
  <w:endnote w:type="continuationSeparator" w:id="0">
    <w:p w:rsidR="00000000" w:rsidRDefault="00EC79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00000" w:rsidRDefault="00EC7941">
      <w:pPr>
        <w:spacing w:line="240" w:lineRule="auto"/>
      </w:pPr>
      <w:r>
        <w:separator/>
      </w:r>
    </w:p>
  </w:footnote>
  <w:footnote w:type="continuationSeparator" w:id="0">
    <w:p w:rsidR="00000000" w:rsidRDefault="00EC794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86E18" w:rsidRDefault="00B86E1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953B1B"/>
    <w:multiLevelType w:val="multilevel"/>
    <w:tmpl w:val="FFFFFFFF"/>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F3D1F5C"/>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96952592">
    <w:abstractNumId w:val="1"/>
  </w:num>
  <w:num w:numId="2" w16cid:durableId="15095147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3"/>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E18"/>
    <w:rsid w:val="00876FEE"/>
    <w:rsid w:val="00B86E18"/>
    <w:rsid w:val="00EC7941"/>
  </w:rsids>
  <m:mathPr>
    <m:mathFont m:val="Cambria Math"/>
    <m:brkBin m:val="before"/>
    <m:brkBinSub m:val="--"/>
    <m:smallFrac m:val="0"/>
    <m:dispDef/>
    <m:lMargin m:val="0"/>
    <m:rMargin m:val="0"/>
    <m:defJc m:val="centerGroup"/>
    <m:wrapIndent m:val="1440"/>
    <m:intLim m:val="subSup"/>
    <m:naryLim m:val="undOvr"/>
  </m:mathPr>
  <w:themeFontLang w:val="en-AF" w:bidi="ar-SA"/>
  <w:clrSchemeMapping w:bg1="light1" w:t1="dark1" w:bg2="light2" w:t2="dark2" w:accent1="accent1" w:accent2="accent2" w:accent3="accent3" w:accent4="accent4" w:accent5="accent5" w:accent6="accent6" w:hyperlink="hyperlink" w:followedHyperlink="followedHyperlink"/>
  <w:decimalSymbol w:val="."/>
  <w:listSeparator w:val=","/>
  <w15:docId w15:val="{3F470A52-F142-D740-9368-EBDAD9328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uptodate.com/contents/asymptomatic-bacteriuria-in-adults/abstract/2"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1053</Words>
  <Characters>6005</Characters>
  <Application>Microsoft Office Word</Application>
  <DocSecurity>0</DocSecurity>
  <Lines>50</Lines>
  <Paragraphs>14</Paragraphs>
  <ScaleCrop>false</ScaleCrop>
  <Company/>
  <LinksUpToDate>false</LinksUpToDate>
  <CharactersWithSpaces>7044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ashour gonieber</cp:lastModifiedBy>
  <cp:revision>2</cp:revision>
  <dcterms:created xsi:type="dcterms:W3CDTF">2022-06-20T18:43:00Z</dcterms:created>
  <dcterms:modified xsi:type="dcterms:W3CDTF">2022-06-20T18:43:00Z</dcterms:modified>
</cp:coreProperties>
</file>