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w:rsidR="001F46F0" w:rsidRDefault="3BD42089" w14:paraId="0268300E" w14:textId="265793B4">
      <w:pPr>
        <w:pStyle w:val="Title2"/>
      </w:pPr>
      <w:r w:rsidRPr="3BD42089">
        <w:rPr>
          <w:b/>
          <w:bCs/>
          <w:sz w:val="32"/>
          <w:szCs w:val="32"/>
        </w:rPr>
        <w:t>Libyan International Medical University</w:t>
      </w:r>
    </w:p>
    <w:p w:rsidR="001F46F0" w:rsidRDefault="3BD42089" w14:paraId="1C78F94A" w14:textId="3E2B30DA">
      <w:pPr>
        <w:pStyle w:val="Title2"/>
      </w:pPr>
      <w:r w:rsidRPr="3BD42089">
        <w:rPr>
          <w:b/>
          <w:bCs/>
          <w:sz w:val="36"/>
          <w:szCs w:val="36"/>
        </w:rPr>
        <w:t xml:space="preserve"> </w:t>
      </w:r>
      <w:r w:rsidRPr="3BD42089">
        <w:rPr>
          <w:b/>
          <w:bCs/>
          <w:sz w:val="32"/>
          <w:szCs w:val="32"/>
        </w:rPr>
        <w:t>Faculty of Applied Medical Science</w:t>
      </w:r>
    </w:p>
    <w:p w:rsidR="001F46F0" w:rsidRDefault="3BD42089" w14:paraId="5B876450" w14:textId="6AD11CB6">
      <w:pPr>
        <w:pStyle w:val="Title2"/>
      </w:pPr>
      <w:r w:rsidRPr="3BD42089">
        <w:rPr>
          <w:b/>
          <w:bCs/>
          <w:sz w:val="32"/>
          <w:szCs w:val="32"/>
        </w:rPr>
        <w:t xml:space="preserve"> 2021-2022</w:t>
      </w:r>
    </w:p>
    <w:p w:rsidR="3BD42089" w:rsidP="3BD42089" w:rsidRDefault="3BD42089" w14:paraId="28F06D38" w14:textId="776C3FB5">
      <w:pPr>
        <w:pStyle w:val="Title2"/>
        <w:rPr>
          <w:b/>
          <w:bCs/>
          <w:sz w:val="32"/>
          <w:szCs w:val="32"/>
        </w:rPr>
      </w:pPr>
    </w:p>
    <w:p w:rsidR="3BD42089" w:rsidP="3BD42089" w:rsidRDefault="3BD42089" w14:paraId="5E1EE703" w14:textId="16416E33">
      <w:pPr>
        <w:pStyle w:val="Title2"/>
        <w:rPr>
          <w:b/>
          <w:bCs/>
          <w:sz w:val="32"/>
          <w:szCs w:val="32"/>
        </w:rPr>
      </w:pPr>
    </w:p>
    <w:p w:rsidR="3BD42089" w:rsidP="3BD42089" w:rsidRDefault="256431E5" w14:paraId="7C90F407" w14:textId="368F0AC0">
      <w:pPr>
        <w:pStyle w:val="Title2"/>
        <w:rPr>
          <w:b/>
          <w:bCs/>
          <w:sz w:val="32"/>
          <w:szCs w:val="32"/>
        </w:rPr>
      </w:pPr>
      <w:r w:rsidRPr="256431E5">
        <w:rPr>
          <w:b/>
          <w:bCs/>
          <w:sz w:val="36"/>
          <w:szCs w:val="36"/>
        </w:rPr>
        <w:t>Asymptomatic</w:t>
      </w:r>
      <w:r w:rsidRPr="256431E5">
        <w:rPr>
          <w:b/>
          <w:bCs/>
          <w:sz w:val="32"/>
          <w:szCs w:val="32"/>
        </w:rPr>
        <w:t xml:space="preserve"> </w:t>
      </w:r>
      <w:r w:rsidRPr="256431E5">
        <w:rPr>
          <w:b/>
          <w:bCs/>
          <w:sz w:val="36"/>
          <w:szCs w:val="36"/>
        </w:rPr>
        <w:t>bacteriuria</w:t>
      </w:r>
      <w:r w:rsidRPr="256431E5">
        <w:rPr>
          <w:b/>
          <w:bCs/>
          <w:sz w:val="32"/>
          <w:szCs w:val="32"/>
        </w:rPr>
        <w:t xml:space="preserve"> </w:t>
      </w:r>
    </w:p>
    <w:p w:rsidR="3BD42089" w:rsidP="3BD42089" w:rsidRDefault="3BD42089" w14:paraId="673560AF" w14:textId="0FAC5F5B">
      <w:pPr>
        <w:pStyle w:val="Title2"/>
        <w:rPr>
          <w:b/>
          <w:bCs/>
          <w:sz w:val="32"/>
          <w:szCs w:val="32"/>
        </w:rPr>
      </w:pPr>
    </w:p>
    <w:p w:rsidR="3BD42089" w:rsidP="3BD42089" w:rsidRDefault="3BD42089" w14:paraId="15366FB6" w14:textId="393E5DA6">
      <w:pPr>
        <w:pStyle w:val="Title2"/>
        <w:rPr>
          <w:b/>
          <w:bCs/>
          <w:sz w:val="32"/>
          <w:szCs w:val="32"/>
        </w:rPr>
      </w:pPr>
    </w:p>
    <w:p w:rsidR="3BD42089" w:rsidP="3BD42089" w:rsidRDefault="3BD42089" w14:paraId="15ACFCEE" w14:textId="62A252A2">
      <w:pPr>
        <w:pStyle w:val="Title2"/>
        <w:jc w:val="left"/>
        <w:rPr>
          <w:b/>
          <w:bCs/>
          <w:sz w:val="32"/>
          <w:szCs w:val="32"/>
        </w:rPr>
      </w:pPr>
    </w:p>
    <w:p w:rsidR="638806D3" w:rsidP="638806D3" w:rsidRDefault="638806D3" w14:paraId="6F7C1852" w14:textId="2FE8F1AE">
      <w:pPr>
        <w:pStyle w:val="Title2"/>
        <w:jc w:val="left"/>
        <w:rPr>
          <w:b/>
          <w:bCs/>
          <w:sz w:val="32"/>
          <w:szCs w:val="32"/>
        </w:rPr>
      </w:pPr>
    </w:p>
    <w:p w:rsidR="638806D3" w:rsidP="638806D3" w:rsidRDefault="638806D3" w14:paraId="4554F45D" w14:textId="247F39CB">
      <w:pPr>
        <w:pStyle w:val="Title2"/>
        <w:jc w:val="left"/>
        <w:rPr>
          <w:b/>
          <w:bCs/>
          <w:sz w:val="32"/>
          <w:szCs w:val="32"/>
        </w:rPr>
      </w:pPr>
    </w:p>
    <w:p w:rsidR="638806D3" w:rsidP="638806D3" w:rsidRDefault="638806D3" w14:paraId="4CDF7064" w14:textId="049547C1">
      <w:pPr>
        <w:pStyle w:val="Title2"/>
        <w:jc w:val="left"/>
        <w:rPr>
          <w:b/>
          <w:bCs/>
          <w:sz w:val="32"/>
          <w:szCs w:val="32"/>
        </w:rPr>
      </w:pPr>
    </w:p>
    <w:p w:rsidR="3BD42089" w:rsidP="3BD42089" w:rsidRDefault="3BD42089" w14:paraId="3C71B741" w14:textId="49B7C24B">
      <w:pPr>
        <w:pStyle w:val="Title2"/>
        <w:jc w:val="left"/>
        <w:rPr>
          <w:b/>
          <w:bCs/>
          <w:sz w:val="32"/>
          <w:szCs w:val="32"/>
        </w:rPr>
      </w:pPr>
      <w:r w:rsidRPr="3BD42089">
        <w:rPr>
          <w:b/>
          <w:bCs/>
          <w:sz w:val="32"/>
          <w:szCs w:val="32"/>
        </w:rPr>
        <w:t xml:space="preserve">Done by: Yasmin Ali </w:t>
      </w:r>
      <w:proofErr w:type="spellStart"/>
      <w:r w:rsidRPr="3BD42089">
        <w:rPr>
          <w:b/>
          <w:bCs/>
          <w:sz w:val="32"/>
          <w:szCs w:val="32"/>
        </w:rPr>
        <w:t>Bensadik</w:t>
      </w:r>
      <w:proofErr w:type="spellEnd"/>
      <w:r w:rsidRPr="3BD42089">
        <w:rPr>
          <w:b/>
          <w:bCs/>
          <w:sz w:val="32"/>
          <w:szCs w:val="32"/>
        </w:rPr>
        <w:t xml:space="preserve"> </w:t>
      </w:r>
    </w:p>
    <w:p w:rsidR="3BD42089" w:rsidP="3BD42089" w:rsidRDefault="3BD42089" w14:paraId="1A47F388" w14:textId="27CC8F21">
      <w:pPr>
        <w:pStyle w:val="Title2"/>
        <w:jc w:val="left"/>
        <w:rPr>
          <w:b/>
          <w:bCs/>
          <w:sz w:val="32"/>
          <w:szCs w:val="32"/>
        </w:rPr>
      </w:pPr>
      <w:r w:rsidRPr="48C37A2E" w:rsidR="48C37A2E">
        <w:rPr>
          <w:b w:val="1"/>
          <w:bCs w:val="1"/>
          <w:sz w:val="32"/>
          <w:szCs w:val="32"/>
        </w:rPr>
        <w:t>Student number: 2838</w:t>
      </w:r>
    </w:p>
    <w:p w:rsidR="48C37A2E" w:rsidP="48C37A2E" w:rsidRDefault="48C37A2E" w14:paraId="10AD8712" w14:textId="2F3F4BEB">
      <w:pPr>
        <w:pStyle w:val="Title2"/>
        <w:jc w:val="left"/>
        <w:rPr>
          <w:b w:val="1"/>
          <w:bCs w:val="1"/>
          <w:sz w:val="32"/>
          <w:szCs w:val="32"/>
        </w:rPr>
      </w:pPr>
      <w:r w:rsidRPr="48C37A2E" w:rsidR="48C37A2E">
        <w:rPr>
          <w:b w:val="1"/>
          <w:bCs w:val="1"/>
          <w:sz w:val="32"/>
          <w:szCs w:val="32"/>
        </w:rPr>
        <w:t xml:space="preserve">Supervisor: Intisar </w:t>
      </w:r>
      <w:proofErr w:type="spellStart"/>
      <w:r w:rsidRPr="48C37A2E" w:rsidR="48C37A2E">
        <w:rPr>
          <w:b w:val="1"/>
          <w:bCs w:val="1"/>
          <w:sz w:val="32"/>
          <w:szCs w:val="32"/>
        </w:rPr>
        <w:t>Alnaji</w:t>
      </w:r>
      <w:proofErr w:type="spellEnd"/>
    </w:p>
    <w:p w:rsidR="48C37A2E" w:rsidP="48C37A2E" w:rsidRDefault="48C37A2E" w14:paraId="22F7F82F" w14:textId="2FA0972D">
      <w:pPr>
        <w:pStyle w:val="Title2"/>
        <w:jc w:val="left"/>
        <w:rPr>
          <w:b w:val="1"/>
          <w:bCs w:val="1"/>
          <w:sz w:val="32"/>
          <w:szCs w:val="32"/>
        </w:rPr>
      </w:pPr>
      <w:r w:rsidRPr="48C37A2E" w:rsidR="48C37A2E">
        <w:rPr>
          <w:b w:val="1"/>
          <w:bCs w:val="1"/>
          <w:sz w:val="32"/>
          <w:szCs w:val="32"/>
        </w:rPr>
        <w:t xml:space="preserve">Assistant by: Naji Alhoumri </w:t>
      </w:r>
    </w:p>
    <w:p w:rsidR="48C37A2E" w:rsidP="48C37A2E" w:rsidRDefault="48C37A2E" w14:paraId="799A6516" w14:textId="7B71FEE8">
      <w:pPr>
        <w:pStyle w:val="Title2"/>
        <w:jc w:val="left"/>
        <w:rPr>
          <w:b w:val="1"/>
          <w:bCs w:val="1"/>
          <w:sz w:val="32"/>
          <w:szCs w:val="32"/>
        </w:rPr>
      </w:pPr>
    </w:p>
    <w:p w:rsidR="3BD42089" w:rsidP="3BD42089" w:rsidRDefault="3BD42089" w14:paraId="717C3192" w14:textId="732D06D1">
      <w:pPr>
        <w:pStyle w:val="Title2"/>
        <w:jc w:val="left"/>
        <w:rPr>
          <w:b/>
          <w:bCs/>
          <w:sz w:val="32"/>
          <w:szCs w:val="32"/>
        </w:rPr>
      </w:pPr>
    </w:p>
    <w:p w:rsidR="3BD42089" w:rsidP="3BD42089" w:rsidRDefault="3BD42089" w14:paraId="7D3C9A4D" w14:textId="0986B145">
      <w:pPr>
        <w:pStyle w:val="Title2"/>
        <w:jc w:val="left"/>
        <w:rPr>
          <w:b/>
          <w:bCs/>
          <w:sz w:val="32"/>
          <w:szCs w:val="32"/>
        </w:rPr>
      </w:pPr>
    </w:p>
    <w:p w:rsidR="3BD42089" w:rsidP="3BD42089" w:rsidRDefault="3BD42089" w14:paraId="17870475" w14:textId="56427CE1">
      <w:pPr>
        <w:pStyle w:val="Title2"/>
        <w:jc w:val="left"/>
        <w:rPr>
          <w:b/>
          <w:bCs/>
          <w:sz w:val="32"/>
          <w:szCs w:val="32"/>
        </w:rPr>
      </w:pPr>
    </w:p>
    <w:p w:rsidR="3BD42089" w:rsidP="638806D3" w:rsidRDefault="65BB128F" w14:paraId="7B6F2ECE" w14:textId="17F67C92">
      <w:pPr>
        <w:pStyle w:val="SectionTitle"/>
        <w:jc w:val="both"/>
        <w:rPr>
          <w:b/>
          <w:bCs/>
        </w:rPr>
      </w:pPr>
      <w:bookmarkStart w:name="_GoBack" w:id="0"/>
      <w:bookmarkEnd w:id="0"/>
      <w:r w:rsidRPr="65BB128F">
        <w:rPr>
          <w:b/>
          <w:bCs/>
          <w:sz w:val="28"/>
          <w:szCs w:val="28"/>
        </w:rPr>
        <w:lastRenderedPageBreak/>
        <w:t xml:space="preserve">Abstract: </w:t>
      </w:r>
    </w:p>
    <w:p w:rsidR="638806D3" w:rsidP="65BB128F" w:rsidRDefault="256431E5" w14:paraId="7F6613C1" w14:textId="6CAAA0C1">
      <w:pPr>
        <w:ind w:firstLine="0"/>
      </w:pPr>
      <w:r w:rsidRPr="256431E5">
        <w:rPr>
          <w:rFonts w:ascii="Times New Roman" w:hAnsi="Times New Roman" w:eastAsia="Times New Roman" w:cs="Times New Roman"/>
        </w:rPr>
        <w:t xml:space="preserve">This report will help you understand urinary tract infections and their potential to pose a major risk all over the world, particularly in females. </w:t>
      </w:r>
      <w:proofErr w:type="gramStart"/>
      <w:r w:rsidRPr="256431E5">
        <w:rPr>
          <w:rFonts w:ascii="Times New Roman" w:hAnsi="Times New Roman" w:eastAsia="Times New Roman" w:cs="Times New Roman"/>
        </w:rPr>
        <w:t>With the acknowledgement of the materials and methods used to detect the microorganism and by counting the colonies &gt; 1 105 CFU/ml and claiming if it is positive or negative and if it is related to asymptomatic bacteriuria, which is a bacterial classis separated into two different urine cultures in a patient who shows no symptoms of urinary tract infection, the cause of this type of infection is not yet fully understood.</w:t>
      </w:r>
      <w:sdt>
        <w:sdtPr>
          <w:tag w:val="MENDELEY_CITATION_v3_eyJjaXRhdGlvbklEIjoiTUVOREVMRVlfQ0lUQVRJT05fNmQyYjNkNDMtYzM0NC00YzA5LWIyNWQtYzA4ZDdlMDYyZGJh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
          <w:id w:val="2004279084"/>
          <w:placeholder>
            <w:docPart w:val="DefaultPlaceholder_1081868574"/>
          </w:placeholder>
        </w:sdtPr>
        <w:sdtEndPr/>
        <w:sdtContent>
          <w:proofErr w:type="gramEnd"/>
          <w:r w:rsidRPr="256431E5">
            <w:rPr>
              <w:rFonts w:ascii="Times New Roman" w:hAnsi="Times New Roman" w:eastAsia="Times New Roman" w:cs="Times New Roman"/>
              <w:color w:val="000000" w:themeColor="text2"/>
            </w:rPr>
            <w:t>[1]</w:t>
          </w:r>
        </w:sdtContent>
      </w:sdt>
      <w:r>
        <w:t xml:space="preserve"> </w:t>
      </w:r>
    </w:p>
    <w:p w:rsidR="638806D3" w:rsidP="638806D3" w:rsidRDefault="256431E5" w14:paraId="2FF70115" w14:textId="772219CB">
      <w:pPr>
        <w:ind w:firstLine="0"/>
      </w:pPr>
      <w:proofErr w:type="gramStart"/>
      <w:r w:rsidRPr="256431E5">
        <w:rPr>
          <w:rFonts w:ascii="Times New Roman" w:hAnsi="Times New Roman" w:eastAsia="Times New Roman" w:cs="Times New Roman"/>
        </w:rPr>
        <w:t>Keeping in mind that it is more common in younger females than in younger males [</w:t>
      </w:r>
      <w:sdt>
        <w:sdtPr>
          <w:tag w:val="MENDELEY_CITATION_v3_eyJjaXRhdGlvbklEIjoiTUVOREVMRVlfQ0lUQVRJT05fYTU4MjYzNmEtNDk3Ni00NTFkLWI5NTMtMGJlOWJlODc5MDgx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
          <w:id w:val="1582704357"/>
          <w:placeholder>
            <w:docPart w:val="DefaultPlaceholder_1081868574"/>
          </w:placeholder>
        </w:sdtPr>
        <w:sdtEndPr/>
        <w:sdtContent>
          <w:r w:rsidRPr="256431E5">
            <w:rPr>
              <w:rFonts w:ascii="Times New Roman" w:hAnsi="Times New Roman" w:eastAsia="Times New Roman" w:cs="Times New Roman"/>
              <w:color w:val="000000" w:themeColor="text2"/>
            </w:rPr>
            <w:t>1]</w:t>
          </w:r>
        </w:sdtContent>
      </w:sdt>
      <w:r>
        <w:t>, and by collecting random samples from students in this report, we discovered that there was 25% no significant growth and 75% no growth according to the male samples, and for the females there were 16.67% of the samples that had significant growth, 16.67% no growth, and 66.67% no significant growth.</w:t>
      </w:r>
      <w:proofErr w:type="gramEnd"/>
    </w:p>
    <w:p w:rsidR="638806D3" w:rsidP="65BB128F" w:rsidRDefault="638806D3" w14:paraId="72D4538C" w14:textId="315C155B">
      <w:pPr>
        <w:ind w:firstLine="0"/>
        <w:rPr>
          <w:rFonts w:ascii="Times New Roman" w:hAnsi="Times New Roman" w:eastAsia="Times New Roman" w:cs="Times New Roman"/>
        </w:rPr>
      </w:pPr>
    </w:p>
    <w:p w:rsidR="638806D3" w:rsidP="638806D3" w:rsidRDefault="638806D3" w14:paraId="43EF29A1" w14:textId="49836F1B"/>
    <w:p w:rsidR="3BD42089" w:rsidP="3BD42089" w:rsidRDefault="3BD42089" w14:paraId="2B1C9852" w14:textId="52F7F390"/>
    <w:p w:rsidR="3BD42089" w:rsidP="3BD42089" w:rsidRDefault="3BD42089" w14:paraId="54C9CF5D" w14:textId="52493446"/>
    <w:p w:rsidR="3BD42089" w:rsidP="3BD42089" w:rsidRDefault="3BD42089" w14:paraId="525F829D" w14:textId="46CB49A0"/>
    <w:p w:rsidR="3BD42089" w:rsidP="3BD42089" w:rsidRDefault="3BD42089" w14:paraId="413F3492" w14:textId="2C4BA6E4"/>
    <w:p w:rsidR="3BD42089" w:rsidP="3BD42089" w:rsidRDefault="3BD42089" w14:paraId="4B84066F" w14:textId="6449F8C0"/>
    <w:p w:rsidR="3BD42089" w:rsidP="3BD42089" w:rsidRDefault="3BD42089" w14:paraId="74ACBBE8" w14:textId="19DEA4FB"/>
    <w:p w:rsidR="3BD42089" w:rsidP="3BD42089" w:rsidRDefault="3BD42089" w14:paraId="6DB42BBD" w14:textId="67063905"/>
    <w:p w:rsidR="3BD42089" w:rsidP="3BD42089" w:rsidRDefault="3BD42089" w14:paraId="77BFC55B" w14:textId="22303E7F"/>
    <w:p w:rsidR="3BD42089" w:rsidP="3BD42089" w:rsidRDefault="3BD42089" w14:paraId="590A58BE" w14:textId="29C0116E"/>
    <w:p w:rsidR="3BD42089" w:rsidP="3BD42089" w:rsidRDefault="3BD42089" w14:paraId="0E7A6EEB" w14:textId="5863CA1D"/>
    <w:p w:rsidR="3BD42089" w:rsidP="3BD42089" w:rsidRDefault="3BD42089" w14:paraId="3BBD34C0" w14:textId="20AADB3A"/>
    <w:p w:rsidR="3BD42089" w:rsidP="3BD42089" w:rsidRDefault="3BD42089" w14:paraId="3EB8464B" w14:textId="3E1ED573"/>
    <w:p w:rsidR="3BD42089" w:rsidP="3BD42089" w:rsidRDefault="3BD42089" w14:paraId="49AC2FDF" w14:textId="0A97B0E3"/>
    <w:p w:rsidR="001F46F0" w:rsidP="638806D3" w:rsidRDefault="638806D3" w14:paraId="4A4AEF36" w14:textId="115DA492">
      <w:pPr>
        <w:rPr>
          <w:b/>
          <w:bCs/>
          <w:sz w:val="28"/>
          <w:szCs w:val="28"/>
        </w:rPr>
      </w:pPr>
      <w:r w:rsidRPr="638806D3">
        <w:rPr>
          <w:b/>
          <w:bCs/>
          <w:sz w:val="28"/>
          <w:szCs w:val="28"/>
        </w:rPr>
        <w:t>Introduction:</w:t>
      </w:r>
    </w:p>
    <w:p w:rsidR="5A4E8F03" w:rsidP="256431E5" w:rsidRDefault="256431E5" w14:paraId="691E85AA" w14:textId="02E51456">
      <w:pPr>
        <w:spacing w:after="160" w:line="259" w:lineRule="auto"/>
        <w:ind w:firstLine="0"/>
        <w:rPr>
          <w:color w:val="000000" w:themeColor="text2"/>
        </w:rPr>
      </w:pPr>
      <w:r w:rsidRPr="256431E5">
        <w:rPr>
          <w:rFonts w:ascii="Calibri" w:hAnsi="Calibri" w:eastAsia="Calibri" w:cs="Calibri"/>
          <w:color w:val="000000" w:themeColor="text2"/>
          <w:sz w:val="22"/>
          <w:szCs w:val="22"/>
        </w:rPr>
        <w:t xml:space="preserve">Urinary tract infections (UTI) are one of the leading causes of infection worldwide. At the age of 18, at least 10% of females </w:t>
      </w:r>
      <w:proofErr w:type="gramStart"/>
      <w:r w:rsidRPr="256431E5">
        <w:rPr>
          <w:rFonts w:ascii="Calibri" w:hAnsi="Calibri" w:eastAsia="Calibri" w:cs="Calibri"/>
          <w:color w:val="000000" w:themeColor="text2"/>
          <w:sz w:val="22"/>
          <w:szCs w:val="22"/>
        </w:rPr>
        <w:t>will also have been diagnosed</w:t>
      </w:r>
      <w:proofErr w:type="gramEnd"/>
      <w:r w:rsidRPr="256431E5">
        <w:rPr>
          <w:rFonts w:ascii="Calibri" w:hAnsi="Calibri" w:eastAsia="Calibri" w:cs="Calibri"/>
          <w:color w:val="000000" w:themeColor="text2"/>
          <w:sz w:val="22"/>
          <w:szCs w:val="22"/>
        </w:rPr>
        <w:t xml:space="preserve"> with a UTI.</w:t>
      </w:r>
      <w:sdt>
        <w:sdtPr>
          <w:tag w:val="MENDELEY_CITATION_v3_eyJjaXRhdGlvbklEIjoiTUVOREVMRVlfQ0lUQVRJT05fYmRkMDJhNTgtOWZhYS00MDI1LTliODctNzRhZTcyNzQ0MTU2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
          <w:id w:val="1211940382"/>
          <w:placeholder>
            <w:docPart w:val="DefaultPlaceholder_1081868574"/>
          </w:placeholder>
        </w:sdtPr>
        <w:sdtEndPr/>
        <w:sdtContent>
          <w:r w:rsidRPr="256431E5">
            <w:rPr>
              <w:rFonts w:ascii="Calibri" w:hAnsi="Calibri" w:eastAsia="Calibri" w:cs="Calibri"/>
              <w:color w:val="000000" w:themeColor="text2"/>
              <w:sz w:val="22"/>
              <w:szCs w:val="22"/>
            </w:rPr>
            <w:t>[2]</w:t>
          </w:r>
        </w:sdtContent>
      </w:sdt>
      <w:r>
        <w:t xml:space="preserve"> By the age of 24, one out of every three females </w:t>
      </w:r>
      <w:proofErr w:type="gramStart"/>
      <w:r>
        <w:t>will be treated</w:t>
      </w:r>
      <w:proofErr w:type="gramEnd"/>
      <w:r>
        <w:t xml:space="preserve"> for a UTI as it relates to the anatomical structure </w:t>
      </w:r>
      <w:sdt>
        <w:sdtPr>
          <w:tag w:val="MENDELEY_CITATION_v3_eyJjaXRhdGlvbklEIjoiTUVOREVMRVlfQ0lUQVRJT05fZTU1MGM2ZGYtZDIxMS00OGQ0LTlmNjktMTg0NGQ3MzUwMzYw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
          <w:id w:val="2023433286"/>
          <w:placeholder>
            <w:docPart w:val="DefaultPlaceholder_1081868574"/>
          </w:placeholder>
        </w:sdtPr>
        <w:sdtEndPr/>
        <w:sdtContent>
          <w:r w:rsidRPr="256431E5">
            <w:rPr>
              <w:color w:val="000000" w:themeColor="text2"/>
            </w:rPr>
            <w:t>[2]</w:t>
          </w:r>
        </w:sdtContent>
      </w:sdt>
      <w:r>
        <w:t xml:space="preserve">. Females have a shorter urethra compared to </w:t>
      </w:r>
      <w:proofErr w:type="gramStart"/>
      <w:r>
        <w:t>males</w:t>
      </w:r>
      <w:proofErr w:type="gramEnd"/>
      <w:sdt>
        <w:sdtPr>
          <w:tag w:val="MENDELEY_CITATION_v3_eyJjaXRhdGlvbklEIjoiTUVOREVMRVlfQ0lUQVRJT05fNzllM2Y1ZWEtZjczNC00NzFlLWI3NGQtYzNlNGNkNjYwMGIz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
          <w:id w:val="1471913394"/>
          <w:placeholder>
            <w:docPart w:val="DefaultPlaceholder_1081868574"/>
          </w:placeholder>
        </w:sdtPr>
        <w:sdtEndPr/>
        <w:sdtContent>
          <w:r w:rsidRPr="256431E5">
            <w:rPr>
              <w:color w:val="000000" w:themeColor="text2"/>
            </w:rPr>
            <w:t>[1]</w:t>
          </w:r>
        </w:sdtContent>
      </w:sdt>
      <w:r>
        <w:t>(Figure 1)</w:t>
      </w:r>
      <w:sdt>
        <w:sdtPr>
          <w:tag w:val="MENDELEY_CITATION_v3_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"/>
          <w:id w:val="1109185481"/>
          <w:placeholder>
            <w:docPart w:val="DefaultPlaceholder_1081868574"/>
          </w:placeholder>
        </w:sdtPr>
        <w:sdtEndPr/>
        <w:sdtContent>
          <w:r w:rsidRPr="256431E5">
            <w:rPr>
              <w:color w:val="000000" w:themeColor="text2"/>
            </w:rPr>
            <w:t>[1,3]</w:t>
          </w:r>
        </w:sdtContent>
      </w:sdt>
      <w:r>
        <w:t>. UTIs are among the most common nosocomial infections, accounting for 35–40% of all hospital-acquired infections. Catheter-associated UTI (CAUTI) is one of the most common nosocomial infections</w:t>
      </w:r>
      <w:sdt>
        <w:sdtPr>
          <w:tag w:val="MENDELEY_CITATION_v3_eyJjaXRhdGlvbklEIjoiTUVOREVMRVlfQ0lUQVRJT05fZmI0MWJkYjYtMTZhMy00ZmM0LTg2YTYtMTkwNTk5OTE2YzQ3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
          <w:id w:val="64225739"/>
          <w:placeholder>
            <w:docPart w:val="DefaultPlaceholder_1081868574"/>
          </w:placeholder>
        </w:sdtPr>
        <w:sdtEndPr/>
        <w:sdtContent>
          <w:r w:rsidRPr="256431E5">
            <w:rPr>
              <w:color w:val="000000" w:themeColor="text2"/>
            </w:rPr>
            <w:t>[2]</w:t>
          </w:r>
        </w:sdtContent>
      </w:sdt>
      <w:r>
        <w:t xml:space="preserve">, </w:t>
      </w:r>
      <w:sdt>
        <w:sdtPr>
          <w:tag w:val="MENDELEY_CITATION_v3_eyJjaXRhdGlvbklEIjoiTUVOREVMRVlfQ0lUQVRJT05fNWQ3MjVmMDItYTI3Yy00ZjBkLWI3OGYtMzczNGNkMzhiMDA4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
          <w:id w:val="2011854521"/>
          <w:placeholder>
            <w:docPart w:val="DefaultPlaceholder_1081868574"/>
          </w:placeholder>
        </w:sdtPr>
        <w:sdtEndPr/>
        <w:sdtContent>
          <w:r w:rsidRPr="256431E5">
            <w:rPr>
              <w:color w:val="000000" w:themeColor="text2"/>
            </w:rPr>
            <w:t>[2]</w:t>
          </w:r>
        </w:sdtContent>
      </w:sdt>
      <w:r>
        <w:t xml:space="preserve"> properly accounting for over 1 million cases each year in hospital and nursing home patients. The gold standard test used to determine the causative type of bacteria for a UTI is a urine </w:t>
      </w:r>
      <w:proofErr w:type="gramStart"/>
      <w:r>
        <w:t>culture</w:t>
      </w:r>
      <w:proofErr w:type="gramEnd"/>
      <w:sdt>
        <w:sdtPr>
          <w:tag w:val="MENDELEY_CITATION_v3_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"/>
          <w:id w:val="676383262"/>
          <w:placeholder>
            <w:docPart w:val="DefaultPlaceholder_1081868574"/>
          </w:placeholder>
        </w:sdtPr>
        <w:sdtEndPr/>
        <w:sdtContent>
          <w:r w:rsidRPr="256431E5">
            <w:rPr>
              <w:color w:val="000000" w:themeColor="text2"/>
            </w:rPr>
            <w:t>[1,2]</w:t>
          </w:r>
        </w:sdtContent>
      </w:sdt>
      <w:r>
        <w:t xml:space="preserve">. The sterile method is frequently used to compare all collection </w:t>
      </w:r>
      <w:proofErr w:type="gramStart"/>
      <w:r>
        <w:t>methods</w:t>
      </w:r>
      <w:proofErr w:type="gramEnd"/>
      <w:sdt>
        <w:sdtPr>
          <w:tag w:val="MENDELEY_CITATION_v3_eyJjaXRhdGlvbklEIjoiTUVOREVMRVlfQ0lUQVRJT05fM2VjMDY1YzctZjg1Zi00YjE0LTgzMDktNjE4ZjNhNmY5NTQz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
          <w:id w:val="810965073"/>
          <w:placeholder>
            <w:docPart w:val="DefaultPlaceholder_1081868574"/>
          </w:placeholder>
        </w:sdtPr>
        <w:sdtEndPr/>
        <w:sdtContent>
          <w:r w:rsidRPr="256431E5">
            <w:rPr>
              <w:color w:val="000000" w:themeColor="text2"/>
            </w:rPr>
            <w:t>[2]</w:t>
          </w:r>
        </w:sdtContent>
      </w:sdt>
      <w:r>
        <w:t xml:space="preserve">. Even though the urine in the bladder is sterile, contamination of samples can occur as urine passes through the outer third of the </w:t>
      </w:r>
      <w:proofErr w:type="gramStart"/>
      <w:r>
        <w:t>urethra</w:t>
      </w:r>
      <w:proofErr w:type="gramEnd"/>
      <w:sdt>
        <w:sdtPr>
          <w:tag w:val="MENDELEY_CITATION_v3_eyJjaXRhdGlvbklEIjoiTUVOREVMRVlfQ0lUQVRJT05fZGUxMzk1N2MtZTFhZS00OTgwLWExNzgtOTRlYzA3MjhlMjIw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
          <w:id w:val="164264823"/>
          <w:placeholder>
            <w:docPart w:val="DefaultPlaceholder_1081868574"/>
          </w:placeholder>
        </w:sdtPr>
        <w:sdtEndPr/>
        <w:sdtContent>
          <w:r w:rsidRPr="256431E5">
            <w:rPr>
              <w:color w:val="000000" w:themeColor="text2"/>
            </w:rPr>
            <w:t>[1]</w:t>
          </w:r>
        </w:sdtContent>
      </w:sdt>
      <w:r>
        <w:t xml:space="preserve">. By prevention methods from the contamination like clean catch midstream urine, indwelling catheter, straight catheterization urine and suprapubic bladder </w:t>
      </w:r>
      <w:proofErr w:type="gramStart"/>
      <w:r>
        <w:t>aspiration</w:t>
      </w:r>
      <w:proofErr w:type="gramEnd"/>
      <w:sdt>
        <w:sdtPr>
          <w:tag w:val="MENDELEY_CITATION_v3_eyJjaXRhdGlvbklEIjoiTUVOREVMRVlfQ0lUQVRJT05fMjZhOGViZTMtMWFmMi00MWRiLWJkYjAtMmJjMjgzNDA4NmNl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
          <w:id w:val="361154489"/>
          <w:placeholder>
            <w:docPart w:val="DefaultPlaceholder_1081868574"/>
          </w:placeholder>
        </w:sdtPr>
        <w:sdtEndPr/>
        <w:sdtContent>
          <w:r w:rsidRPr="256431E5">
            <w:rPr>
              <w:color w:val="000000" w:themeColor="text2"/>
            </w:rPr>
            <w:t>[4]</w:t>
          </w:r>
        </w:sdtContent>
      </w:sdt>
      <w:r>
        <w:t xml:space="preserve">. Gram-positive bacteria, such as </w:t>
      </w:r>
      <w:r w:rsidRPr="256431E5">
        <w:rPr>
          <w:rFonts w:ascii="Calibri" w:hAnsi="Calibri" w:eastAsia="Calibri" w:cs="Calibri"/>
          <w:i/>
          <w:iCs/>
          <w:color w:val="000000" w:themeColor="text2"/>
          <w:sz w:val="22"/>
          <w:szCs w:val="22"/>
        </w:rPr>
        <w:t xml:space="preserve">Staphylococcus </w:t>
      </w:r>
      <w:proofErr w:type="spellStart"/>
      <w:r w:rsidRPr="256431E5">
        <w:rPr>
          <w:rFonts w:ascii="Calibri" w:hAnsi="Calibri" w:eastAsia="Calibri" w:cs="Calibri"/>
          <w:i/>
          <w:iCs/>
          <w:color w:val="000000" w:themeColor="text2"/>
          <w:sz w:val="22"/>
          <w:szCs w:val="22"/>
        </w:rPr>
        <w:t>saprophyticus</w:t>
      </w:r>
      <w:proofErr w:type="spellEnd"/>
      <w:r w:rsidRPr="256431E5">
        <w:rPr>
          <w:rFonts w:ascii="Calibri" w:hAnsi="Calibri" w:eastAsia="Calibri" w:cs="Calibri"/>
          <w:i/>
          <w:iCs/>
          <w:color w:val="000000" w:themeColor="text2"/>
          <w:sz w:val="22"/>
          <w:szCs w:val="22"/>
        </w:rPr>
        <w:t xml:space="preserve">, Enterococcus </w:t>
      </w:r>
      <w:proofErr w:type="spellStart"/>
      <w:r w:rsidRPr="256431E5">
        <w:rPr>
          <w:rFonts w:ascii="Calibri" w:hAnsi="Calibri" w:eastAsia="Calibri" w:cs="Calibri"/>
          <w:i/>
          <w:iCs/>
          <w:color w:val="000000" w:themeColor="text2"/>
          <w:sz w:val="22"/>
          <w:szCs w:val="22"/>
        </w:rPr>
        <w:t>faecalis</w:t>
      </w:r>
      <w:proofErr w:type="spellEnd"/>
      <w:r w:rsidRPr="256431E5">
        <w:rPr>
          <w:rFonts w:ascii="Calibri" w:hAnsi="Calibri" w:eastAsia="Calibri" w:cs="Calibri"/>
          <w:i/>
          <w:iCs/>
          <w:color w:val="000000" w:themeColor="text2"/>
          <w:sz w:val="22"/>
          <w:szCs w:val="22"/>
        </w:rPr>
        <w:t xml:space="preserve">, and Streptococcus </w:t>
      </w:r>
      <w:proofErr w:type="spellStart"/>
      <w:r w:rsidRPr="256431E5">
        <w:rPr>
          <w:rFonts w:ascii="Calibri" w:hAnsi="Calibri" w:eastAsia="Calibri" w:cs="Calibri"/>
          <w:i/>
          <w:iCs/>
          <w:color w:val="000000" w:themeColor="text2"/>
          <w:sz w:val="22"/>
          <w:szCs w:val="22"/>
        </w:rPr>
        <w:t>agalactia</w:t>
      </w:r>
      <w:proofErr w:type="spellEnd"/>
      <w:r w:rsidRPr="256431E5">
        <w:rPr>
          <w:rFonts w:ascii="Calibri" w:hAnsi="Calibri" w:eastAsia="Calibri" w:cs="Calibri"/>
          <w:color w:val="000000" w:themeColor="text2"/>
          <w:sz w:val="22"/>
          <w:szCs w:val="22"/>
        </w:rPr>
        <w:t xml:space="preserve">, are a common cause of urinary-tract infection (UTI), particularly in the elderly, pregnant women, and those with other risk factors for </w:t>
      </w:r>
      <w:proofErr w:type="gramStart"/>
      <w:r w:rsidRPr="256431E5">
        <w:rPr>
          <w:rFonts w:ascii="Calibri" w:hAnsi="Calibri" w:eastAsia="Calibri" w:cs="Calibri"/>
          <w:color w:val="000000" w:themeColor="text2"/>
          <w:sz w:val="22"/>
          <w:szCs w:val="22"/>
        </w:rPr>
        <w:t>UTI</w:t>
      </w:r>
      <w:proofErr w:type="gramEnd"/>
      <w:sdt>
        <w:sdtPr>
          <w:tag w:val="MENDELEY_CITATION_v3_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"/>
          <w:id w:val="46824921"/>
          <w:placeholder>
            <w:docPart w:val="DefaultPlaceholder_1081868574"/>
          </w:placeholder>
        </w:sdtPr>
        <w:sdtEndPr/>
        <w:sdtContent>
          <w:r w:rsidRPr="256431E5">
            <w:rPr>
              <w:rFonts w:ascii="Calibri" w:hAnsi="Calibri" w:eastAsia="Calibri" w:cs="Calibri"/>
              <w:color w:val="000000" w:themeColor="text2"/>
              <w:sz w:val="22"/>
              <w:szCs w:val="22"/>
            </w:rPr>
            <w:t>[5]</w:t>
          </w:r>
        </w:sdtContent>
      </w:sdt>
      <w:r>
        <w:t xml:space="preserve">. Their </w:t>
      </w:r>
      <w:r w:rsidRPr="256431E5">
        <w:rPr>
          <w:rFonts w:ascii="Calibri" w:hAnsi="Calibri" w:eastAsia="Calibri" w:cs="Calibri"/>
          <w:i/>
          <w:iCs/>
          <w:color w:val="000000" w:themeColor="text2"/>
          <w:sz w:val="22"/>
          <w:szCs w:val="22"/>
        </w:rPr>
        <w:t>Escherichia coli</w:t>
      </w:r>
      <w:r w:rsidRPr="256431E5">
        <w:rPr>
          <w:rFonts w:ascii="Calibri" w:hAnsi="Calibri" w:eastAsia="Calibri" w:cs="Calibri"/>
          <w:color w:val="000000" w:themeColor="text2"/>
          <w:sz w:val="22"/>
          <w:szCs w:val="22"/>
        </w:rPr>
        <w:t xml:space="preserve">, on the other hand, is the most common cause of community urinary tract </w:t>
      </w:r>
      <w:proofErr w:type="gramStart"/>
      <w:r w:rsidRPr="256431E5">
        <w:rPr>
          <w:rFonts w:ascii="Calibri" w:hAnsi="Calibri" w:eastAsia="Calibri" w:cs="Calibri"/>
          <w:color w:val="000000" w:themeColor="text2"/>
          <w:sz w:val="22"/>
          <w:szCs w:val="22"/>
        </w:rPr>
        <w:t>infection</w:t>
      </w:r>
      <w:proofErr w:type="gramEnd"/>
      <w:sdt>
        <w:sdtPr>
          <w:tag w:val="MENDELEY_CITATION_v3_eyJjaXRhdGlvbklEIjoiTUVOREVMRVlfQ0lUQVRJT05fNGYxNzk4ZGItYzRkZS00MzY5LTg5ZDgtYTBkZmM2OTA2NjE1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
          <w:id w:val="2029414386"/>
          <w:placeholder>
            <w:docPart w:val="DefaultPlaceholder_1081868574"/>
          </w:placeholder>
        </w:sdtPr>
        <w:sdtEndPr/>
        <w:sdtContent>
          <w:r w:rsidRPr="256431E5">
            <w:rPr>
              <w:rFonts w:ascii="Calibri" w:hAnsi="Calibri" w:eastAsia="Calibri" w:cs="Calibri"/>
              <w:color w:val="000000" w:themeColor="text2"/>
              <w:sz w:val="22"/>
              <w:szCs w:val="22"/>
            </w:rPr>
            <w:t>[1]</w:t>
          </w:r>
        </w:sdtContent>
      </w:sdt>
      <w:r>
        <w:t xml:space="preserve">. </w:t>
      </w:r>
      <w:proofErr w:type="gramStart"/>
      <w:r>
        <w:t>which</w:t>
      </w:r>
      <w:proofErr w:type="gramEnd"/>
      <w:r>
        <w:t xml:space="preserve"> is a gram-negative rod</w:t>
      </w:r>
      <w:sdt>
        <w:sdtPr>
          <w:tag w:val="MENDELEY_CITATION_v3_eyJjaXRhdGlvbklEIjoiTUVOREVMRVlfQ0lUQVRJT05fMzBlZDdmNDItYTRiNi00MTE0LWFjNjgtOTk1NjMzOWQyMTQ3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
          <w:id w:val="119099307"/>
          <w:placeholder>
            <w:docPart w:val="DefaultPlaceholder_1081868574"/>
          </w:placeholder>
        </w:sdtPr>
        <w:sdtEndPr/>
        <w:sdtContent>
          <w:r w:rsidRPr="256431E5">
            <w:rPr>
              <w:color w:val="000000" w:themeColor="text2"/>
            </w:rPr>
            <w:t>[1]</w:t>
          </w:r>
        </w:sdtContent>
      </w:sdt>
      <w:r>
        <w:t xml:space="preserve">. </w:t>
      </w:r>
      <w:proofErr w:type="gramStart"/>
      <w:r>
        <w:t>The major symptoms associated with UTI are Strong persistent urges to urinate, pain, frequency with strong smelling and cloudy appearance, and in some cases, the urine can appear in a reddish color, indicating the presence of red blood cells in the urine (hematuria) beside the (</w:t>
      </w:r>
      <w:proofErr w:type="spellStart"/>
      <w:r>
        <w:t>pyuria</w:t>
      </w:r>
      <w:proofErr w:type="spellEnd"/>
      <w:r>
        <w:t>) which is the presence of the white blood cells in the urine and they can indicate some diseases such as pyelonephritis and cystitis</w:t>
      </w:r>
      <w:sdt>
        <w:sdtPr>
          <w:tag w:val="MENDELEY_CITATION_v3_eyJjaXRhdGlvbklEIjoiTUVOREVMRVlfQ0lUQVRJT05fMTJjYzliYzQtMTk2Yi00NGU0LWE2ZGEtYmE4ZjY1OWJhZWYx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
          <w:id w:val="559138147"/>
          <w:placeholder>
            <w:docPart w:val="DefaultPlaceholder_1081868574"/>
          </w:placeholder>
        </w:sdtPr>
        <w:sdtEndPr/>
        <w:sdtContent>
          <w:r w:rsidRPr="256431E5">
            <w:rPr>
              <w:color w:val="000000" w:themeColor="text2"/>
            </w:rPr>
            <w:t>[4]</w:t>
          </w:r>
        </w:sdtContent>
      </w:sdt>
      <w:r>
        <w:t>.</w:t>
      </w:r>
      <w:proofErr w:type="gramEnd"/>
      <w:r>
        <w:t xml:space="preserve"> </w:t>
      </w:r>
      <w:proofErr w:type="gramStart"/>
      <w:r>
        <w:t>But</w:t>
      </w:r>
      <w:proofErr w:type="gramEnd"/>
      <w:r>
        <w:t xml:space="preserve"> they don’t appear in asymptomatic bacteriuria until late time.</w:t>
      </w:r>
      <w:sdt>
        <w:sdtPr>
          <w:tag w:val="MENDELEY_CITATION_v3_eyJjaXRhdGlvbklEIjoiTUVOREVMRVlfQ0lUQVRJT05fNGM2ZGQ5YmEtMjhmMS00MjlkLTgxNWQtNzVkNDE0MWU2ZWVm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
          <w:id w:val="854604805"/>
          <w:placeholder>
            <w:docPart w:val="DefaultPlaceholder_1081868574"/>
          </w:placeholder>
        </w:sdtPr>
        <w:sdtEndPr/>
        <w:sdtContent>
          <w:r w:rsidRPr="256431E5">
            <w:rPr>
              <w:color w:val="000000" w:themeColor="text2"/>
            </w:rPr>
            <w:t>[4]</w:t>
          </w:r>
        </w:sdtContent>
      </w:sdt>
    </w:p>
    <w:p w:rsidR="0AA24152" w:rsidP="0AA24152" w:rsidRDefault="0AA24152" w14:paraId="38C0A74F" w14:textId="04D66315">
      <w:pPr>
        <w:spacing w:after="160" w:line="259" w:lineRule="auto"/>
        <w:ind w:firstLine="0"/>
      </w:pPr>
      <w:r>
        <w:rPr>
          <w:noProof/>
          <w:lang w:eastAsia="en-US"/>
        </w:rPr>
        <w:lastRenderedPageBreak/>
        <w:drawing>
          <wp:inline distT="0" distB="0" distL="0" distR="0" wp14:anchorId="0BA2305C" wp14:editId="688BB76C">
            <wp:extent cx="4572000" cy="2600325"/>
            <wp:effectExtent l="0" t="0" r="0" b="0"/>
            <wp:docPr id="1005373555" name="صورة 1005373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4572000" cy="2600325"/>
                    </a:xfrm>
                    <a:prstGeom prst="rect">
                      <a:avLst/>
                    </a:prstGeom>
                  </pic:spPr>
                </pic:pic>
              </a:graphicData>
            </a:graphic>
          </wp:inline>
        </w:drawing>
      </w:r>
    </w:p>
    <w:p w:rsidR="0AA24152" w:rsidP="0AA24152" w:rsidRDefault="256431E5" w14:paraId="7B1004A0" w14:textId="571E123F">
      <w:pPr>
        <w:spacing w:after="160" w:line="259" w:lineRule="auto"/>
        <w:ind w:firstLine="0"/>
        <w:rPr>
          <w:b/>
          <w:bCs/>
        </w:rPr>
      </w:pPr>
      <w:r w:rsidRPr="256431E5">
        <w:rPr>
          <w:b/>
          <w:bCs/>
        </w:rPr>
        <w:t>Figure 1 (shows the difference between the male and female urethras length) [</w:t>
      </w:r>
      <w:sdt>
        <w:sdtPr>
          <w:tag w:val="MENDELEY_CITATION_v3_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"/>
          <w:id w:val="208167328"/>
          <w:placeholder>
            <w:docPart w:val="DefaultPlaceholder_1081868574"/>
          </w:placeholder>
        </w:sdtPr>
        <w:sdtEndPr/>
        <w:sdtContent>
          <w:r w:rsidRPr="256431E5">
            <w:rPr>
              <w:color w:val="000000" w:themeColor="text2"/>
            </w:rPr>
            <w:t>3]</w:t>
          </w:r>
        </w:sdtContent>
      </w:sdt>
      <w:r w:rsidRPr="256431E5">
        <w:rPr>
          <w:b/>
          <w:bCs/>
        </w:rPr>
        <w:t xml:space="preserve"> </w:t>
      </w:r>
    </w:p>
    <w:p w:rsidR="5A4E8F03" w:rsidP="5A4E8F03" w:rsidRDefault="5A4E8F03" w14:paraId="7BB02D62" w14:textId="4DE45EEB">
      <w:pPr>
        <w:spacing w:after="160" w:line="259" w:lineRule="auto"/>
        <w:rPr>
          <w:rFonts w:ascii="Calibri" w:hAnsi="Calibri" w:eastAsia="Calibri" w:cs="Calibri"/>
          <w:color w:val="000000" w:themeColor="text2"/>
          <w:sz w:val="22"/>
          <w:szCs w:val="22"/>
        </w:rPr>
      </w:pPr>
    </w:p>
    <w:p w:rsidR="5A4E8F03" w:rsidP="5A4E8F03" w:rsidRDefault="5A4E8F03" w14:paraId="5F803359" w14:textId="093C1A83">
      <w:pPr>
        <w:rPr>
          <w:b/>
          <w:bCs/>
          <w:sz w:val="28"/>
          <w:szCs w:val="28"/>
        </w:rPr>
      </w:pPr>
    </w:p>
    <w:p w:rsidR="3BD42089" w:rsidRDefault="3BD42089" w14:paraId="7A6D202A" w14:textId="54301354">
      <w:r w:rsidRPr="3BD42089">
        <w:rPr>
          <w:b/>
          <w:bCs/>
          <w:sz w:val="28"/>
          <w:szCs w:val="28"/>
        </w:rPr>
        <w:t xml:space="preserve">Methods and materials </w:t>
      </w:r>
    </w:p>
    <w:p w:rsidR="3BD42089" w:rsidP="3BD42089" w:rsidRDefault="3BD42089" w14:paraId="63AF40F1" w14:textId="2F54E3F6">
      <w:pPr>
        <w:ind w:firstLine="0"/>
        <w:rPr>
          <w:b/>
          <w:bCs/>
          <w:sz w:val="28"/>
          <w:szCs w:val="28"/>
        </w:rPr>
      </w:pPr>
      <w:r w:rsidRPr="3BD42089">
        <w:t xml:space="preserve">     To apply urine culture, we need: </w:t>
      </w:r>
    </w:p>
    <w:p w:rsidR="3BD42089" w:rsidP="3BD42089" w:rsidRDefault="3BD42089" w14:paraId="568F9BF6" w14:textId="4AF46EB0">
      <w:pPr>
        <w:pStyle w:val="aff0"/>
        <w:numPr>
          <w:ilvl w:val="1"/>
          <w:numId w:val="11"/>
        </w:numPr>
        <w:rPr>
          <w:color w:val="000000" w:themeColor="text2"/>
        </w:rPr>
      </w:pPr>
      <w:r>
        <w:t xml:space="preserve">Urine sample </w:t>
      </w:r>
    </w:p>
    <w:p w:rsidR="3BD42089" w:rsidP="3BD42089" w:rsidRDefault="3BD42089" w14:paraId="71C8D4CC" w14:textId="42B88BBB">
      <w:pPr>
        <w:pStyle w:val="aff0"/>
        <w:numPr>
          <w:ilvl w:val="1"/>
          <w:numId w:val="11"/>
        </w:numPr>
        <w:rPr>
          <w:color w:val="000000" w:themeColor="text2"/>
        </w:rPr>
      </w:pPr>
      <w:r>
        <w:t>Wire loop (0.001ml or 0.01ml)</w:t>
      </w:r>
    </w:p>
    <w:p w:rsidR="3BD42089" w:rsidP="3BD42089" w:rsidRDefault="3BD42089" w14:paraId="7CA0FD33" w14:textId="147C64BE">
      <w:pPr>
        <w:pStyle w:val="aff0"/>
        <w:numPr>
          <w:ilvl w:val="1"/>
          <w:numId w:val="11"/>
        </w:numPr>
        <w:rPr>
          <w:color w:val="000000" w:themeColor="text2"/>
        </w:rPr>
      </w:pPr>
      <w:r>
        <w:t xml:space="preserve">Agar plate </w:t>
      </w:r>
    </w:p>
    <w:p w:rsidR="3BD42089" w:rsidP="3BD42089" w:rsidRDefault="3BD42089" w14:paraId="7D45595A" w14:textId="62E0CAC3">
      <w:pPr>
        <w:pStyle w:val="aff0"/>
        <w:numPr>
          <w:ilvl w:val="1"/>
          <w:numId w:val="11"/>
        </w:numPr>
        <w:rPr>
          <w:color w:val="000000" w:themeColor="text2"/>
        </w:rPr>
      </w:pPr>
      <w:r>
        <w:t xml:space="preserve">Flame </w:t>
      </w:r>
    </w:p>
    <w:p w:rsidR="3BD42089" w:rsidP="3BD42089" w:rsidRDefault="3BD42089" w14:paraId="4204C7AB" w14:textId="27ABD2CC">
      <w:pPr>
        <w:pStyle w:val="aff0"/>
        <w:numPr>
          <w:ilvl w:val="1"/>
          <w:numId w:val="11"/>
        </w:numPr>
        <w:rPr>
          <w:color w:val="000000" w:themeColor="text2"/>
        </w:rPr>
      </w:pPr>
      <w:r>
        <w:t>Incubation</w:t>
      </w:r>
    </w:p>
    <w:p w:rsidR="3BD42089" w:rsidP="3BD42089" w:rsidRDefault="3BD42089" w14:paraId="5627CC8F" w14:textId="2D649C05">
      <w:pPr>
        <w:ind w:firstLine="0"/>
      </w:pPr>
      <w:r>
        <w:t xml:space="preserve">        For the </w:t>
      </w:r>
      <w:proofErr w:type="gramStart"/>
      <w:r>
        <w:t>steps</w:t>
      </w:r>
      <w:proofErr w:type="gramEnd"/>
      <w:r>
        <w:t xml:space="preserve"> it begins by:</w:t>
      </w:r>
    </w:p>
    <w:p w:rsidR="3BD42089" w:rsidP="3BD42089" w:rsidRDefault="3BD42089" w14:paraId="065FBA57" w14:textId="1D0F55FC">
      <w:pPr>
        <w:pStyle w:val="aff0"/>
        <w:numPr>
          <w:ilvl w:val="0"/>
          <w:numId w:val="9"/>
        </w:numPr>
        <w:rPr>
          <w:color w:val="000000" w:themeColor="text2"/>
        </w:rPr>
      </w:pPr>
      <w:r>
        <w:t xml:space="preserve"> Collecting fresh urine from the patient, especially in the morning,</w:t>
      </w:r>
    </w:p>
    <w:p w:rsidR="3BD42089" w:rsidP="3BD42089" w:rsidRDefault="3BD42089" w14:paraId="39171C91" w14:textId="7AA28521">
      <w:pPr>
        <w:pStyle w:val="aff0"/>
        <w:numPr>
          <w:ilvl w:val="0"/>
          <w:numId w:val="9"/>
        </w:numPr>
        <w:rPr>
          <w:color w:val="000000" w:themeColor="text2"/>
        </w:rPr>
      </w:pPr>
      <w:r w:rsidRPr="3BD42089">
        <w:t>By applying heat from the flame to the wire loop to sterilize it.</w:t>
      </w:r>
    </w:p>
    <w:p w:rsidR="3BD42089" w:rsidP="256431E5" w:rsidRDefault="256431E5" w14:paraId="0D9465FC" w14:textId="53256D43">
      <w:pPr>
        <w:pStyle w:val="aff0"/>
        <w:numPr>
          <w:ilvl w:val="0"/>
          <w:numId w:val="9"/>
        </w:numPr>
        <w:rPr>
          <w:color w:val="000000" w:themeColor="text2"/>
        </w:rPr>
      </w:pPr>
      <w:r w:rsidRPr="256431E5">
        <w:t>After that, insert the wire loop vertically into the urine sample to get it attached to the urine (</w:t>
      </w:r>
      <w:r w:rsidRPr="256431E5">
        <w:rPr>
          <w:b/>
          <w:bCs/>
        </w:rPr>
        <w:t>figure 3) [</w:t>
      </w:r>
      <w:sdt>
        <w:sdtPr>
          <w:tag w:val="MENDELEY_CITATION_v3_eyJjaXRhdGlvbklEIjoiTUVOREVMRVlfQ0lUQVRJT05fMDVkODkwYjctMDYzYS00YTljLWI5MmUtNTg1MjBlZjk4M2I0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
          <w:id w:val="720963700"/>
          <w:placeholder>
            <w:docPart w:val="DefaultPlaceholder_1081868574"/>
          </w:placeholder>
        </w:sdtPr>
        <w:sdtEndPr/>
        <w:sdtContent>
          <w:r w:rsidRPr="256431E5">
            <w:rPr>
              <w:color w:val="000000" w:themeColor="text2"/>
            </w:rPr>
            <w:t>4]</w:t>
          </w:r>
        </w:sdtContent>
      </w:sdt>
    </w:p>
    <w:p w:rsidR="3BD42089" w:rsidP="3BD42089" w:rsidRDefault="3BD42089" w14:paraId="77ABBCC2" w14:textId="1D5ED65C">
      <w:r>
        <w:rPr>
          <w:noProof/>
          <w:lang w:eastAsia="en-US"/>
        </w:rPr>
        <w:lastRenderedPageBreak/>
        <w:drawing>
          <wp:inline distT="0" distB="0" distL="0" distR="0" wp14:anchorId="6E8FA82B" wp14:editId="58CF98BD">
            <wp:extent cx="2733675" cy="2181225"/>
            <wp:effectExtent l="0" t="0" r="0" b="0"/>
            <wp:docPr id="1380015391" name="صورة 1380015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2733675" cy="2181225"/>
                    </a:xfrm>
                    <a:prstGeom prst="rect">
                      <a:avLst/>
                    </a:prstGeom>
                  </pic:spPr>
                </pic:pic>
              </a:graphicData>
            </a:graphic>
          </wp:inline>
        </w:drawing>
      </w:r>
    </w:p>
    <w:p w:rsidR="3BD42089" w:rsidP="256431E5" w:rsidRDefault="256431E5" w14:paraId="5E361824" w14:textId="0D6C256E">
      <w:pPr>
        <w:ind w:firstLine="0"/>
        <w:rPr>
          <w:rFonts w:ascii="Times New Roman" w:hAnsi="Times New Roman" w:eastAsia="Times New Roman" w:cs="Times New Roman"/>
          <w:color w:val="000000" w:themeColor="text2"/>
        </w:rPr>
      </w:pPr>
      <w:r w:rsidRPr="256431E5">
        <w:rPr>
          <w:b/>
          <w:bCs/>
        </w:rPr>
        <w:t>Figure 3(</w:t>
      </w:r>
      <w:r w:rsidRPr="256431E5">
        <w:rPr>
          <w:rFonts w:ascii="Times New Roman" w:hAnsi="Times New Roman" w:eastAsia="Times New Roman" w:cs="Times New Roman"/>
          <w:b/>
          <w:bCs/>
        </w:rPr>
        <w:t>Inserting a calibrated loop into urine to ensure that adequate amount of      specimen adheres to the loop) [</w:t>
      </w:r>
      <w:sdt>
        <w:sdtPr>
          <w:tag w:val="MENDELEY_CITATION_v3_eyJjaXRhdGlvbklEIjoiTUVOREVMRVlfQ0lUQVRJT05fZTk0NjAxNTgtZjljOC00NmE3LWIzYmEtODY1Y2RmZTU5NGFj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
          <w:id w:val="170797667"/>
          <w:placeholder>
            <w:docPart w:val="DefaultPlaceholder_1081868574"/>
          </w:placeholder>
        </w:sdtPr>
        <w:sdtEndPr/>
        <w:sdtContent>
          <w:r w:rsidRPr="256431E5">
            <w:rPr>
              <w:rFonts w:ascii="Times New Roman" w:hAnsi="Times New Roman" w:eastAsia="Times New Roman" w:cs="Times New Roman"/>
              <w:color w:val="000000" w:themeColor="text2"/>
            </w:rPr>
            <w:t>4]</w:t>
          </w:r>
        </w:sdtContent>
      </w:sdt>
    </w:p>
    <w:p w:rsidR="3BD42089" w:rsidP="3BD42089" w:rsidRDefault="3BD42089" w14:paraId="6D55824D" w14:textId="57BE3CE0">
      <w:pPr>
        <w:ind w:firstLine="0"/>
        <w:rPr>
          <w:rFonts w:ascii="Times New Roman" w:hAnsi="Times New Roman" w:eastAsia="Times New Roman" w:cs="Times New Roman"/>
          <w:b/>
          <w:bCs/>
        </w:rPr>
      </w:pPr>
    </w:p>
    <w:p w:rsidR="3BD42089" w:rsidP="3BD42089" w:rsidRDefault="3BD42089" w14:paraId="7ED18306" w14:textId="1A97408A">
      <w:pPr>
        <w:pStyle w:val="aff0"/>
        <w:numPr>
          <w:ilvl w:val="0"/>
          <w:numId w:val="9"/>
        </w:numPr>
        <w:rPr>
          <w:color w:val="000000" w:themeColor="text2"/>
        </w:rPr>
      </w:pPr>
      <w:r w:rsidRPr="3BD42089">
        <w:t>The next step is to spread the urine sample on the plate agar by the wire loop.</w:t>
      </w:r>
    </w:p>
    <w:p w:rsidR="3BD42089" w:rsidP="3BD42089" w:rsidRDefault="3BD42089" w14:paraId="4295F87F" w14:textId="606BB424">
      <w:pPr>
        <w:pStyle w:val="aff0"/>
        <w:numPr>
          <w:ilvl w:val="0"/>
          <w:numId w:val="9"/>
        </w:numPr>
        <w:rPr>
          <w:color w:val="000000" w:themeColor="text2"/>
        </w:rPr>
      </w:pPr>
      <w:r w:rsidRPr="3BD42089">
        <w:t>Then again, insert the wire loop in the urine sample again without appealing heat to it and transfer it to another plate of agar.</w:t>
      </w:r>
    </w:p>
    <w:p w:rsidR="3BD42089" w:rsidP="3BD42089" w:rsidRDefault="3BD42089" w14:paraId="3BAAF613" w14:textId="20C21B78">
      <w:pPr>
        <w:pStyle w:val="aff0"/>
        <w:numPr>
          <w:ilvl w:val="0"/>
          <w:numId w:val="9"/>
        </w:numPr>
        <w:rPr>
          <w:color w:val="000000" w:themeColor="text2"/>
        </w:rPr>
      </w:pPr>
      <w:r w:rsidRPr="3BD42089">
        <w:t xml:space="preserve">After that, it </w:t>
      </w:r>
      <w:proofErr w:type="gramStart"/>
      <w:r w:rsidRPr="3BD42089">
        <w:t>will be incubated</w:t>
      </w:r>
      <w:proofErr w:type="gramEnd"/>
      <w:r w:rsidRPr="3BD42089">
        <w:t xml:space="preserve"> in air for 24 hours at 37 degrees Celsius.</w:t>
      </w:r>
    </w:p>
    <w:p w:rsidR="3BD42089" w:rsidP="3BD42089" w:rsidRDefault="3BD42089" w14:paraId="3EBA6632" w14:textId="04180CB5">
      <w:pPr>
        <w:pStyle w:val="aff0"/>
        <w:numPr>
          <w:ilvl w:val="0"/>
          <w:numId w:val="9"/>
        </w:numPr>
        <w:rPr>
          <w:color w:val="000000" w:themeColor="text2"/>
        </w:rPr>
      </w:pPr>
      <w:r w:rsidRPr="3BD42089">
        <w:t xml:space="preserve">Finally, count the colonies that appeared on the plate. The colony forming units (CFUs) </w:t>
      </w:r>
      <w:proofErr w:type="gramStart"/>
      <w:r w:rsidRPr="3BD42089">
        <w:t>are multiplied</w:t>
      </w:r>
      <w:proofErr w:type="gramEnd"/>
      <w:r w:rsidRPr="3BD42089">
        <w:t xml:space="preserve"> by 1000 if the wire loop was 0.001 ml or by 100 if the wire loop was 0.01 ml to detect the number of the microorganism per ml in the original specimen.</w:t>
      </w:r>
    </w:p>
    <w:p w:rsidR="3BD42089" w:rsidP="3BD42089" w:rsidRDefault="3BD42089" w14:paraId="6617748B" w14:textId="20FB350E">
      <w:pPr>
        <w:ind w:firstLine="0"/>
      </w:pPr>
      <w:r>
        <w:t xml:space="preserve">                 </w:t>
      </w:r>
    </w:p>
    <w:p w:rsidR="3BD42089" w:rsidP="3BD42089" w:rsidRDefault="3BD42089" w14:paraId="4C0A6DF3" w14:textId="2DF1F576">
      <w:pPr>
        <w:ind w:firstLine="0"/>
      </w:pPr>
    </w:p>
    <w:p w:rsidR="3BD42089" w:rsidP="3BD42089" w:rsidRDefault="3BD42089" w14:paraId="7560C54B" w14:textId="6E61A6CD">
      <w:pPr>
        <w:ind w:left="720"/>
      </w:pPr>
    </w:p>
    <w:p w:rsidR="3BD42089" w:rsidP="3BD42089" w:rsidRDefault="3BD42089" w14:paraId="09525DBB" w14:textId="26DB5B8A">
      <w:pPr>
        <w:ind w:left="720"/>
      </w:pPr>
    </w:p>
    <w:p w:rsidR="65BB128F" w:rsidRDefault="65BB128F" w14:paraId="54C01614" w14:textId="7D47B42D">
      <w:r>
        <w:t xml:space="preserve"> </w:t>
      </w:r>
    </w:p>
    <w:p w:rsidR="65BB128F" w:rsidP="65BB128F" w:rsidRDefault="65BB128F" w14:paraId="4985720A" w14:textId="6A7B8BEE">
      <w:pPr>
        <w:ind w:firstLine="0"/>
        <w:rPr>
          <w:b/>
          <w:bCs/>
          <w:sz w:val="28"/>
          <w:szCs w:val="28"/>
        </w:rPr>
      </w:pPr>
    </w:p>
    <w:p w:rsidR="65BB128F" w:rsidP="65BB128F" w:rsidRDefault="65BB128F" w14:paraId="37A3ADEA" w14:textId="5D74CB0E">
      <w:pPr>
        <w:ind w:firstLine="0"/>
        <w:rPr>
          <w:b/>
          <w:bCs/>
          <w:sz w:val="28"/>
          <w:szCs w:val="28"/>
        </w:rPr>
      </w:pPr>
    </w:p>
    <w:p w:rsidR="65BB128F" w:rsidP="65BB128F" w:rsidRDefault="65BB128F" w14:paraId="71C2687B" w14:textId="40AB92AC">
      <w:pPr>
        <w:ind w:firstLine="0"/>
        <w:rPr>
          <w:b/>
          <w:bCs/>
          <w:sz w:val="28"/>
          <w:szCs w:val="28"/>
        </w:rPr>
      </w:pPr>
    </w:p>
    <w:p w:rsidR="65BB128F" w:rsidP="65BB128F" w:rsidRDefault="65BB128F" w14:paraId="6F50EB61" w14:textId="0D03C246">
      <w:pPr>
        <w:ind w:firstLine="0"/>
        <w:rPr>
          <w:b/>
          <w:bCs/>
          <w:sz w:val="28"/>
          <w:szCs w:val="28"/>
        </w:rPr>
      </w:pPr>
      <w:r w:rsidRPr="65BB128F">
        <w:rPr>
          <w:b/>
          <w:bCs/>
          <w:sz w:val="28"/>
          <w:szCs w:val="28"/>
        </w:rPr>
        <w:t xml:space="preserve">Results and discussions: </w:t>
      </w:r>
    </w:p>
    <w:p w:rsidR="65BB128F" w:rsidP="65BB128F" w:rsidRDefault="65BB128F" w14:paraId="4BFE57EF" w14:textId="5B3B68B9">
      <w:pPr>
        <w:ind w:firstLine="0"/>
        <w:rPr>
          <w:b/>
          <w:bCs/>
        </w:rPr>
      </w:pPr>
      <w:r w:rsidRPr="65BB128F">
        <w:t>The effect of gender differences on prevalence and microbial spectrum of asymptomatic bacteriuria.</w:t>
      </w:r>
    </w:p>
    <w:tbl>
      <w:tblPr>
        <w:tblStyle w:val="afa"/>
        <w:tblW w:w="0" w:type="auto"/>
        <w:tblLayout w:type="fixed"/>
        <w:tblLook w:val="06A0" w:firstRow="1" w:lastRow="0" w:firstColumn="1" w:lastColumn="0" w:noHBand="1" w:noVBand="1"/>
      </w:tblPr>
      <w:tblGrid>
        <w:gridCol w:w="2340"/>
        <w:gridCol w:w="2340"/>
        <w:gridCol w:w="2340"/>
        <w:gridCol w:w="2340"/>
      </w:tblGrid>
      <w:tr w:rsidR="65BB128F" w:rsidTr="65BB128F" w14:paraId="3DBD412D" w14:textId="77777777">
        <w:tc>
          <w:tcPr>
            <w:tcW w:w="2340" w:type="dxa"/>
          </w:tcPr>
          <w:p w:rsidR="65BB128F" w:rsidP="65BB128F" w:rsidRDefault="65BB128F" w14:paraId="17A03553" w14:textId="78235231">
            <w:pPr>
              <w:rPr>
                <w:b/>
                <w:bCs/>
                <w:sz w:val="28"/>
                <w:szCs w:val="28"/>
              </w:rPr>
            </w:pPr>
          </w:p>
        </w:tc>
        <w:tc>
          <w:tcPr>
            <w:tcW w:w="2340" w:type="dxa"/>
          </w:tcPr>
          <w:p w:rsidR="65BB128F" w:rsidP="65BB128F" w:rsidRDefault="65BB128F" w14:paraId="6C12054B" w14:textId="5F4D80E3">
            <w:pPr>
              <w:ind w:firstLine="0"/>
            </w:pPr>
            <w:r w:rsidRPr="65BB128F">
              <w:t xml:space="preserve">     No growth </w:t>
            </w:r>
          </w:p>
        </w:tc>
        <w:tc>
          <w:tcPr>
            <w:tcW w:w="2340" w:type="dxa"/>
          </w:tcPr>
          <w:p w:rsidR="65BB128F" w:rsidP="65BB128F" w:rsidRDefault="65BB128F" w14:paraId="58950DCE" w14:textId="547C000D">
            <w:pPr>
              <w:spacing w:line="480" w:lineRule="auto"/>
              <w:ind w:firstLine="0"/>
              <w:rPr>
                <w:b/>
                <w:bCs/>
                <w:sz w:val="28"/>
                <w:szCs w:val="28"/>
              </w:rPr>
            </w:pPr>
            <w:r w:rsidRPr="65BB128F">
              <w:t>Overall, no significant growth</w:t>
            </w:r>
            <w:r w:rsidRPr="65BB128F">
              <w:rPr>
                <w:b/>
                <w:bCs/>
                <w:sz w:val="28"/>
                <w:szCs w:val="28"/>
              </w:rPr>
              <w:t xml:space="preserve"> </w:t>
            </w:r>
          </w:p>
        </w:tc>
        <w:tc>
          <w:tcPr>
            <w:tcW w:w="2340" w:type="dxa"/>
          </w:tcPr>
          <w:p w:rsidR="65BB128F" w:rsidP="65BB128F" w:rsidRDefault="65BB128F" w14:paraId="23C6E215" w14:textId="01CDDE6E">
            <w:pPr>
              <w:ind w:firstLine="0"/>
            </w:pPr>
            <w:r w:rsidRPr="65BB128F">
              <w:t xml:space="preserve">Significance growth </w:t>
            </w:r>
          </w:p>
        </w:tc>
      </w:tr>
      <w:tr w:rsidR="65BB128F" w:rsidTr="65BB128F" w14:paraId="49CC0F46" w14:textId="77777777">
        <w:tc>
          <w:tcPr>
            <w:tcW w:w="2340" w:type="dxa"/>
          </w:tcPr>
          <w:p w:rsidR="65BB128F" w:rsidP="65BB128F" w:rsidRDefault="65BB128F" w14:paraId="0C27D3EF" w14:textId="178EBF98">
            <w:pPr>
              <w:rPr>
                <w:b/>
                <w:bCs/>
                <w:sz w:val="28"/>
                <w:szCs w:val="28"/>
              </w:rPr>
            </w:pPr>
            <w:r w:rsidRPr="65BB128F">
              <w:t xml:space="preserve">Males </w:t>
            </w:r>
          </w:p>
        </w:tc>
        <w:tc>
          <w:tcPr>
            <w:tcW w:w="2340" w:type="dxa"/>
          </w:tcPr>
          <w:p w:rsidR="65BB128F" w:rsidP="65BB128F" w:rsidRDefault="65BB128F" w14:paraId="355A9436" w14:textId="55F8DEBC">
            <w:pPr>
              <w:rPr>
                <w:b/>
                <w:bCs/>
                <w:sz w:val="28"/>
                <w:szCs w:val="28"/>
              </w:rPr>
            </w:pPr>
            <w:r w:rsidRPr="65BB128F">
              <w:rPr>
                <w:b/>
                <w:bCs/>
                <w:sz w:val="28"/>
                <w:szCs w:val="28"/>
              </w:rPr>
              <w:t>9</w:t>
            </w:r>
          </w:p>
        </w:tc>
        <w:tc>
          <w:tcPr>
            <w:tcW w:w="2340" w:type="dxa"/>
          </w:tcPr>
          <w:p w:rsidR="65BB128F" w:rsidP="65BB128F" w:rsidRDefault="65BB128F" w14:paraId="1653605F" w14:textId="59E7C071">
            <w:pPr>
              <w:rPr>
                <w:b/>
                <w:bCs/>
                <w:sz w:val="28"/>
                <w:szCs w:val="28"/>
              </w:rPr>
            </w:pPr>
            <w:r w:rsidRPr="65BB128F">
              <w:rPr>
                <w:b/>
                <w:bCs/>
                <w:sz w:val="28"/>
                <w:szCs w:val="28"/>
              </w:rPr>
              <w:t>3</w:t>
            </w:r>
          </w:p>
        </w:tc>
        <w:tc>
          <w:tcPr>
            <w:tcW w:w="2340" w:type="dxa"/>
          </w:tcPr>
          <w:p w:rsidR="65BB128F" w:rsidP="65BB128F" w:rsidRDefault="65BB128F" w14:paraId="1F2BFA79" w14:textId="3E18C6FB">
            <w:pPr>
              <w:rPr>
                <w:b/>
                <w:bCs/>
                <w:sz w:val="28"/>
                <w:szCs w:val="28"/>
              </w:rPr>
            </w:pPr>
            <w:r w:rsidRPr="65BB128F">
              <w:rPr>
                <w:b/>
                <w:bCs/>
                <w:sz w:val="28"/>
                <w:szCs w:val="28"/>
              </w:rPr>
              <w:t>0</w:t>
            </w:r>
          </w:p>
        </w:tc>
      </w:tr>
      <w:tr w:rsidR="65BB128F" w:rsidTr="65BB128F" w14:paraId="77060007" w14:textId="77777777">
        <w:tc>
          <w:tcPr>
            <w:tcW w:w="2340" w:type="dxa"/>
          </w:tcPr>
          <w:p w:rsidR="65BB128F" w:rsidP="65BB128F" w:rsidRDefault="65BB128F" w14:paraId="01958212" w14:textId="1F44CE50">
            <w:r w:rsidRPr="65BB128F">
              <w:t xml:space="preserve">Females </w:t>
            </w:r>
          </w:p>
        </w:tc>
        <w:tc>
          <w:tcPr>
            <w:tcW w:w="2340" w:type="dxa"/>
          </w:tcPr>
          <w:p w:rsidR="65BB128F" w:rsidP="65BB128F" w:rsidRDefault="65BB128F" w14:paraId="73FB69DA" w14:textId="2DC31E02">
            <w:pPr>
              <w:rPr>
                <w:b/>
                <w:bCs/>
                <w:sz w:val="28"/>
                <w:szCs w:val="28"/>
              </w:rPr>
            </w:pPr>
            <w:r w:rsidRPr="65BB128F">
              <w:rPr>
                <w:b/>
                <w:bCs/>
                <w:sz w:val="28"/>
                <w:szCs w:val="28"/>
              </w:rPr>
              <w:t>2</w:t>
            </w:r>
          </w:p>
        </w:tc>
        <w:tc>
          <w:tcPr>
            <w:tcW w:w="2340" w:type="dxa"/>
          </w:tcPr>
          <w:p w:rsidR="65BB128F" w:rsidP="65BB128F" w:rsidRDefault="65BB128F" w14:paraId="3756E58B" w14:textId="4571AD40">
            <w:pPr>
              <w:rPr>
                <w:b/>
                <w:bCs/>
                <w:sz w:val="28"/>
                <w:szCs w:val="28"/>
              </w:rPr>
            </w:pPr>
            <w:r w:rsidRPr="65BB128F">
              <w:rPr>
                <w:b/>
                <w:bCs/>
                <w:sz w:val="28"/>
                <w:szCs w:val="28"/>
              </w:rPr>
              <w:t>8</w:t>
            </w:r>
          </w:p>
        </w:tc>
        <w:tc>
          <w:tcPr>
            <w:tcW w:w="2340" w:type="dxa"/>
          </w:tcPr>
          <w:p w:rsidR="65BB128F" w:rsidP="65BB128F" w:rsidRDefault="65BB128F" w14:paraId="2595B9C3" w14:textId="4FC4F708">
            <w:pPr>
              <w:rPr>
                <w:b/>
                <w:bCs/>
                <w:sz w:val="28"/>
                <w:szCs w:val="28"/>
              </w:rPr>
            </w:pPr>
            <w:r w:rsidRPr="65BB128F">
              <w:rPr>
                <w:b/>
                <w:bCs/>
                <w:sz w:val="28"/>
                <w:szCs w:val="28"/>
              </w:rPr>
              <w:t>2</w:t>
            </w:r>
          </w:p>
        </w:tc>
      </w:tr>
    </w:tbl>
    <w:p w:rsidR="65BB128F" w:rsidP="65BB128F" w:rsidRDefault="4908559C" w14:paraId="4895AB71" w14:textId="6C6A5D03">
      <w:pPr>
        <w:ind w:firstLine="0"/>
        <w:rPr>
          <w:b/>
          <w:bCs/>
        </w:rPr>
      </w:pPr>
      <w:r w:rsidRPr="4908559C">
        <w:rPr>
          <w:b/>
          <w:bCs/>
        </w:rPr>
        <w:t>Table 1</w:t>
      </w:r>
    </w:p>
    <w:p w:rsidR="39240CDE" w:rsidP="39240CDE" w:rsidRDefault="39240CDE" w14:paraId="23B06C38" w14:textId="7C603A34">
      <w:r w:rsidRPr="39240CDE">
        <w:rPr>
          <w:rFonts w:ascii="Times New Roman" w:hAnsi="Times New Roman" w:eastAsia="Times New Roman" w:cs="Times New Roman"/>
        </w:rPr>
        <w:t xml:space="preserve">According to the </w:t>
      </w:r>
      <w:r w:rsidRPr="39240CDE">
        <w:rPr>
          <w:rFonts w:ascii="Times New Roman" w:hAnsi="Times New Roman" w:eastAsia="Times New Roman" w:cs="Times New Roman"/>
          <w:b/>
          <w:bCs/>
        </w:rPr>
        <w:t xml:space="preserve">(table1), </w:t>
      </w:r>
      <w:r w:rsidRPr="39240CDE">
        <w:rPr>
          <w:rFonts w:ascii="Times New Roman" w:hAnsi="Times New Roman" w:eastAsia="Times New Roman" w:cs="Times New Roman"/>
        </w:rPr>
        <w:t xml:space="preserve">it shows the samples that </w:t>
      </w:r>
      <w:proofErr w:type="gramStart"/>
      <w:r w:rsidRPr="39240CDE">
        <w:rPr>
          <w:rFonts w:ascii="Times New Roman" w:hAnsi="Times New Roman" w:eastAsia="Times New Roman" w:cs="Times New Roman"/>
        </w:rPr>
        <w:t>were obtained</w:t>
      </w:r>
      <w:proofErr w:type="gramEnd"/>
      <w:r w:rsidRPr="39240CDE">
        <w:rPr>
          <w:rFonts w:ascii="Times New Roman" w:hAnsi="Times New Roman" w:eastAsia="Times New Roman" w:cs="Times New Roman"/>
        </w:rPr>
        <w:t xml:space="preserve"> from the students. In total, there were 12 females and 12 males. </w:t>
      </w:r>
      <w:proofErr w:type="gramStart"/>
      <w:r w:rsidRPr="39240CDE">
        <w:rPr>
          <w:rFonts w:ascii="Times New Roman" w:hAnsi="Times New Roman" w:eastAsia="Times New Roman" w:cs="Times New Roman"/>
        </w:rPr>
        <w:t>application of the chi-square test on the statistical side to figure out if the results were significant or not, because the samples were randomly obtained from the students, they are qualitative variables, and if they support the null hypothesis, which is that there is no association between the 2 variables, or alternative hypothesis that conforms to the association between the 2 variables,</w:t>
      </w:r>
      <w:proofErr w:type="gramEnd"/>
    </w:p>
    <w:p w:rsidR="39240CDE" w:rsidP="39240CDE" w:rsidRDefault="39240CDE" w14:paraId="167071EC" w14:textId="7913B715">
      <w:pPr>
        <w:ind w:firstLine="0"/>
      </w:pPr>
      <w:r w:rsidRPr="39240CDE">
        <w:rPr>
          <w:rFonts w:ascii="Times New Roman" w:hAnsi="Times New Roman" w:eastAsia="Times New Roman" w:cs="Times New Roman"/>
        </w:rPr>
        <w:t xml:space="preserve">As for the assumptions, it depends on the independence of the sample, if the sample </w:t>
      </w:r>
      <w:proofErr w:type="gramStart"/>
      <w:r w:rsidRPr="39240CDE">
        <w:rPr>
          <w:rFonts w:ascii="Times New Roman" w:hAnsi="Times New Roman" w:eastAsia="Times New Roman" w:cs="Times New Roman"/>
        </w:rPr>
        <w:t>is randomly selected</w:t>
      </w:r>
      <w:proofErr w:type="gramEnd"/>
      <w:r w:rsidRPr="39240CDE">
        <w:rPr>
          <w:rFonts w:ascii="Times New Roman" w:hAnsi="Times New Roman" w:eastAsia="Times New Roman" w:cs="Times New Roman"/>
        </w:rPr>
        <w:t>, and the sample size.</w:t>
      </w:r>
    </w:p>
    <w:p w:rsidR="65BB128F" w:rsidP="4908559C" w:rsidRDefault="65BB128F" w14:paraId="3AE15AD0" w14:textId="4EF32070"/>
    <w:tbl>
      <w:tblPr>
        <w:tblW w:w="0" w:type="auto"/>
        <w:tblLayout w:type="fixed"/>
        <w:tblLook w:val="0000" w:firstRow="0" w:lastRow="0" w:firstColumn="0" w:lastColumn="0" w:noHBand="0" w:noVBand="0"/>
      </w:tblPr>
      <w:tblGrid>
        <w:gridCol w:w="2445"/>
        <w:gridCol w:w="1020"/>
        <w:gridCol w:w="1020"/>
        <w:gridCol w:w="1455"/>
      </w:tblGrid>
      <w:tr w:rsidR="4908559C" w:rsidTr="4908559C" w14:paraId="02EF4B76" w14:textId="77777777">
        <w:tc>
          <w:tcPr>
            <w:tcW w:w="5940" w:type="dxa"/>
            <w:gridSpan w:val="4"/>
            <w:tcBorders>
              <w:top w:val="nil"/>
              <w:left w:val="nil"/>
              <w:bottom w:val="nil"/>
              <w:right w:val="nil"/>
            </w:tcBorders>
            <w:shd w:val="clear" w:color="auto" w:fill="FFFFFF" w:themeFill="background1"/>
            <w:vAlign w:val="center"/>
          </w:tcPr>
          <w:p w:rsidR="4908559C" w:rsidP="4908559C" w:rsidRDefault="4908559C" w14:paraId="49456E24" w14:textId="129257D3">
            <w:pPr>
              <w:spacing w:line="320" w:lineRule="atLeast"/>
              <w:ind w:left="60" w:right="60"/>
              <w:jc w:val="center"/>
              <w:rPr>
                <w:rFonts w:ascii="Arial" w:hAnsi="Arial" w:eastAsia="Arial" w:cs="Arial"/>
                <w:color w:val="010205"/>
                <w:sz w:val="22"/>
                <w:szCs w:val="22"/>
              </w:rPr>
            </w:pPr>
            <w:r w:rsidRPr="4908559C">
              <w:rPr>
                <w:rFonts w:ascii="Arial" w:hAnsi="Arial" w:eastAsia="Arial" w:cs="Arial"/>
                <w:b/>
                <w:bCs/>
                <w:color w:val="010205"/>
                <w:sz w:val="22"/>
                <w:szCs w:val="22"/>
              </w:rPr>
              <w:t xml:space="preserve"> Chi-Square Tests</w:t>
            </w:r>
          </w:p>
        </w:tc>
      </w:tr>
      <w:tr w:rsidR="4908559C" w:rsidTr="4908559C" w14:paraId="10203FD4" w14:textId="77777777">
        <w:tc>
          <w:tcPr>
            <w:tcW w:w="2445" w:type="dxa"/>
            <w:tcBorders>
              <w:top w:val="nil"/>
              <w:left w:val="nil"/>
              <w:bottom w:val="single" w:color="152935" w:sz="6" w:space="0"/>
              <w:right w:val="nil"/>
            </w:tcBorders>
            <w:shd w:val="clear" w:color="auto" w:fill="FFFFFF" w:themeFill="background1"/>
            <w:vAlign w:val="bottom"/>
          </w:tcPr>
          <w:p w:rsidR="4908559C" w:rsidP="4908559C" w:rsidRDefault="4908559C" w14:paraId="48179FA4" w14:textId="666FFD1D">
            <w:pPr>
              <w:spacing w:line="240" w:lineRule="auto"/>
              <w:rPr>
                <w:rFonts w:ascii="Times New Roman" w:hAnsi="Times New Roman" w:eastAsia="Times New Roman" w:cs="Times New Roman"/>
              </w:rPr>
            </w:pPr>
          </w:p>
        </w:tc>
        <w:tc>
          <w:tcPr>
            <w:tcW w:w="1020" w:type="dxa"/>
            <w:tcBorders>
              <w:top w:val="nil"/>
              <w:left w:val="nil"/>
              <w:bottom w:val="single" w:color="152935" w:sz="6" w:space="0"/>
              <w:right w:val="single" w:color="E0E0E0" w:themeColor="accent2" w:themeTint="66" w:sz="6" w:space="0"/>
            </w:tcBorders>
            <w:shd w:val="clear" w:color="auto" w:fill="FFFFFF" w:themeFill="background1"/>
            <w:vAlign w:val="bottom"/>
          </w:tcPr>
          <w:p w:rsidR="4908559C" w:rsidP="4908559C" w:rsidRDefault="4908559C" w14:paraId="1FCF8A0A" w14:textId="1AEE7EC6">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Value</w:t>
            </w:r>
          </w:p>
        </w:tc>
        <w:tc>
          <w:tcPr>
            <w:tcW w:w="1020" w:type="dxa"/>
            <w:tcBorders>
              <w:top w:val="nil"/>
              <w:left w:val="single" w:color="E0E0E0" w:themeColor="accent2" w:themeTint="66" w:sz="6" w:space="0"/>
              <w:bottom w:val="single" w:color="152935" w:sz="6" w:space="0"/>
              <w:right w:val="single" w:color="E0E0E0" w:themeColor="accent2" w:themeTint="66" w:sz="6" w:space="0"/>
            </w:tcBorders>
            <w:shd w:val="clear" w:color="auto" w:fill="FFFFFF" w:themeFill="background1"/>
            <w:vAlign w:val="bottom"/>
          </w:tcPr>
          <w:p w:rsidR="4908559C" w:rsidP="4908559C" w:rsidRDefault="4908559C" w14:paraId="2C0C8837" w14:textId="2545A369">
            <w:pPr>
              <w:spacing w:line="320" w:lineRule="atLeast"/>
              <w:ind w:left="60" w:right="60"/>
              <w:jc w:val="center"/>
              <w:rPr>
                <w:rFonts w:ascii="Arial" w:hAnsi="Arial" w:eastAsia="Arial" w:cs="Arial"/>
                <w:color w:val="264A60"/>
                <w:sz w:val="18"/>
                <w:szCs w:val="18"/>
              </w:rPr>
            </w:pPr>
            <w:proofErr w:type="spellStart"/>
            <w:r w:rsidRPr="4908559C">
              <w:rPr>
                <w:rFonts w:ascii="Arial" w:hAnsi="Arial" w:eastAsia="Arial" w:cs="Arial"/>
                <w:color w:val="264A60"/>
                <w:sz w:val="18"/>
                <w:szCs w:val="18"/>
              </w:rPr>
              <w:t>df</w:t>
            </w:r>
            <w:proofErr w:type="spellEnd"/>
          </w:p>
        </w:tc>
        <w:tc>
          <w:tcPr>
            <w:tcW w:w="1455" w:type="dxa"/>
            <w:tcBorders>
              <w:top w:val="nil"/>
              <w:left w:val="single" w:color="E0E0E0" w:themeColor="accent2" w:themeTint="66" w:sz="6" w:space="0"/>
              <w:bottom w:val="single" w:color="152935" w:sz="6" w:space="0"/>
              <w:right w:val="nil"/>
            </w:tcBorders>
            <w:shd w:val="clear" w:color="auto" w:fill="FFFFFF" w:themeFill="background1"/>
            <w:vAlign w:val="bottom"/>
          </w:tcPr>
          <w:p w:rsidR="4908559C" w:rsidP="4908559C" w:rsidRDefault="4908559C" w14:paraId="49F35B53" w14:textId="54B1A426">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Asymptotic Significance (2-sided)</w:t>
            </w:r>
          </w:p>
        </w:tc>
      </w:tr>
      <w:tr w:rsidR="4908559C" w:rsidTr="4908559C" w14:paraId="7E1C04D9" w14:textId="77777777">
        <w:tc>
          <w:tcPr>
            <w:tcW w:w="2445" w:type="dxa"/>
            <w:tcBorders>
              <w:top w:val="single" w:color="152935" w:sz="6" w:space="0"/>
              <w:left w:val="nil"/>
              <w:bottom w:val="single" w:color="AEAEAE" w:sz="6" w:space="0"/>
              <w:right w:val="nil"/>
            </w:tcBorders>
            <w:shd w:val="clear" w:color="auto" w:fill="E0E0E0" w:themeFill="accent2" w:themeFillTint="66"/>
          </w:tcPr>
          <w:p w:rsidR="4908559C" w:rsidP="4908559C" w:rsidRDefault="4908559C" w14:paraId="378561A8" w14:textId="263C752C">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Pearson Chi-Square</w:t>
            </w:r>
          </w:p>
        </w:tc>
        <w:tc>
          <w:tcPr>
            <w:tcW w:w="1020" w:type="dxa"/>
            <w:tcBorders>
              <w:top w:val="single" w:color="152935"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1EE93E10" w14:textId="7A45AC75">
            <w:pPr>
              <w:spacing w:line="320" w:lineRule="atLeast"/>
              <w:ind w:left="60" w:right="60"/>
              <w:jc w:val="right"/>
              <w:rPr>
                <w:rFonts w:ascii="Arial" w:hAnsi="Arial" w:eastAsia="Arial" w:cs="Arial"/>
                <w:color w:val="010205"/>
                <w:sz w:val="14"/>
                <w:szCs w:val="14"/>
              </w:rPr>
            </w:pPr>
            <w:r w:rsidRPr="4908559C">
              <w:rPr>
                <w:rFonts w:ascii="Arial" w:hAnsi="Arial" w:eastAsia="Arial" w:cs="Arial"/>
                <w:color w:val="010205"/>
                <w:sz w:val="18"/>
                <w:szCs w:val="18"/>
              </w:rPr>
              <w:t>8.727</w:t>
            </w:r>
            <w:r w:rsidRPr="4908559C">
              <w:rPr>
                <w:rFonts w:ascii="Arial" w:hAnsi="Arial" w:eastAsia="Arial" w:cs="Arial"/>
                <w:color w:val="010205"/>
                <w:sz w:val="18"/>
                <w:szCs w:val="18"/>
                <w:vertAlign w:val="superscript"/>
              </w:rPr>
              <w:t>a</w:t>
            </w:r>
          </w:p>
        </w:tc>
        <w:tc>
          <w:tcPr>
            <w:tcW w:w="1020" w:type="dxa"/>
            <w:tcBorders>
              <w:top w:val="single" w:color="152935"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75B7111C" w14:textId="583A7CCF">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w:t>
            </w:r>
          </w:p>
        </w:tc>
        <w:tc>
          <w:tcPr>
            <w:tcW w:w="1455" w:type="dxa"/>
            <w:tcBorders>
              <w:top w:val="single" w:color="152935"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76F764BD" w14:textId="5979D46A">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.013</w:t>
            </w:r>
          </w:p>
        </w:tc>
      </w:tr>
      <w:tr w:rsidR="4908559C" w:rsidTr="4908559C" w14:paraId="55D88B78" w14:textId="77777777">
        <w:tc>
          <w:tcPr>
            <w:tcW w:w="2445" w:type="dxa"/>
            <w:tcBorders>
              <w:top w:val="single" w:color="AEAEAE" w:sz="6" w:space="0"/>
              <w:left w:val="nil"/>
              <w:bottom w:val="single" w:color="AEAEAE" w:sz="6" w:space="0"/>
              <w:right w:val="nil"/>
            </w:tcBorders>
            <w:shd w:val="clear" w:color="auto" w:fill="E0E0E0" w:themeFill="accent2" w:themeFillTint="66"/>
          </w:tcPr>
          <w:p w:rsidR="4908559C" w:rsidP="4908559C" w:rsidRDefault="4908559C" w14:paraId="7BB1887C" w14:textId="71B08569">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Likelihood Ratio</w:t>
            </w:r>
          </w:p>
        </w:tc>
        <w:tc>
          <w:tcPr>
            <w:tcW w:w="1020" w:type="dxa"/>
            <w:tcBorders>
              <w:top w:val="single" w:color="AEAEAE"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7EBC0256" w14:textId="4813F4BB">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9.949</w:t>
            </w:r>
          </w:p>
        </w:tc>
        <w:tc>
          <w:tcPr>
            <w:tcW w:w="1020" w:type="dxa"/>
            <w:tcBorders>
              <w:top w:val="single" w:color="AEAEAE"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26C9F6E2" w14:textId="6FB0184D">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w:t>
            </w:r>
          </w:p>
        </w:tc>
        <w:tc>
          <w:tcPr>
            <w:tcW w:w="1455" w:type="dxa"/>
            <w:tcBorders>
              <w:top w:val="single" w:color="AEAEAE"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38F9FF87" w14:textId="240AF558">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.007</w:t>
            </w:r>
          </w:p>
        </w:tc>
      </w:tr>
      <w:tr w:rsidR="4908559C" w:rsidTr="4908559C" w14:paraId="2AA98303" w14:textId="77777777">
        <w:tc>
          <w:tcPr>
            <w:tcW w:w="2445" w:type="dxa"/>
            <w:tcBorders>
              <w:top w:val="single" w:color="AEAEAE" w:sz="6" w:space="0"/>
              <w:left w:val="nil"/>
              <w:bottom w:val="single" w:color="AEAEAE" w:sz="6" w:space="0"/>
              <w:right w:val="nil"/>
            </w:tcBorders>
            <w:shd w:val="clear" w:color="auto" w:fill="E0E0E0" w:themeFill="accent2" w:themeFillTint="66"/>
          </w:tcPr>
          <w:p w:rsidR="4908559C" w:rsidP="4908559C" w:rsidRDefault="4908559C" w14:paraId="6FBA575F" w14:textId="32F18B95">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lastRenderedPageBreak/>
              <w:t>Linear-by-Linear Association</w:t>
            </w:r>
          </w:p>
        </w:tc>
        <w:tc>
          <w:tcPr>
            <w:tcW w:w="1020" w:type="dxa"/>
            <w:tcBorders>
              <w:top w:val="single" w:color="AEAEAE"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06DFF77B" w14:textId="1DF53058">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8.065</w:t>
            </w:r>
          </w:p>
        </w:tc>
        <w:tc>
          <w:tcPr>
            <w:tcW w:w="1020" w:type="dxa"/>
            <w:tcBorders>
              <w:top w:val="single" w:color="AEAEAE"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066AFA98" w14:textId="53E5777A">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w:t>
            </w:r>
          </w:p>
        </w:tc>
        <w:tc>
          <w:tcPr>
            <w:tcW w:w="1455" w:type="dxa"/>
            <w:tcBorders>
              <w:top w:val="single" w:color="AEAEAE"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2FFD3D46" w14:textId="168C9CD6">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.005</w:t>
            </w:r>
          </w:p>
        </w:tc>
      </w:tr>
      <w:tr w:rsidR="4908559C" w:rsidTr="4908559C" w14:paraId="5B04A849" w14:textId="77777777">
        <w:tc>
          <w:tcPr>
            <w:tcW w:w="2445" w:type="dxa"/>
            <w:tcBorders>
              <w:top w:val="single" w:color="AEAEAE" w:sz="6" w:space="0"/>
              <w:left w:val="nil"/>
              <w:bottom w:val="single" w:color="152935" w:sz="6" w:space="0"/>
              <w:right w:val="nil"/>
            </w:tcBorders>
            <w:shd w:val="clear" w:color="auto" w:fill="E0E0E0" w:themeFill="accent2" w:themeFillTint="66"/>
          </w:tcPr>
          <w:p w:rsidR="4908559C" w:rsidP="4908559C" w:rsidRDefault="4908559C" w14:paraId="482B3DA9" w14:textId="5075C7C1">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N of Valid Cases</w:t>
            </w:r>
          </w:p>
        </w:tc>
        <w:tc>
          <w:tcPr>
            <w:tcW w:w="1020" w:type="dxa"/>
            <w:tcBorders>
              <w:top w:val="single" w:color="AEAEAE" w:sz="6" w:space="0"/>
              <w:left w:val="nil"/>
              <w:bottom w:val="single" w:color="152935" w:sz="6" w:space="0"/>
              <w:right w:val="single" w:color="E0E0E0" w:themeColor="accent2" w:themeTint="66" w:sz="6" w:space="0"/>
            </w:tcBorders>
            <w:shd w:val="clear" w:color="auto" w:fill="FFFFFF" w:themeFill="background1"/>
          </w:tcPr>
          <w:p w:rsidR="4908559C" w:rsidP="4908559C" w:rsidRDefault="4908559C" w14:paraId="10F70DBE" w14:textId="2D233878">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24</w:t>
            </w:r>
          </w:p>
        </w:tc>
        <w:tc>
          <w:tcPr>
            <w:tcW w:w="1020" w:type="dxa"/>
            <w:tcBorders>
              <w:top w:val="single" w:color="AEAEAE" w:sz="6" w:space="0"/>
              <w:left w:val="single" w:color="E0E0E0" w:themeColor="accent2" w:themeTint="66" w:sz="6" w:space="0"/>
              <w:bottom w:val="single" w:color="152935" w:sz="6" w:space="0"/>
              <w:right w:val="single" w:color="E0E0E0" w:themeColor="accent2" w:themeTint="66" w:sz="6" w:space="0"/>
            </w:tcBorders>
            <w:shd w:val="clear" w:color="auto" w:fill="FFFFFF" w:themeFill="background1"/>
            <w:vAlign w:val="center"/>
          </w:tcPr>
          <w:p w:rsidR="4908559C" w:rsidP="4908559C" w:rsidRDefault="4908559C" w14:paraId="1DEE1749" w14:textId="4127A3E4">
            <w:pPr>
              <w:spacing w:line="240" w:lineRule="auto"/>
              <w:rPr>
                <w:rFonts w:ascii="Times New Roman" w:hAnsi="Times New Roman" w:eastAsia="Times New Roman" w:cs="Times New Roman"/>
              </w:rPr>
            </w:pPr>
          </w:p>
        </w:tc>
        <w:tc>
          <w:tcPr>
            <w:tcW w:w="1455" w:type="dxa"/>
            <w:tcBorders>
              <w:top w:val="single" w:color="AEAEAE" w:sz="6" w:space="0"/>
              <w:left w:val="single" w:color="E0E0E0" w:themeColor="accent2" w:themeTint="66" w:sz="6" w:space="0"/>
              <w:bottom w:val="single" w:color="152935" w:sz="6" w:space="0"/>
              <w:right w:val="nil"/>
            </w:tcBorders>
            <w:shd w:val="clear" w:color="auto" w:fill="FFFFFF" w:themeFill="background1"/>
            <w:vAlign w:val="center"/>
          </w:tcPr>
          <w:p w:rsidR="4908559C" w:rsidP="4908559C" w:rsidRDefault="4908559C" w14:paraId="2E763E9C" w14:textId="6B079055">
            <w:pPr>
              <w:spacing w:line="240" w:lineRule="auto"/>
              <w:rPr>
                <w:rFonts w:ascii="Times New Roman" w:hAnsi="Times New Roman" w:eastAsia="Times New Roman" w:cs="Times New Roman"/>
              </w:rPr>
            </w:pPr>
          </w:p>
        </w:tc>
      </w:tr>
      <w:tr w:rsidR="4908559C" w:rsidTr="4908559C" w14:paraId="1500A2CA" w14:textId="77777777">
        <w:tc>
          <w:tcPr>
            <w:tcW w:w="5940" w:type="dxa"/>
            <w:gridSpan w:val="4"/>
            <w:tcBorders>
              <w:top w:val="single" w:color="152935" w:sz="6" w:space="0"/>
              <w:left w:val="nil"/>
              <w:bottom w:val="nil"/>
              <w:right w:val="nil"/>
            </w:tcBorders>
            <w:shd w:val="clear" w:color="auto" w:fill="FFFFFF" w:themeFill="background1"/>
          </w:tcPr>
          <w:p w:rsidR="4908559C" w:rsidP="4908559C" w:rsidRDefault="4908559C" w14:paraId="3EEEC945" w14:textId="6246C811">
            <w:pPr>
              <w:spacing w:line="320" w:lineRule="atLeast"/>
              <w:ind w:left="60" w:right="60"/>
              <w:rPr>
                <w:rFonts w:ascii="Arial" w:hAnsi="Arial" w:eastAsia="Arial" w:cs="Arial"/>
                <w:color w:val="010205"/>
                <w:sz w:val="18"/>
                <w:szCs w:val="18"/>
              </w:rPr>
            </w:pPr>
            <w:r w:rsidRPr="4908559C">
              <w:rPr>
                <w:rFonts w:ascii="Arial" w:hAnsi="Arial" w:eastAsia="Arial" w:cs="Arial"/>
                <w:color w:val="010205"/>
                <w:sz w:val="18"/>
                <w:szCs w:val="18"/>
              </w:rPr>
              <w:t>a. 2 cells (33.3%) have expected count less than 5. The minimum expected count is 1.00.</w:t>
            </w:r>
          </w:p>
        </w:tc>
      </w:tr>
    </w:tbl>
    <w:p w:rsidR="65BB128F" w:rsidP="4908559C" w:rsidRDefault="65BB128F" w14:paraId="5AA64EB9" w14:textId="5531D0A1">
      <w:pPr>
        <w:spacing w:after="160" w:line="400" w:lineRule="atLeast"/>
        <w:rPr>
          <w:rFonts w:ascii="Times New Roman" w:hAnsi="Times New Roman" w:eastAsia="Times New Roman" w:cs="Times New Roman"/>
          <w:color w:val="000000" w:themeColor="text2"/>
        </w:rPr>
      </w:pPr>
    </w:p>
    <w:p w:rsidR="65BB128F" w:rsidP="4908559C" w:rsidRDefault="65BB128F" w14:paraId="2062F935" w14:textId="201815D8">
      <w:pPr>
        <w:spacing w:after="160" w:line="240" w:lineRule="auto"/>
        <w:rPr>
          <w:rFonts w:ascii="Times New Roman" w:hAnsi="Times New Roman" w:eastAsia="Times New Roman" w:cs="Times New Roman"/>
          <w:color w:val="000000" w:themeColor="text2"/>
        </w:rPr>
      </w:pPr>
    </w:p>
    <w:tbl>
      <w:tblPr>
        <w:tblW w:w="0" w:type="auto"/>
        <w:tblLayout w:type="fixed"/>
        <w:tblLook w:val="0000" w:firstRow="0" w:lastRow="0" w:firstColumn="0" w:lastColumn="0" w:noHBand="0" w:noVBand="0"/>
      </w:tblPr>
      <w:tblGrid>
        <w:gridCol w:w="915"/>
        <w:gridCol w:w="2445"/>
        <w:gridCol w:w="1665"/>
        <w:gridCol w:w="1020"/>
        <w:gridCol w:w="1020"/>
        <w:gridCol w:w="1020"/>
      </w:tblGrid>
      <w:tr w:rsidR="4908559C" w:rsidTr="4908559C" w14:paraId="3408DD1C" w14:textId="77777777">
        <w:tc>
          <w:tcPr>
            <w:tcW w:w="8085" w:type="dxa"/>
            <w:gridSpan w:val="6"/>
            <w:tcBorders>
              <w:top w:val="nil"/>
              <w:left w:val="nil"/>
              <w:bottom w:val="nil"/>
              <w:right w:val="nil"/>
            </w:tcBorders>
            <w:shd w:val="clear" w:color="auto" w:fill="FFFFFF" w:themeFill="background1"/>
            <w:vAlign w:val="center"/>
          </w:tcPr>
          <w:p w:rsidR="4908559C" w:rsidP="4908559C" w:rsidRDefault="4908559C" w14:paraId="3C1ECA74" w14:textId="73013729">
            <w:pPr>
              <w:spacing w:line="320" w:lineRule="atLeast"/>
              <w:ind w:left="60" w:right="60"/>
              <w:jc w:val="center"/>
              <w:rPr>
                <w:rFonts w:ascii="Arial" w:hAnsi="Arial" w:eastAsia="Arial" w:cs="Arial"/>
                <w:color w:val="010205"/>
                <w:sz w:val="22"/>
                <w:szCs w:val="22"/>
              </w:rPr>
            </w:pPr>
            <w:proofErr w:type="spellStart"/>
            <w:r w:rsidRPr="4908559C">
              <w:rPr>
                <w:rFonts w:ascii="Arial" w:hAnsi="Arial" w:eastAsia="Arial" w:cs="Arial"/>
                <w:b/>
                <w:bCs/>
                <w:color w:val="010205"/>
                <w:sz w:val="22"/>
                <w:szCs w:val="22"/>
              </w:rPr>
              <w:t>CFUcat</w:t>
            </w:r>
            <w:proofErr w:type="spellEnd"/>
            <w:r w:rsidRPr="4908559C">
              <w:rPr>
                <w:rFonts w:ascii="Arial" w:hAnsi="Arial" w:eastAsia="Arial" w:cs="Arial"/>
                <w:b/>
                <w:bCs/>
                <w:color w:val="010205"/>
                <w:sz w:val="22"/>
                <w:szCs w:val="22"/>
              </w:rPr>
              <w:t xml:space="preserve"> * Gender </w:t>
            </w:r>
            <w:proofErr w:type="spellStart"/>
            <w:r w:rsidRPr="4908559C">
              <w:rPr>
                <w:rFonts w:ascii="Arial" w:hAnsi="Arial" w:eastAsia="Arial" w:cs="Arial"/>
                <w:b/>
                <w:bCs/>
                <w:color w:val="010205"/>
                <w:sz w:val="22"/>
                <w:szCs w:val="22"/>
              </w:rPr>
              <w:t>Crosstabulation</w:t>
            </w:r>
            <w:proofErr w:type="spellEnd"/>
          </w:p>
        </w:tc>
      </w:tr>
      <w:tr w:rsidR="4908559C" w:rsidTr="4908559C" w14:paraId="24E15F62" w14:textId="77777777">
        <w:tc>
          <w:tcPr>
            <w:tcW w:w="5025" w:type="dxa"/>
            <w:gridSpan w:val="3"/>
            <w:vMerge w:val="restart"/>
            <w:tcBorders>
              <w:top w:val="nil"/>
              <w:left w:val="nil"/>
              <w:bottom w:val="nil"/>
              <w:right w:val="nil"/>
            </w:tcBorders>
            <w:shd w:val="clear" w:color="auto" w:fill="FFFFFF" w:themeFill="background1"/>
            <w:vAlign w:val="bottom"/>
          </w:tcPr>
          <w:p w:rsidR="4908559C" w:rsidP="4908559C" w:rsidRDefault="4908559C" w14:paraId="262E179D" w14:textId="20986F7F">
            <w:pPr>
              <w:spacing w:line="240" w:lineRule="auto"/>
              <w:rPr>
                <w:rFonts w:ascii="Times New Roman" w:hAnsi="Times New Roman" w:eastAsia="Times New Roman" w:cs="Times New Roman"/>
              </w:rPr>
            </w:pPr>
          </w:p>
        </w:tc>
        <w:tc>
          <w:tcPr>
            <w:tcW w:w="2040" w:type="dxa"/>
            <w:gridSpan w:val="2"/>
            <w:tcBorders>
              <w:top w:val="nil"/>
              <w:left w:val="nil"/>
              <w:bottom w:val="nil"/>
              <w:right w:val="single" w:color="E0E0E0" w:themeColor="accent2" w:themeTint="66" w:sz="6" w:space="0"/>
            </w:tcBorders>
            <w:shd w:val="clear" w:color="auto" w:fill="FFFFFF" w:themeFill="background1"/>
            <w:vAlign w:val="bottom"/>
          </w:tcPr>
          <w:p w:rsidR="4908559C" w:rsidP="4908559C" w:rsidRDefault="4908559C" w14:paraId="0D7B7364" w14:textId="1EA66230">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Gender</w:t>
            </w:r>
          </w:p>
        </w:tc>
        <w:tc>
          <w:tcPr>
            <w:tcW w:w="1020" w:type="dxa"/>
            <w:vMerge w:val="restart"/>
            <w:tcBorders>
              <w:top w:val="nil"/>
              <w:left w:val="single" w:color="E0E0E0" w:themeColor="accent2" w:themeTint="66" w:sz="6" w:space="0"/>
              <w:bottom w:val="nil"/>
              <w:right w:val="nil"/>
            </w:tcBorders>
            <w:shd w:val="clear" w:color="auto" w:fill="FFFFFF" w:themeFill="background1"/>
            <w:vAlign w:val="bottom"/>
          </w:tcPr>
          <w:p w:rsidR="4908559C" w:rsidP="4908559C" w:rsidRDefault="4908559C" w14:paraId="5A4CBB0E" w14:textId="1DE4B72B">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Total</w:t>
            </w:r>
          </w:p>
        </w:tc>
      </w:tr>
      <w:tr w:rsidR="4908559C" w:rsidTr="4908559C" w14:paraId="3EF9B45C" w14:textId="77777777">
        <w:tc>
          <w:tcPr>
            <w:tcW w:w="5025" w:type="dxa"/>
            <w:gridSpan w:val="3"/>
            <w:vMerge/>
            <w:tcBorders>
              <w:left w:val="nil"/>
            </w:tcBorders>
            <w:vAlign w:val="center"/>
          </w:tcPr>
          <w:p w:rsidR="001F46F0" w:rsidRDefault="001F46F0" w14:paraId="0420A84A" w14:textId="77777777"/>
        </w:tc>
        <w:tc>
          <w:tcPr>
            <w:tcW w:w="1020" w:type="dxa"/>
            <w:tcBorders>
              <w:top w:val="nil"/>
              <w:left w:val="nil"/>
              <w:bottom w:val="single" w:color="152935" w:sz="6" w:space="0"/>
              <w:right w:val="single" w:color="E0E0E0" w:themeColor="accent2" w:themeTint="66" w:sz="6" w:space="0"/>
            </w:tcBorders>
            <w:shd w:val="clear" w:color="auto" w:fill="FFFFFF" w:themeFill="background1"/>
            <w:vAlign w:val="bottom"/>
          </w:tcPr>
          <w:p w:rsidR="4908559C" w:rsidP="4908559C" w:rsidRDefault="4908559C" w14:paraId="5A4FF85C" w14:textId="01EF7FB7">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Female</w:t>
            </w:r>
          </w:p>
        </w:tc>
        <w:tc>
          <w:tcPr>
            <w:tcW w:w="1020" w:type="dxa"/>
            <w:tcBorders>
              <w:top w:val="nil"/>
              <w:left w:val="single" w:color="E0E0E0" w:themeColor="accent2" w:themeTint="66" w:sz="6" w:space="0"/>
              <w:bottom w:val="single" w:color="152935" w:sz="6" w:space="0"/>
              <w:right w:val="single" w:color="E0E0E0" w:themeColor="accent2" w:themeTint="66" w:sz="6" w:space="0"/>
            </w:tcBorders>
            <w:shd w:val="clear" w:color="auto" w:fill="FFFFFF" w:themeFill="background1"/>
            <w:vAlign w:val="bottom"/>
          </w:tcPr>
          <w:p w:rsidR="4908559C" w:rsidP="4908559C" w:rsidRDefault="4908559C" w14:paraId="45EFE051" w14:textId="7AB2D8FD">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Male</w:t>
            </w:r>
          </w:p>
        </w:tc>
        <w:tc>
          <w:tcPr>
            <w:tcW w:w="1020" w:type="dxa"/>
            <w:vMerge/>
            <w:tcBorders>
              <w:left w:val="single" w:color="E0E0E0" w:themeColor="accent2" w:themeTint="66" w:sz="0" w:space="0"/>
            </w:tcBorders>
            <w:vAlign w:val="center"/>
          </w:tcPr>
          <w:p w:rsidR="001F46F0" w:rsidRDefault="001F46F0" w14:paraId="2341DBC3" w14:textId="77777777"/>
        </w:tc>
      </w:tr>
      <w:tr w:rsidR="4908559C" w:rsidTr="4908559C" w14:paraId="7F445CCA" w14:textId="77777777">
        <w:tc>
          <w:tcPr>
            <w:tcW w:w="915" w:type="dxa"/>
            <w:vMerge w:val="restart"/>
            <w:tcBorders>
              <w:top w:val="single" w:color="152935" w:sz="6" w:space="0"/>
              <w:left w:val="nil"/>
              <w:bottom w:val="nil"/>
              <w:right w:val="nil"/>
            </w:tcBorders>
            <w:shd w:val="clear" w:color="auto" w:fill="E0E0E0" w:themeFill="accent2" w:themeFillTint="66"/>
          </w:tcPr>
          <w:p w:rsidR="4908559C" w:rsidP="4908559C" w:rsidRDefault="4908559C" w14:paraId="71BA7D6A" w14:textId="7AFD0D4F">
            <w:pPr>
              <w:spacing w:line="320" w:lineRule="atLeast"/>
              <w:ind w:left="60" w:right="60"/>
              <w:rPr>
                <w:rFonts w:ascii="Arial" w:hAnsi="Arial" w:eastAsia="Arial" w:cs="Arial"/>
                <w:color w:val="264A60"/>
                <w:sz w:val="18"/>
                <w:szCs w:val="18"/>
              </w:rPr>
            </w:pPr>
            <w:proofErr w:type="spellStart"/>
            <w:r w:rsidRPr="4908559C">
              <w:rPr>
                <w:rFonts w:ascii="Arial" w:hAnsi="Arial" w:eastAsia="Arial" w:cs="Arial"/>
                <w:color w:val="264A60"/>
                <w:sz w:val="18"/>
                <w:szCs w:val="18"/>
              </w:rPr>
              <w:t>CFUcat</w:t>
            </w:r>
            <w:proofErr w:type="spellEnd"/>
          </w:p>
        </w:tc>
        <w:tc>
          <w:tcPr>
            <w:tcW w:w="2445" w:type="dxa"/>
            <w:vMerge w:val="restart"/>
            <w:tcBorders>
              <w:top w:val="single" w:color="152935" w:sz="6" w:space="0"/>
              <w:left w:val="nil"/>
              <w:bottom w:val="nil"/>
              <w:right w:val="nil"/>
            </w:tcBorders>
            <w:shd w:val="clear" w:color="auto" w:fill="E0E0E0" w:themeFill="accent2" w:themeFillTint="66"/>
          </w:tcPr>
          <w:p w:rsidR="4908559C" w:rsidP="4908559C" w:rsidRDefault="4908559C" w14:paraId="450ABBA6" w14:textId="2ED3463E">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No growth</w:t>
            </w:r>
          </w:p>
        </w:tc>
        <w:tc>
          <w:tcPr>
            <w:tcW w:w="1665" w:type="dxa"/>
            <w:tcBorders>
              <w:top w:val="single" w:color="152935" w:sz="6" w:space="0"/>
              <w:left w:val="nil"/>
              <w:bottom w:val="single" w:color="AEAEAE" w:sz="6" w:space="0"/>
              <w:right w:val="nil"/>
            </w:tcBorders>
            <w:shd w:val="clear" w:color="auto" w:fill="E0E0E0" w:themeFill="accent2" w:themeFillTint="66"/>
          </w:tcPr>
          <w:p w:rsidR="4908559C" w:rsidP="4908559C" w:rsidRDefault="4908559C" w14:paraId="664E441B" w14:textId="3114D0DD">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Count</w:t>
            </w:r>
          </w:p>
        </w:tc>
        <w:tc>
          <w:tcPr>
            <w:tcW w:w="1020" w:type="dxa"/>
            <w:tcBorders>
              <w:top w:val="single" w:color="152935"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309CBEA7" w14:textId="2982D1C6">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w:t>
            </w:r>
          </w:p>
        </w:tc>
        <w:tc>
          <w:tcPr>
            <w:tcW w:w="1020" w:type="dxa"/>
            <w:tcBorders>
              <w:top w:val="single" w:color="152935"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0C4DE2BF" w14:textId="4389005E">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9</w:t>
            </w:r>
          </w:p>
        </w:tc>
        <w:tc>
          <w:tcPr>
            <w:tcW w:w="1020" w:type="dxa"/>
            <w:tcBorders>
              <w:top w:val="single" w:color="152935"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43871338" w14:textId="5AC0951C">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11</w:t>
            </w:r>
          </w:p>
        </w:tc>
      </w:tr>
      <w:tr w:rsidR="4908559C" w:rsidTr="4908559C" w14:paraId="04C0328B" w14:textId="77777777">
        <w:tc>
          <w:tcPr>
            <w:tcW w:w="915" w:type="dxa"/>
            <w:vMerge/>
            <w:tcBorders>
              <w:left w:val="nil"/>
            </w:tcBorders>
            <w:vAlign w:val="center"/>
          </w:tcPr>
          <w:p w:rsidR="001F46F0" w:rsidRDefault="001F46F0" w14:paraId="40AC0775" w14:textId="77777777"/>
        </w:tc>
        <w:tc>
          <w:tcPr>
            <w:tcW w:w="2445" w:type="dxa"/>
            <w:vMerge/>
            <w:tcBorders>
              <w:left w:val="nil"/>
            </w:tcBorders>
            <w:vAlign w:val="center"/>
          </w:tcPr>
          <w:p w:rsidR="001F46F0" w:rsidRDefault="001F46F0" w14:paraId="4CC5AEBB" w14:textId="77777777"/>
        </w:tc>
        <w:tc>
          <w:tcPr>
            <w:tcW w:w="1665" w:type="dxa"/>
            <w:tcBorders>
              <w:top w:val="single" w:color="AEAEAE" w:sz="6" w:space="0"/>
              <w:left w:val="nil"/>
              <w:bottom w:val="single" w:color="AEAEAE" w:sz="6" w:space="0"/>
              <w:right w:val="nil"/>
            </w:tcBorders>
            <w:shd w:val="clear" w:color="auto" w:fill="E0E0E0" w:themeFill="accent2" w:themeFillTint="66"/>
          </w:tcPr>
          <w:p w:rsidR="4908559C" w:rsidP="4908559C" w:rsidRDefault="4908559C" w14:paraId="2AD7A425" w14:textId="3746AFAF">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Expected Count</w:t>
            </w:r>
          </w:p>
        </w:tc>
        <w:tc>
          <w:tcPr>
            <w:tcW w:w="1020" w:type="dxa"/>
            <w:tcBorders>
              <w:top w:val="single" w:color="AEAEAE"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44712D73" w14:textId="6EDC5E56">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5.5</w:t>
            </w:r>
          </w:p>
        </w:tc>
        <w:tc>
          <w:tcPr>
            <w:tcW w:w="1020" w:type="dxa"/>
            <w:tcBorders>
              <w:top w:val="single" w:color="AEAEAE"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0DDEFF14" w14:textId="7DBAB463">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5.5</w:t>
            </w:r>
          </w:p>
        </w:tc>
        <w:tc>
          <w:tcPr>
            <w:tcW w:w="1020" w:type="dxa"/>
            <w:tcBorders>
              <w:top w:val="single" w:color="AEAEAE"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7943BF7C" w14:textId="655053AC">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11.0</w:t>
            </w:r>
          </w:p>
        </w:tc>
      </w:tr>
      <w:tr w:rsidR="4908559C" w:rsidTr="4908559C" w14:paraId="6D1FB52D" w14:textId="77777777">
        <w:tc>
          <w:tcPr>
            <w:tcW w:w="915" w:type="dxa"/>
            <w:vMerge/>
            <w:tcBorders>
              <w:left w:val="nil"/>
            </w:tcBorders>
            <w:vAlign w:val="center"/>
          </w:tcPr>
          <w:p w:rsidR="001F46F0" w:rsidRDefault="001F46F0" w14:paraId="15B8769F" w14:textId="77777777"/>
        </w:tc>
        <w:tc>
          <w:tcPr>
            <w:tcW w:w="2445" w:type="dxa"/>
            <w:vMerge/>
            <w:tcBorders>
              <w:left w:val="nil"/>
            </w:tcBorders>
            <w:vAlign w:val="center"/>
          </w:tcPr>
          <w:p w:rsidR="001F46F0" w:rsidRDefault="001F46F0" w14:paraId="578C2124" w14:textId="77777777"/>
        </w:tc>
        <w:tc>
          <w:tcPr>
            <w:tcW w:w="1665" w:type="dxa"/>
            <w:tcBorders>
              <w:top w:val="single" w:color="AEAEAE" w:sz="6" w:space="0"/>
              <w:left w:val="nil"/>
              <w:bottom w:val="nil"/>
              <w:right w:val="nil"/>
            </w:tcBorders>
            <w:shd w:val="clear" w:color="auto" w:fill="E0E0E0" w:themeFill="accent2" w:themeFillTint="66"/>
          </w:tcPr>
          <w:p w:rsidR="4908559C" w:rsidP="4908559C" w:rsidRDefault="4908559C" w14:paraId="5F60807C" w14:textId="3D7F3015">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 Within Gender</w:t>
            </w:r>
          </w:p>
        </w:tc>
        <w:tc>
          <w:tcPr>
            <w:tcW w:w="1020" w:type="dxa"/>
            <w:tcBorders>
              <w:top w:val="single" w:color="AEAEAE" w:sz="6" w:space="0"/>
              <w:left w:val="nil"/>
              <w:bottom w:val="nil"/>
              <w:right w:val="single" w:color="E0E0E0" w:themeColor="accent2" w:themeTint="66" w:sz="6" w:space="0"/>
            </w:tcBorders>
            <w:shd w:val="clear" w:color="auto" w:fill="FFFFFF" w:themeFill="background1"/>
          </w:tcPr>
          <w:p w:rsidR="4908559C" w:rsidP="4908559C" w:rsidRDefault="4908559C" w14:paraId="0B88007F" w14:textId="4C1B437D">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16.7%</w:t>
            </w:r>
          </w:p>
        </w:tc>
        <w:tc>
          <w:tcPr>
            <w:tcW w:w="1020" w:type="dxa"/>
            <w:tcBorders>
              <w:top w:val="single" w:color="AEAEAE" w:sz="6" w:space="0"/>
              <w:left w:val="single" w:color="E0E0E0" w:themeColor="accent2" w:themeTint="66" w:sz="6" w:space="0"/>
              <w:bottom w:val="nil"/>
              <w:right w:val="single" w:color="E0E0E0" w:themeColor="accent2" w:themeTint="66" w:sz="6" w:space="0"/>
            </w:tcBorders>
            <w:shd w:val="clear" w:color="auto" w:fill="FFFFFF" w:themeFill="background1"/>
          </w:tcPr>
          <w:p w:rsidR="4908559C" w:rsidP="4908559C" w:rsidRDefault="4908559C" w14:paraId="222D2F43" w14:textId="02BCFDEB">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75.0%</w:t>
            </w:r>
          </w:p>
        </w:tc>
        <w:tc>
          <w:tcPr>
            <w:tcW w:w="1020" w:type="dxa"/>
            <w:tcBorders>
              <w:top w:val="single" w:color="AEAEAE" w:sz="6" w:space="0"/>
              <w:left w:val="single" w:color="E0E0E0" w:themeColor="accent2" w:themeTint="66" w:sz="6" w:space="0"/>
              <w:bottom w:val="nil"/>
              <w:right w:val="nil"/>
            </w:tcBorders>
            <w:shd w:val="clear" w:color="auto" w:fill="FFFFFF" w:themeFill="background1"/>
          </w:tcPr>
          <w:p w:rsidR="4908559C" w:rsidP="4908559C" w:rsidRDefault="4908559C" w14:paraId="7EBC0D9B" w14:textId="2BBD3F32">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45.8%</w:t>
            </w:r>
          </w:p>
        </w:tc>
      </w:tr>
      <w:tr w:rsidR="4908559C" w:rsidTr="4908559C" w14:paraId="4177CD51" w14:textId="77777777">
        <w:tc>
          <w:tcPr>
            <w:tcW w:w="915" w:type="dxa"/>
            <w:vMerge/>
            <w:tcBorders>
              <w:left w:val="nil"/>
            </w:tcBorders>
            <w:vAlign w:val="center"/>
          </w:tcPr>
          <w:p w:rsidR="001F46F0" w:rsidRDefault="001F46F0" w14:paraId="7CF3971E" w14:textId="77777777"/>
        </w:tc>
        <w:tc>
          <w:tcPr>
            <w:tcW w:w="2445" w:type="dxa"/>
            <w:vMerge w:val="restart"/>
            <w:tcBorders>
              <w:top w:val="single" w:color="AEAEAE" w:sz="6" w:space="0"/>
              <w:left w:val="nil"/>
              <w:bottom w:val="nil"/>
              <w:right w:val="nil"/>
            </w:tcBorders>
            <w:shd w:val="clear" w:color="auto" w:fill="E0E0E0" w:themeFill="accent2" w:themeFillTint="66"/>
          </w:tcPr>
          <w:p w:rsidR="4908559C" w:rsidP="4908559C" w:rsidRDefault="4908559C" w14:paraId="2D4C689D" w14:textId="50E4B06B">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Overall, no significant growth</w:t>
            </w:r>
          </w:p>
        </w:tc>
        <w:tc>
          <w:tcPr>
            <w:tcW w:w="1665" w:type="dxa"/>
            <w:tcBorders>
              <w:top w:val="single" w:color="AEAEAE" w:sz="6" w:space="0"/>
              <w:left w:val="nil"/>
              <w:bottom w:val="single" w:color="AEAEAE" w:sz="6" w:space="0"/>
              <w:right w:val="nil"/>
            </w:tcBorders>
            <w:shd w:val="clear" w:color="auto" w:fill="E0E0E0" w:themeFill="accent2" w:themeFillTint="66"/>
          </w:tcPr>
          <w:p w:rsidR="4908559C" w:rsidP="4908559C" w:rsidRDefault="4908559C" w14:paraId="6E61C47B" w14:textId="44AABF0A">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Count</w:t>
            </w:r>
          </w:p>
        </w:tc>
        <w:tc>
          <w:tcPr>
            <w:tcW w:w="1020" w:type="dxa"/>
            <w:tcBorders>
              <w:top w:val="single" w:color="AEAEAE"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6FB843DA" w14:textId="1C478AC3">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8</w:t>
            </w:r>
          </w:p>
        </w:tc>
        <w:tc>
          <w:tcPr>
            <w:tcW w:w="1020" w:type="dxa"/>
            <w:tcBorders>
              <w:top w:val="single" w:color="AEAEAE"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329EEAB0" w14:textId="3B94A18D">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3</w:t>
            </w:r>
          </w:p>
        </w:tc>
        <w:tc>
          <w:tcPr>
            <w:tcW w:w="1020" w:type="dxa"/>
            <w:tcBorders>
              <w:top w:val="single" w:color="AEAEAE"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7974C763" w14:textId="46D24A92">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11</w:t>
            </w:r>
          </w:p>
        </w:tc>
      </w:tr>
      <w:tr w:rsidR="4908559C" w:rsidTr="4908559C" w14:paraId="02F1595E" w14:textId="77777777">
        <w:tc>
          <w:tcPr>
            <w:tcW w:w="915" w:type="dxa"/>
            <w:vMerge/>
            <w:tcBorders>
              <w:left w:val="nil"/>
            </w:tcBorders>
            <w:vAlign w:val="center"/>
          </w:tcPr>
          <w:p w:rsidR="001F46F0" w:rsidRDefault="001F46F0" w14:paraId="010D5AE4" w14:textId="77777777"/>
        </w:tc>
        <w:tc>
          <w:tcPr>
            <w:tcW w:w="2445" w:type="dxa"/>
            <w:vMerge/>
            <w:tcBorders>
              <w:left w:val="nil"/>
            </w:tcBorders>
            <w:vAlign w:val="center"/>
          </w:tcPr>
          <w:p w:rsidR="001F46F0" w:rsidRDefault="001F46F0" w14:paraId="55E8FF5B" w14:textId="77777777"/>
        </w:tc>
        <w:tc>
          <w:tcPr>
            <w:tcW w:w="1665" w:type="dxa"/>
            <w:tcBorders>
              <w:top w:val="single" w:color="AEAEAE" w:sz="6" w:space="0"/>
              <w:left w:val="nil"/>
              <w:bottom w:val="single" w:color="AEAEAE" w:sz="6" w:space="0"/>
              <w:right w:val="nil"/>
            </w:tcBorders>
            <w:shd w:val="clear" w:color="auto" w:fill="E0E0E0" w:themeFill="accent2" w:themeFillTint="66"/>
          </w:tcPr>
          <w:p w:rsidR="4908559C" w:rsidP="4908559C" w:rsidRDefault="4908559C" w14:paraId="104EC723" w14:textId="0562C194">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Expected Count</w:t>
            </w:r>
          </w:p>
        </w:tc>
        <w:tc>
          <w:tcPr>
            <w:tcW w:w="1020" w:type="dxa"/>
            <w:tcBorders>
              <w:top w:val="single" w:color="AEAEAE"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5BB3A6E7" w14:textId="2C6449A0">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5.5</w:t>
            </w:r>
          </w:p>
        </w:tc>
        <w:tc>
          <w:tcPr>
            <w:tcW w:w="1020" w:type="dxa"/>
            <w:tcBorders>
              <w:top w:val="single" w:color="AEAEAE"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6989E223" w14:textId="147198FC">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5.5</w:t>
            </w:r>
          </w:p>
        </w:tc>
        <w:tc>
          <w:tcPr>
            <w:tcW w:w="1020" w:type="dxa"/>
            <w:tcBorders>
              <w:top w:val="single" w:color="AEAEAE"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77360FCA" w14:textId="532779F3">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11.0</w:t>
            </w:r>
          </w:p>
        </w:tc>
      </w:tr>
      <w:tr w:rsidR="4908559C" w:rsidTr="4908559C" w14:paraId="428D6402" w14:textId="77777777">
        <w:tc>
          <w:tcPr>
            <w:tcW w:w="915" w:type="dxa"/>
            <w:vMerge/>
            <w:tcBorders>
              <w:left w:val="nil"/>
            </w:tcBorders>
            <w:vAlign w:val="center"/>
          </w:tcPr>
          <w:p w:rsidR="001F46F0" w:rsidRDefault="001F46F0" w14:paraId="2A4FFBB2" w14:textId="77777777"/>
        </w:tc>
        <w:tc>
          <w:tcPr>
            <w:tcW w:w="2445" w:type="dxa"/>
            <w:vMerge/>
            <w:tcBorders>
              <w:left w:val="nil"/>
            </w:tcBorders>
            <w:vAlign w:val="center"/>
          </w:tcPr>
          <w:p w:rsidR="001F46F0" w:rsidRDefault="001F46F0" w14:paraId="6AB979A5" w14:textId="77777777"/>
        </w:tc>
        <w:tc>
          <w:tcPr>
            <w:tcW w:w="1665" w:type="dxa"/>
            <w:tcBorders>
              <w:top w:val="single" w:color="AEAEAE" w:sz="6" w:space="0"/>
              <w:left w:val="nil"/>
              <w:bottom w:val="nil"/>
              <w:right w:val="nil"/>
            </w:tcBorders>
            <w:shd w:val="clear" w:color="auto" w:fill="E0E0E0" w:themeFill="accent2" w:themeFillTint="66"/>
          </w:tcPr>
          <w:p w:rsidR="4908559C" w:rsidP="4908559C" w:rsidRDefault="4908559C" w14:paraId="18851342" w14:textId="75235F6D">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 Within Gender</w:t>
            </w:r>
          </w:p>
        </w:tc>
        <w:tc>
          <w:tcPr>
            <w:tcW w:w="1020" w:type="dxa"/>
            <w:tcBorders>
              <w:top w:val="single" w:color="AEAEAE" w:sz="6" w:space="0"/>
              <w:left w:val="nil"/>
              <w:bottom w:val="nil"/>
              <w:right w:val="single" w:color="E0E0E0" w:themeColor="accent2" w:themeTint="66" w:sz="6" w:space="0"/>
            </w:tcBorders>
            <w:shd w:val="clear" w:color="auto" w:fill="FFFFFF" w:themeFill="background1"/>
          </w:tcPr>
          <w:p w:rsidR="4908559C" w:rsidP="4908559C" w:rsidRDefault="4908559C" w14:paraId="296AF100" w14:textId="6B301C01">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66.7%</w:t>
            </w:r>
          </w:p>
        </w:tc>
        <w:tc>
          <w:tcPr>
            <w:tcW w:w="1020" w:type="dxa"/>
            <w:tcBorders>
              <w:top w:val="single" w:color="AEAEAE" w:sz="6" w:space="0"/>
              <w:left w:val="single" w:color="E0E0E0" w:themeColor="accent2" w:themeTint="66" w:sz="6" w:space="0"/>
              <w:bottom w:val="nil"/>
              <w:right w:val="single" w:color="E0E0E0" w:themeColor="accent2" w:themeTint="66" w:sz="6" w:space="0"/>
            </w:tcBorders>
            <w:shd w:val="clear" w:color="auto" w:fill="FFFFFF" w:themeFill="background1"/>
          </w:tcPr>
          <w:p w:rsidR="4908559C" w:rsidP="4908559C" w:rsidRDefault="4908559C" w14:paraId="71FCC9B0" w14:textId="311DC7C4">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25.0%</w:t>
            </w:r>
          </w:p>
        </w:tc>
        <w:tc>
          <w:tcPr>
            <w:tcW w:w="1020" w:type="dxa"/>
            <w:tcBorders>
              <w:top w:val="single" w:color="AEAEAE" w:sz="6" w:space="0"/>
              <w:left w:val="single" w:color="E0E0E0" w:themeColor="accent2" w:themeTint="66" w:sz="6" w:space="0"/>
              <w:bottom w:val="nil"/>
              <w:right w:val="nil"/>
            </w:tcBorders>
            <w:shd w:val="clear" w:color="auto" w:fill="FFFFFF" w:themeFill="background1"/>
          </w:tcPr>
          <w:p w:rsidR="4908559C" w:rsidP="4908559C" w:rsidRDefault="4908559C" w14:paraId="6CE4CD91" w14:textId="5A063B13">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45.8%</w:t>
            </w:r>
          </w:p>
        </w:tc>
      </w:tr>
      <w:tr w:rsidR="4908559C" w:rsidTr="4908559C" w14:paraId="6DCAEB5B" w14:textId="77777777">
        <w:tc>
          <w:tcPr>
            <w:tcW w:w="915" w:type="dxa"/>
            <w:vMerge/>
            <w:tcBorders>
              <w:left w:val="nil"/>
            </w:tcBorders>
            <w:vAlign w:val="center"/>
          </w:tcPr>
          <w:p w:rsidR="001F46F0" w:rsidRDefault="001F46F0" w14:paraId="5B7891A9" w14:textId="77777777"/>
        </w:tc>
        <w:tc>
          <w:tcPr>
            <w:tcW w:w="2445" w:type="dxa"/>
            <w:vMerge w:val="restart"/>
            <w:tcBorders>
              <w:top w:val="single" w:color="AEAEAE" w:sz="6" w:space="0"/>
              <w:left w:val="nil"/>
              <w:bottom w:val="nil"/>
              <w:right w:val="nil"/>
            </w:tcBorders>
            <w:shd w:val="clear" w:color="auto" w:fill="E0E0E0" w:themeFill="accent2" w:themeFillTint="66"/>
          </w:tcPr>
          <w:p w:rsidR="4908559C" w:rsidP="4908559C" w:rsidRDefault="4908559C" w14:paraId="30D7DADB" w14:textId="62B5061B">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Significant growth</w:t>
            </w:r>
          </w:p>
        </w:tc>
        <w:tc>
          <w:tcPr>
            <w:tcW w:w="1665" w:type="dxa"/>
            <w:tcBorders>
              <w:top w:val="single" w:color="AEAEAE" w:sz="6" w:space="0"/>
              <w:left w:val="nil"/>
              <w:bottom w:val="single" w:color="AEAEAE" w:sz="6" w:space="0"/>
              <w:right w:val="nil"/>
            </w:tcBorders>
            <w:shd w:val="clear" w:color="auto" w:fill="E0E0E0" w:themeFill="accent2" w:themeFillTint="66"/>
          </w:tcPr>
          <w:p w:rsidR="4908559C" w:rsidP="4908559C" w:rsidRDefault="4908559C" w14:paraId="315DE278" w14:textId="4E42FA17">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Count</w:t>
            </w:r>
          </w:p>
        </w:tc>
        <w:tc>
          <w:tcPr>
            <w:tcW w:w="1020" w:type="dxa"/>
            <w:tcBorders>
              <w:top w:val="single" w:color="AEAEAE"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296B0E2F" w14:textId="48659369">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w:t>
            </w:r>
          </w:p>
        </w:tc>
        <w:tc>
          <w:tcPr>
            <w:tcW w:w="1020" w:type="dxa"/>
            <w:tcBorders>
              <w:top w:val="single" w:color="AEAEAE"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3473F247" w14:textId="0C0954AF">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0</w:t>
            </w:r>
          </w:p>
        </w:tc>
        <w:tc>
          <w:tcPr>
            <w:tcW w:w="1020" w:type="dxa"/>
            <w:tcBorders>
              <w:top w:val="single" w:color="AEAEAE"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31258ACC" w14:textId="34B201CB">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w:t>
            </w:r>
          </w:p>
        </w:tc>
      </w:tr>
      <w:tr w:rsidR="4908559C" w:rsidTr="4908559C" w14:paraId="21389A1D" w14:textId="77777777">
        <w:tc>
          <w:tcPr>
            <w:tcW w:w="915" w:type="dxa"/>
            <w:vMerge/>
            <w:tcBorders>
              <w:left w:val="nil"/>
            </w:tcBorders>
            <w:vAlign w:val="center"/>
          </w:tcPr>
          <w:p w:rsidR="001F46F0" w:rsidRDefault="001F46F0" w14:paraId="3F1119B3" w14:textId="77777777"/>
        </w:tc>
        <w:tc>
          <w:tcPr>
            <w:tcW w:w="2445" w:type="dxa"/>
            <w:vMerge/>
            <w:tcBorders>
              <w:left w:val="nil"/>
            </w:tcBorders>
            <w:vAlign w:val="center"/>
          </w:tcPr>
          <w:p w:rsidR="001F46F0" w:rsidRDefault="001F46F0" w14:paraId="0E397E67" w14:textId="77777777"/>
        </w:tc>
        <w:tc>
          <w:tcPr>
            <w:tcW w:w="1665" w:type="dxa"/>
            <w:tcBorders>
              <w:top w:val="single" w:color="AEAEAE" w:sz="6" w:space="0"/>
              <w:left w:val="nil"/>
              <w:bottom w:val="single" w:color="AEAEAE" w:sz="6" w:space="0"/>
              <w:right w:val="nil"/>
            </w:tcBorders>
            <w:shd w:val="clear" w:color="auto" w:fill="E0E0E0" w:themeFill="accent2" w:themeFillTint="66"/>
          </w:tcPr>
          <w:p w:rsidR="4908559C" w:rsidP="4908559C" w:rsidRDefault="4908559C" w14:paraId="1A596973" w14:textId="24997EAD">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Expected Count</w:t>
            </w:r>
          </w:p>
        </w:tc>
        <w:tc>
          <w:tcPr>
            <w:tcW w:w="1020" w:type="dxa"/>
            <w:tcBorders>
              <w:top w:val="single" w:color="AEAEAE"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017C6B3B" w14:textId="4A16A365">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1.0</w:t>
            </w:r>
          </w:p>
        </w:tc>
        <w:tc>
          <w:tcPr>
            <w:tcW w:w="1020" w:type="dxa"/>
            <w:tcBorders>
              <w:top w:val="single" w:color="AEAEAE"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48D165D5" w14:textId="02613974">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1.0</w:t>
            </w:r>
          </w:p>
        </w:tc>
        <w:tc>
          <w:tcPr>
            <w:tcW w:w="1020" w:type="dxa"/>
            <w:tcBorders>
              <w:top w:val="single" w:color="AEAEAE"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203641BE" w14:textId="0DE6D160">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2.0</w:t>
            </w:r>
          </w:p>
        </w:tc>
      </w:tr>
      <w:tr w:rsidR="4908559C" w:rsidTr="4908559C" w14:paraId="4363BD1F" w14:textId="77777777">
        <w:tc>
          <w:tcPr>
            <w:tcW w:w="915" w:type="dxa"/>
            <w:vMerge/>
            <w:tcBorders>
              <w:left w:val="nil"/>
            </w:tcBorders>
            <w:vAlign w:val="center"/>
          </w:tcPr>
          <w:p w:rsidR="001F46F0" w:rsidRDefault="001F46F0" w14:paraId="12DD4D59" w14:textId="77777777"/>
        </w:tc>
        <w:tc>
          <w:tcPr>
            <w:tcW w:w="2445" w:type="dxa"/>
            <w:vMerge/>
            <w:tcBorders>
              <w:left w:val="nil"/>
            </w:tcBorders>
            <w:vAlign w:val="center"/>
          </w:tcPr>
          <w:p w:rsidR="001F46F0" w:rsidRDefault="001F46F0" w14:paraId="046FAA30" w14:textId="77777777"/>
        </w:tc>
        <w:tc>
          <w:tcPr>
            <w:tcW w:w="1665" w:type="dxa"/>
            <w:tcBorders>
              <w:top w:val="single" w:color="AEAEAE" w:sz="6" w:space="0"/>
              <w:left w:val="nil"/>
              <w:bottom w:val="nil"/>
              <w:right w:val="nil"/>
            </w:tcBorders>
            <w:shd w:val="clear" w:color="auto" w:fill="E0E0E0" w:themeFill="accent2" w:themeFillTint="66"/>
          </w:tcPr>
          <w:p w:rsidR="4908559C" w:rsidP="4908559C" w:rsidRDefault="4908559C" w14:paraId="6B93B0B8" w14:textId="7A019839">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 Within Gender</w:t>
            </w:r>
          </w:p>
        </w:tc>
        <w:tc>
          <w:tcPr>
            <w:tcW w:w="1020" w:type="dxa"/>
            <w:tcBorders>
              <w:top w:val="single" w:color="AEAEAE" w:sz="6" w:space="0"/>
              <w:left w:val="nil"/>
              <w:bottom w:val="nil"/>
              <w:right w:val="single" w:color="E0E0E0" w:themeColor="accent2" w:themeTint="66" w:sz="6" w:space="0"/>
            </w:tcBorders>
            <w:shd w:val="clear" w:color="auto" w:fill="FFFFFF" w:themeFill="background1"/>
          </w:tcPr>
          <w:p w:rsidR="4908559C" w:rsidP="4908559C" w:rsidRDefault="4908559C" w14:paraId="2497158A" w14:textId="49546E9E">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16.7%</w:t>
            </w:r>
          </w:p>
        </w:tc>
        <w:tc>
          <w:tcPr>
            <w:tcW w:w="1020" w:type="dxa"/>
            <w:tcBorders>
              <w:top w:val="single" w:color="AEAEAE" w:sz="6" w:space="0"/>
              <w:left w:val="single" w:color="E0E0E0" w:themeColor="accent2" w:themeTint="66" w:sz="6" w:space="0"/>
              <w:bottom w:val="nil"/>
              <w:right w:val="single" w:color="E0E0E0" w:themeColor="accent2" w:themeTint="66" w:sz="6" w:space="0"/>
            </w:tcBorders>
            <w:shd w:val="clear" w:color="auto" w:fill="FFFFFF" w:themeFill="background1"/>
          </w:tcPr>
          <w:p w:rsidR="4908559C" w:rsidP="4908559C" w:rsidRDefault="4908559C" w14:paraId="535DACEA" w14:textId="174BAD4E">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0.0%</w:t>
            </w:r>
          </w:p>
        </w:tc>
        <w:tc>
          <w:tcPr>
            <w:tcW w:w="1020" w:type="dxa"/>
            <w:tcBorders>
              <w:top w:val="single" w:color="AEAEAE" w:sz="6" w:space="0"/>
              <w:left w:val="single" w:color="E0E0E0" w:themeColor="accent2" w:themeTint="66" w:sz="6" w:space="0"/>
              <w:bottom w:val="nil"/>
              <w:right w:val="nil"/>
            </w:tcBorders>
            <w:shd w:val="clear" w:color="auto" w:fill="FFFFFF" w:themeFill="background1"/>
          </w:tcPr>
          <w:p w:rsidR="4908559C" w:rsidP="4908559C" w:rsidRDefault="4908559C" w14:paraId="21E3C2FE" w14:textId="25CAE665">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8.3%</w:t>
            </w:r>
          </w:p>
        </w:tc>
      </w:tr>
      <w:tr w:rsidR="4908559C" w:rsidTr="4908559C" w14:paraId="175D86EA" w14:textId="77777777">
        <w:tc>
          <w:tcPr>
            <w:tcW w:w="3360" w:type="dxa"/>
            <w:gridSpan w:val="2"/>
            <w:vMerge w:val="restart"/>
            <w:tcBorders>
              <w:top w:val="single" w:color="AEAEAE" w:sz="6" w:space="0"/>
              <w:left w:val="nil"/>
              <w:bottom w:val="single" w:color="152935" w:sz="6" w:space="0"/>
              <w:right w:val="nil"/>
            </w:tcBorders>
            <w:shd w:val="clear" w:color="auto" w:fill="E0E0E0" w:themeFill="accent2" w:themeFillTint="66"/>
          </w:tcPr>
          <w:p w:rsidR="4908559C" w:rsidP="4908559C" w:rsidRDefault="4908559C" w14:paraId="421DDE30" w14:textId="27BD883B">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Total</w:t>
            </w:r>
          </w:p>
        </w:tc>
        <w:tc>
          <w:tcPr>
            <w:tcW w:w="1665" w:type="dxa"/>
            <w:tcBorders>
              <w:top w:val="single" w:color="AEAEAE" w:sz="6" w:space="0"/>
              <w:left w:val="nil"/>
              <w:bottom w:val="single" w:color="AEAEAE" w:sz="6" w:space="0"/>
              <w:right w:val="nil"/>
            </w:tcBorders>
            <w:shd w:val="clear" w:color="auto" w:fill="E0E0E0" w:themeFill="accent2" w:themeFillTint="66"/>
          </w:tcPr>
          <w:p w:rsidR="4908559C" w:rsidP="4908559C" w:rsidRDefault="4908559C" w14:paraId="16516B13" w14:textId="55700A5B">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Count</w:t>
            </w:r>
          </w:p>
        </w:tc>
        <w:tc>
          <w:tcPr>
            <w:tcW w:w="1020" w:type="dxa"/>
            <w:tcBorders>
              <w:top w:val="single" w:color="AEAEAE"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66F2F4D9" w14:textId="00301E2B">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12</w:t>
            </w:r>
          </w:p>
        </w:tc>
        <w:tc>
          <w:tcPr>
            <w:tcW w:w="1020" w:type="dxa"/>
            <w:tcBorders>
              <w:top w:val="single" w:color="AEAEAE"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00EC3231" w14:textId="3CDFCC47">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12</w:t>
            </w:r>
          </w:p>
        </w:tc>
        <w:tc>
          <w:tcPr>
            <w:tcW w:w="1020" w:type="dxa"/>
            <w:tcBorders>
              <w:top w:val="single" w:color="AEAEAE"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12562B4D" w14:textId="587C4C8B">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24</w:t>
            </w:r>
          </w:p>
        </w:tc>
      </w:tr>
      <w:tr w:rsidR="4908559C" w:rsidTr="4908559C" w14:paraId="4DE14034" w14:textId="77777777">
        <w:tc>
          <w:tcPr>
            <w:tcW w:w="3360" w:type="dxa"/>
            <w:gridSpan w:val="2"/>
            <w:vMerge/>
            <w:tcBorders>
              <w:left w:val="nil"/>
            </w:tcBorders>
            <w:vAlign w:val="center"/>
          </w:tcPr>
          <w:p w:rsidR="001F46F0" w:rsidRDefault="001F46F0" w14:paraId="28D15528" w14:textId="77777777"/>
        </w:tc>
        <w:tc>
          <w:tcPr>
            <w:tcW w:w="1665" w:type="dxa"/>
            <w:tcBorders>
              <w:top w:val="single" w:color="AEAEAE" w:sz="6" w:space="0"/>
              <w:left w:val="nil"/>
              <w:bottom w:val="single" w:color="AEAEAE" w:sz="6" w:space="0"/>
              <w:right w:val="nil"/>
            </w:tcBorders>
            <w:shd w:val="clear" w:color="auto" w:fill="E0E0E0" w:themeFill="accent2" w:themeFillTint="66"/>
          </w:tcPr>
          <w:p w:rsidR="4908559C" w:rsidP="4908559C" w:rsidRDefault="4908559C" w14:paraId="17CB925C" w14:textId="4EFA99B4">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Expected Count</w:t>
            </w:r>
          </w:p>
        </w:tc>
        <w:tc>
          <w:tcPr>
            <w:tcW w:w="1020" w:type="dxa"/>
            <w:tcBorders>
              <w:top w:val="single" w:color="AEAEAE" w:sz="6" w:space="0"/>
              <w:left w:val="nil"/>
              <w:bottom w:val="single" w:color="AEAEAE" w:sz="6" w:space="0"/>
              <w:right w:val="single" w:color="E0E0E0" w:themeColor="accent2" w:themeTint="66" w:sz="6" w:space="0"/>
            </w:tcBorders>
            <w:shd w:val="clear" w:color="auto" w:fill="FFFFFF" w:themeFill="background1"/>
          </w:tcPr>
          <w:p w:rsidR="4908559C" w:rsidP="4908559C" w:rsidRDefault="4908559C" w14:paraId="7FF5C5B5" w14:textId="704F009F">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12.0</w:t>
            </w:r>
          </w:p>
        </w:tc>
        <w:tc>
          <w:tcPr>
            <w:tcW w:w="1020" w:type="dxa"/>
            <w:tcBorders>
              <w:top w:val="single" w:color="AEAEAE" w:sz="6" w:space="0"/>
              <w:left w:val="single" w:color="E0E0E0" w:themeColor="accent2" w:themeTint="66" w:sz="6" w:space="0"/>
              <w:bottom w:val="single" w:color="AEAEAE" w:sz="6" w:space="0"/>
              <w:right w:val="single" w:color="E0E0E0" w:themeColor="accent2" w:themeTint="66" w:sz="6" w:space="0"/>
            </w:tcBorders>
            <w:shd w:val="clear" w:color="auto" w:fill="FFFFFF" w:themeFill="background1"/>
          </w:tcPr>
          <w:p w:rsidR="4908559C" w:rsidP="4908559C" w:rsidRDefault="4908559C" w14:paraId="3F227E50" w14:textId="4D1D6314">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12.0</w:t>
            </w:r>
          </w:p>
        </w:tc>
        <w:tc>
          <w:tcPr>
            <w:tcW w:w="1020" w:type="dxa"/>
            <w:tcBorders>
              <w:top w:val="single" w:color="AEAEAE" w:sz="6" w:space="0"/>
              <w:left w:val="single" w:color="E0E0E0" w:themeColor="accent2" w:themeTint="66" w:sz="6" w:space="0"/>
              <w:bottom w:val="single" w:color="AEAEAE" w:sz="6" w:space="0"/>
              <w:right w:val="nil"/>
            </w:tcBorders>
            <w:shd w:val="clear" w:color="auto" w:fill="FFFFFF" w:themeFill="background1"/>
          </w:tcPr>
          <w:p w:rsidR="4908559C" w:rsidP="4908559C" w:rsidRDefault="4908559C" w14:paraId="5B994CF4" w14:textId="78528FB8">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24.0</w:t>
            </w:r>
          </w:p>
        </w:tc>
      </w:tr>
      <w:tr w:rsidR="4908559C" w:rsidTr="4908559C" w14:paraId="007D67B6" w14:textId="77777777">
        <w:tc>
          <w:tcPr>
            <w:tcW w:w="3360" w:type="dxa"/>
            <w:gridSpan w:val="2"/>
            <w:vMerge/>
            <w:tcBorders>
              <w:top w:val="single" w:color="AEAEAE" w:sz="0" w:space="0"/>
              <w:left w:val="nil"/>
              <w:bottom w:val="single" w:color="152935" w:sz="0" w:space="0"/>
            </w:tcBorders>
            <w:vAlign w:val="center"/>
          </w:tcPr>
          <w:p w:rsidR="001F46F0" w:rsidRDefault="001F46F0" w14:paraId="57ADA49C" w14:textId="77777777"/>
        </w:tc>
        <w:tc>
          <w:tcPr>
            <w:tcW w:w="1665" w:type="dxa"/>
            <w:tcBorders>
              <w:top w:val="single" w:color="AEAEAE" w:sz="6" w:space="0"/>
              <w:left w:val="nil"/>
              <w:bottom w:val="single" w:color="152935" w:sz="6" w:space="0"/>
              <w:right w:val="nil"/>
            </w:tcBorders>
            <w:shd w:val="clear" w:color="auto" w:fill="E0E0E0" w:themeFill="accent2" w:themeFillTint="66"/>
          </w:tcPr>
          <w:p w:rsidR="4908559C" w:rsidP="4908559C" w:rsidRDefault="4908559C" w14:paraId="3429A181" w14:textId="7F6E428D">
            <w:pPr>
              <w:spacing w:line="320" w:lineRule="atLeast"/>
              <w:ind w:left="60" w:right="60"/>
              <w:rPr>
                <w:rFonts w:ascii="Arial" w:hAnsi="Arial" w:eastAsia="Arial" w:cs="Arial"/>
                <w:color w:val="264A60"/>
                <w:sz w:val="18"/>
                <w:szCs w:val="18"/>
              </w:rPr>
            </w:pPr>
            <w:r w:rsidRPr="4908559C">
              <w:rPr>
                <w:rFonts w:ascii="Arial" w:hAnsi="Arial" w:eastAsia="Arial" w:cs="Arial"/>
                <w:color w:val="264A60"/>
                <w:sz w:val="18"/>
                <w:szCs w:val="18"/>
              </w:rPr>
              <w:t>% Within Gender</w:t>
            </w:r>
          </w:p>
        </w:tc>
        <w:tc>
          <w:tcPr>
            <w:tcW w:w="1020" w:type="dxa"/>
            <w:tcBorders>
              <w:top w:val="single" w:color="AEAEAE" w:sz="6" w:space="0"/>
              <w:left w:val="nil"/>
              <w:bottom w:val="single" w:color="152935" w:sz="6" w:space="0"/>
              <w:right w:val="single" w:color="E0E0E0" w:themeColor="accent2" w:themeTint="66" w:sz="6" w:space="0"/>
            </w:tcBorders>
            <w:shd w:val="clear" w:color="auto" w:fill="FFFFFF" w:themeFill="background1"/>
          </w:tcPr>
          <w:p w:rsidR="4908559C" w:rsidP="4908559C" w:rsidRDefault="4908559C" w14:paraId="0CA07B8C" w14:textId="2C0836C0">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100.0%</w:t>
            </w:r>
          </w:p>
        </w:tc>
        <w:tc>
          <w:tcPr>
            <w:tcW w:w="1020" w:type="dxa"/>
            <w:tcBorders>
              <w:top w:val="single" w:color="AEAEAE" w:sz="6" w:space="0"/>
              <w:left w:val="single" w:color="E0E0E0" w:themeColor="accent2" w:themeTint="66" w:sz="6" w:space="0"/>
              <w:bottom w:val="single" w:color="152935" w:sz="6" w:space="0"/>
              <w:right w:val="single" w:color="E0E0E0" w:themeColor="accent2" w:themeTint="66" w:sz="6" w:space="0"/>
            </w:tcBorders>
            <w:shd w:val="clear" w:color="auto" w:fill="FFFFFF" w:themeFill="background1"/>
          </w:tcPr>
          <w:p w:rsidR="4908559C" w:rsidP="4908559C" w:rsidRDefault="4908559C" w14:paraId="2E262AEA" w14:textId="5010FA15">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100.0%</w:t>
            </w:r>
          </w:p>
        </w:tc>
        <w:tc>
          <w:tcPr>
            <w:tcW w:w="1020" w:type="dxa"/>
            <w:tcBorders>
              <w:top w:val="single" w:color="AEAEAE" w:sz="6" w:space="0"/>
              <w:left w:val="single" w:color="E0E0E0" w:themeColor="accent2" w:themeTint="66" w:sz="6" w:space="0"/>
              <w:bottom w:val="single" w:color="152935" w:sz="6" w:space="0"/>
              <w:right w:val="nil"/>
            </w:tcBorders>
            <w:shd w:val="clear" w:color="auto" w:fill="FFFFFF" w:themeFill="background1"/>
          </w:tcPr>
          <w:p w:rsidR="4908559C" w:rsidP="4908559C" w:rsidRDefault="4908559C" w14:paraId="2AE39883" w14:textId="79323B28">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100.0%</w:t>
            </w:r>
          </w:p>
        </w:tc>
      </w:tr>
    </w:tbl>
    <w:p w:rsidR="65BB128F" w:rsidP="4908559C" w:rsidRDefault="65BB128F" w14:paraId="1A67605A" w14:textId="59CD0CEA">
      <w:pPr>
        <w:spacing w:after="160" w:line="400" w:lineRule="atLeast"/>
        <w:rPr>
          <w:rFonts w:ascii="Times New Roman" w:hAnsi="Times New Roman" w:eastAsia="Times New Roman" w:cs="Times New Roman"/>
          <w:color w:val="000000" w:themeColor="text2"/>
        </w:rPr>
      </w:pPr>
    </w:p>
    <w:p w:rsidR="65BB128F" w:rsidP="4908559C" w:rsidRDefault="65BB128F" w14:paraId="4FE97693" w14:textId="08449548">
      <w:pPr>
        <w:spacing w:after="160" w:line="240" w:lineRule="auto"/>
        <w:rPr>
          <w:rFonts w:ascii="Times New Roman" w:hAnsi="Times New Roman" w:eastAsia="Times New Roman" w:cs="Times New Roman"/>
          <w:color w:val="000000" w:themeColor="text2"/>
        </w:rPr>
      </w:pPr>
    </w:p>
    <w:tbl>
      <w:tblPr>
        <w:tblW w:w="0" w:type="auto"/>
        <w:tblLayout w:type="fixed"/>
        <w:tblLook w:val="0000" w:firstRow="0" w:lastRow="0" w:firstColumn="0" w:lastColumn="0" w:noHBand="0" w:noVBand="0"/>
      </w:tblPr>
      <w:tblGrid>
        <w:gridCol w:w="1710"/>
        <w:gridCol w:w="1020"/>
        <w:gridCol w:w="1020"/>
        <w:gridCol w:w="1020"/>
        <w:gridCol w:w="1020"/>
        <w:gridCol w:w="1020"/>
        <w:gridCol w:w="1020"/>
      </w:tblGrid>
      <w:tr w:rsidR="4908559C" w:rsidTr="4908559C" w14:paraId="35D6BE7C" w14:textId="77777777">
        <w:tc>
          <w:tcPr>
            <w:tcW w:w="7830" w:type="dxa"/>
            <w:gridSpan w:val="7"/>
            <w:tcBorders>
              <w:top w:val="nil"/>
              <w:left w:val="nil"/>
              <w:bottom w:val="nil"/>
              <w:right w:val="nil"/>
            </w:tcBorders>
            <w:shd w:val="clear" w:color="auto" w:fill="FFFFFF" w:themeFill="background1"/>
            <w:vAlign w:val="center"/>
          </w:tcPr>
          <w:p w:rsidR="4908559C" w:rsidP="4908559C" w:rsidRDefault="4908559C" w14:paraId="2CF3C114" w14:textId="45148511">
            <w:pPr>
              <w:spacing w:line="320" w:lineRule="atLeast"/>
              <w:ind w:left="60" w:right="60"/>
              <w:jc w:val="center"/>
              <w:rPr>
                <w:rFonts w:ascii="Arial" w:hAnsi="Arial" w:eastAsia="Arial" w:cs="Arial"/>
                <w:color w:val="010205"/>
                <w:sz w:val="22"/>
                <w:szCs w:val="22"/>
              </w:rPr>
            </w:pPr>
            <w:r w:rsidRPr="4908559C">
              <w:rPr>
                <w:rFonts w:ascii="Arial" w:hAnsi="Arial" w:eastAsia="Arial" w:cs="Arial"/>
                <w:b/>
                <w:bCs/>
                <w:color w:val="010205"/>
                <w:sz w:val="22"/>
                <w:szCs w:val="22"/>
              </w:rPr>
              <w:lastRenderedPageBreak/>
              <w:t>Case Processing Summary</w:t>
            </w:r>
          </w:p>
        </w:tc>
      </w:tr>
      <w:tr w:rsidR="4908559C" w:rsidTr="4908559C" w14:paraId="4E4BA4E8" w14:textId="77777777">
        <w:tc>
          <w:tcPr>
            <w:tcW w:w="1710" w:type="dxa"/>
            <w:vMerge w:val="restart"/>
            <w:tcBorders>
              <w:top w:val="nil"/>
              <w:left w:val="nil"/>
              <w:bottom w:val="nil"/>
              <w:right w:val="nil"/>
            </w:tcBorders>
            <w:shd w:val="clear" w:color="auto" w:fill="FFFFFF" w:themeFill="background1"/>
            <w:vAlign w:val="bottom"/>
          </w:tcPr>
          <w:p w:rsidR="4908559C" w:rsidP="4908559C" w:rsidRDefault="4908559C" w14:paraId="55D23B1F" w14:textId="61B25CAE">
            <w:pPr>
              <w:spacing w:line="240" w:lineRule="auto"/>
              <w:rPr>
                <w:rFonts w:ascii="Times New Roman" w:hAnsi="Times New Roman" w:eastAsia="Times New Roman" w:cs="Times New Roman"/>
              </w:rPr>
            </w:pPr>
          </w:p>
        </w:tc>
        <w:tc>
          <w:tcPr>
            <w:tcW w:w="6120" w:type="dxa"/>
            <w:gridSpan w:val="6"/>
            <w:tcBorders>
              <w:top w:val="nil"/>
              <w:left w:val="nil"/>
              <w:bottom w:val="nil"/>
              <w:right w:val="nil"/>
            </w:tcBorders>
            <w:shd w:val="clear" w:color="auto" w:fill="FFFFFF" w:themeFill="background1"/>
            <w:vAlign w:val="bottom"/>
          </w:tcPr>
          <w:p w:rsidR="4908559C" w:rsidP="4908559C" w:rsidRDefault="4908559C" w14:paraId="3185F639" w14:textId="2123F584">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Cases</w:t>
            </w:r>
          </w:p>
        </w:tc>
      </w:tr>
      <w:tr w:rsidR="4908559C" w:rsidTr="4908559C" w14:paraId="425A2574" w14:textId="77777777">
        <w:tc>
          <w:tcPr>
            <w:tcW w:w="1710" w:type="dxa"/>
            <w:vMerge/>
            <w:tcBorders>
              <w:left w:val="nil"/>
            </w:tcBorders>
            <w:vAlign w:val="center"/>
          </w:tcPr>
          <w:p w:rsidR="001F46F0" w:rsidRDefault="001F46F0" w14:paraId="60126221" w14:textId="77777777"/>
        </w:tc>
        <w:tc>
          <w:tcPr>
            <w:tcW w:w="2040" w:type="dxa"/>
            <w:gridSpan w:val="2"/>
            <w:tcBorders>
              <w:top w:val="nil"/>
              <w:left w:val="nil"/>
              <w:bottom w:val="nil"/>
              <w:right w:val="nil"/>
            </w:tcBorders>
            <w:shd w:val="clear" w:color="auto" w:fill="FFFFFF" w:themeFill="background1"/>
            <w:vAlign w:val="bottom"/>
          </w:tcPr>
          <w:p w:rsidR="4908559C" w:rsidP="4908559C" w:rsidRDefault="4908559C" w14:paraId="55E0EA26" w14:textId="5FEC68E5">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Valid</w:t>
            </w:r>
          </w:p>
        </w:tc>
        <w:tc>
          <w:tcPr>
            <w:tcW w:w="2040" w:type="dxa"/>
            <w:gridSpan w:val="2"/>
            <w:tcBorders>
              <w:top w:val="nil"/>
              <w:left w:val="single" w:color="E0E0E0" w:themeColor="accent2" w:themeTint="66" w:sz="6" w:space="0"/>
              <w:bottom w:val="nil"/>
              <w:right w:val="nil"/>
            </w:tcBorders>
            <w:shd w:val="clear" w:color="auto" w:fill="FFFFFF" w:themeFill="background1"/>
            <w:vAlign w:val="bottom"/>
          </w:tcPr>
          <w:p w:rsidR="4908559C" w:rsidP="4908559C" w:rsidRDefault="4908559C" w14:paraId="39F127BF" w14:textId="7271F5AC">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Missing</w:t>
            </w:r>
          </w:p>
        </w:tc>
        <w:tc>
          <w:tcPr>
            <w:tcW w:w="2040" w:type="dxa"/>
            <w:gridSpan w:val="2"/>
            <w:tcBorders>
              <w:top w:val="nil"/>
              <w:left w:val="single" w:color="E0E0E0" w:themeColor="accent2" w:themeTint="66" w:sz="6" w:space="0"/>
              <w:bottom w:val="nil"/>
              <w:right w:val="nil"/>
            </w:tcBorders>
            <w:shd w:val="clear" w:color="auto" w:fill="FFFFFF" w:themeFill="background1"/>
            <w:vAlign w:val="bottom"/>
          </w:tcPr>
          <w:p w:rsidR="4908559C" w:rsidP="4908559C" w:rsidRDefault="4908559C" w14:paraId="09352468" w14:textId="1D89A3BA">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Total</w:t>
            </w:r>
          </w:p>
        </w:tc>
      </w:tr>
      <w:tr w:rsidR="4908559C" w:rsidTr="4908559C" w14:paraId="06EA7316" w14:textId="77777777">
        <w:tc>
          <w:tcPr>
            <w:tcW w:w="1710" w:type="dxa"/>
            <w:vMerge/>
            <w:tcBorders>
              <w:left w:val="nil"/>
            </w:tcBorders>
            <w:vAlign w:val="center"/>
          </w:tcPr>
          <w:p w:rsidR="001F46F0" w:rsidRDefault="001F46F0" w14:paraId="4C946D44" w14:textId="77777777"/>
        </w:tc>
        <w:tc>
          <w:tcPr>
            <w:tcW w:w="1020" w:type="dxa"/>
            <w:tcBorders>
              <w:top w:val="nil"/>
              <w:left w:val="nil"/>
              <w:bottom w:val="single" w:color="152935" w:sz="6" w:space="0"/>
              <w:right w:val="single" w:color="E0E0E0" w:themeColor="accent2" w:themeTint="66" w:sz="6" w:space="0"/>
            </w:tcBorders>
            <w:shd w:val="clear" w:color="auto" w:fill="FFFFFF" w:themeFill="background1"/>
            <w:vAlign w:val="bottom"/>
          </w:tcPr>
          <w:p w:rsidR="4908559C" w:rsidP="4908559C" w:rsidRDefault="4908559C" w14:paraId="5EA11341" w14:textId="42A3F78D">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N</w:t>
            </w:r>
          </w:p>
        </w:tc>
        <w:tc>
          <w:tcPr>
            <w:tcW w:w="1020" w:type="dxa"/>
            <w:tcBorders>
              <w:top w:val="nil"/>
              <w:left w:val="single" w:color="E0E0E0" w:themeColor="accent2" w:themeTint="66" w:sz="6" w:space="0"/>
              <w:bottom w:val="single" w:color="152935" w:sz="6" w:space="0"/>
              <w:right w:val="nil"/>
            </w:tcBorders>
            <w:shd w:val="clear" w:color="auto" w:fill="FFFFFF" w:themeFill="background1"/>
            <w:vAlign w:val="bottom"/>
          </w:tcPr>
          <w:p w:rsidR="4908559C" w:rsidP="4908559C" w:rsidRDefault="4908559C" w14:paraId="7FA42B16" w14:textId="75E03412">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Percent</w:t>
            </w:r>
          </w:p>
        </w:tc>
        <w:tc>
          <w:tcPr>
            <w:tcW w:w="1020" w:type="dxa"/>
            <w:tcBorders>
              <w:top w:val="nil"/>
              <w:left w:val="single" w:color="E0E0E0" w:themeColor="accent2" w:themeTint="66" w:sz="6" w:space="0"/>
              <w:bottom w:val="single" w:color="152935" w:sz="6" w:space="0"/>
              <w:right w:val="single" w:color="E0E0E0" w:themeColor="accent2" w:themeTint="66" w:sz="6" w:space="0"/>
            </w:tcBorders>
            <w:shd w:val="clear" w:color="auto" w:fill="FFFFFF" w:themeFill="background1"/>
            <w:vAlign w:val="bottom"/>
          </w:tcPr>
          <w:p w:rsidR="4908559C" w:rsidP="4908559C" w:rsidRDefault="4908559C" w14:paraId="609F8BAA" w14:textId="74953A12">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N</w:t>
            </w:r>
          </w:p>
        </w:tc>
        <w:tc>
          <w:tcPr>
            <w:tcW w:w="1020" w:type="dxa"/>
            <w:tcBorders>
              <w:top w:val="nil"/>
              <w:left w:val="single" w:color="E0E0E0" w:themeColor="accent2" w:themeTint="66" w:sz="6" w:space="0"/>
              <w:bottom w:val="single" w:color="152935" w:sz="6" w:space="0"/>
              <w:right w:val="nil"/>
            </w:tcBorders>
            <w:shd w:val="clear" w:color="auto" w:fill="FFFFFF" w:themeFill="background1"/>
            <w:vAlign w:val="bottom"/>
          </w:tcPr>
          <w:p w:rsidR="4908559C" w:rsidP="4908559C" w:rsidRDefault="4908559C" w14:paraId="2DD79532" w14:textId="240955C4">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Percent</w:t>
            </w:r>
          </w:p>
        </w:tc>
        <w:tc>
          <w:tcPr>
            <w:tcW w:w="1020" w:type="dxa"/>
            <w:tcBorders>
              <w:top w:val="nil"/>
              <w:left w:val="single" w:color="E0E0E0" w:themeColor="accent2" w:themeTint="66" w:sz="6" w:space="0"/>
              <w:bottom w:val="single" w:color="152935" w:sz="6" w:space="0"/>
              <w:right w:val="single" w:color="E0E0E0" w:themeColor="accent2" w:themeTint="66" w:sz="6" w:space="0"/>
            </w:tcBorders>
            <w:shd w:val="clear" w:color="auto" w:fill="FFFFFF" w:themeFill="background1"/>
            <w:vAlign w:val="bottom"/>
          </w:tcPr>
          <w:p w:rsidR="4908559C" w:rsidP="4908559C" w:rsidRDefault="4908559C" w14:paraId="019547E2" w14:textId="284347AD">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N</w:t>
            </w:r>
          </w:p>
        </w:tc>
        <w:tc>
          <w:tcPr>
            <w:tcW w:w="1020" w:type="dxa"/>
            <w:tcBorders>
              <w:top w:val="nil"/>
              <w:left w:val="single" w:color="E0E0E0" w:themeColor="accent2" w:themeTint="66" w:sz="6" w:space="0"/>
              <w:bottom w:val="single" w:color="152935" w:sz="6" w:space="0"/>
              <w:right w:val="nil"/>
            </w:tcBorders>
            <w:shd w:val="clear" w:color="auto" w:fill="FFFFFF" w:themeFill="background1"/>
            <w:vAlign w:val="bottom"/>
          </w:tcPr>
          <w:p w:rsidR="4908559C" w:rsidP="4908559C" w:rsidRDefault="4908559C" w14:paraId="135D468B" w14:textId="6067068E">
            <w:pPr>
              <w:spacing w:line="320" w:lineRule="atLeast"/>
              <w:ind w:left="60" w:right="60"/>
              <w:jc w:val="center"/>
              <w:rPr>
                <w:rFonts w:ascii="Arial" w:hAnsi="Arial" w:eastAsia="Arial" w:cs="Arial"/>
                <w:color w:val="264A60"/>
                <w:sz w:val="18"/>
                <w:szCs w:val="18"/>
              </w:rPr>
            </w:pPr>
            <w:r w:rsidRPr="4908559C">
              <w:rPr>
                <w:rFonts w:ascii="Arial" w:hAnsi="Arial" w:eastAsia="Arial" w:cs="Arial"/>
                <w:color w:val="264A60"/>
                <w:sz w:val="18"/>
                <w:szCs w:val="18"/>
              </w:rPr>
              <w:t>Percent</w:t>
            </w:r>
          </w:p>
        </w:tc>
      </w:tr>
      <w:tr w:rsidR="4908559C" w:rsidTr="4908559C" w14:paraId="40A90308" w14:textId="77777777">
        <w:tc>
          <w:tcPr>
            <w:tcW w:w="1710" w:type="dxa"/>
            <w:tcBorders>
              <w:top w:val="single" w:color="152935" w:sz="6" w:space="0"/>
              <w:left w:val="nil"/>
              <w:bottom w:val="single" w:color="152935" w:sz="6" w:space="0"/>
              <w:right w:val="nil"/>
            </w:tcBorders>
            <w:shd w:val="clear" w:color="auto" w:fill="E0E0E0" w:themeFill="accent2" w:themeFillTint="66"/>
          </w:tcPr>
          <w:p w:rsidR="4908559C" w:rsidP="4908559C" w:rsidRDefault="4908559C" w14:paraId="0DDCE118" w14:textId="4CE2A0BB">
            <w:pPr>
              <w:spacing w:line="320" w:lineRule="atLeast"/>
              <w:ind w:left="60" w:right="60"/>
              <w:rPr>
                <w:rFonts w:ascii="Arial" w:hAnsi="Arial" w:eastAsia="Arial" w:cs="Arial"/>
                <w:color w:val="264A60"/>
                <w:sz w:val="18"/>
                <w:szCs w:val="18"/>
              </w:rPr>
            </w:pPr>
            <w:proofErr w:type="spellStart"/>
            <w:r w:rsidRPr="4908559C">
              <w:rPr>
                <w:rFonts w:ascii="Arial" w:hAnsi="Arial" w:eastAsia="Arial" w:cs="Arial"/>
                <w:color w:val="264A60"/>
                <w:sz w:val="18"/>
                <w:szCs w:val="18"/>
              </w:rPr>
              <w:t>CFUcat</w:t>
            </w:r>
            <w:proofErr w:type="spellEnd"/>
            <w:r w:rsidRPr="4908559C">
              <w:rPr>
                <w:rFonts w:ascii="Arial" w:hAnsi="Arial" w:eastAsia="Arial" w:cs="Arial"/>
                <w:color w:val="264A60"/>
                <w:sz w:val="18"/>
                <w:szCs w:val="18"/>
              </w:rPr>
              <w:t xml:space="preserve"> * Gender</w:t>
            </w:r>
          </w:p>
        </w:tc>
        <w:tc>
          <w:tcPr>
            <w:tcW w:w="1020" w:type="dxa"/>
            <w:tcBorders>
              <w:top w:val="single" w:color="152935" w:sz="6" w:space="0"/>
              <w:left w:val="nil"/>
              <w:bottom w:val="single" w:color="152935" w:sz="6" w:space="0"/>
              <w:right w:val="single" w:color="E0E0E0" w:themeColor="accent2" w:themeTint="66" w:sz="6" w:space="0"/>
            </w:tcBorders>
            <w:shd w:val="clear" w:color="auto" w:fill="FFFFFF" w:themeFill="background1"/>
          </w:tcPr>
          <w:p w:rsidR="4908559C" w:rsidP="4908559C" w:rsidRDefault="4908559C" w14:paraId="3AD6C624" w14:textId="05542989">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24</w:t>
            </w:r>
          </w:p>
        </w:tc>
        <w:tc>
          <w:tcPr>
            <w:tcW w:w="1020" w:type="dxa"/>
            <w:tcBorders>
              <w:top w:val="single" w:color="152935" w:sz="6" w:space="0"/>
              <w:left w:val="single" w:color="E0E0E0" w:themeColor="accent2" w:themeTint="66" w:sz="6" w:space="0"/>
              <w:bottom w:val="single" w:color="152935" w:sz="6" w:space="0"/>
              <w:right w:val="nil"/>
            </w:tcBorders>
            <w:shd w:val="clear" w:color="auto" w:fill="FFFFFF" w:themeFill="background1"/>
          </w:tcPr>
          <w:p w:rsidR="4908559C" w:rsidP="4908559C" w:rsidRDefault="4908559C" w14:paraId="21628B3E" w14:textId="73543B04">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64.9%</w:t>
            </w:r>
          </w:p>
        </w:tc>
        <w:tc>
          <w:tcPr>
            <w:tcW w:w="1020" w:type="dxa"/>
            <w:tcBorders>
              <w:top w:val="single" w:color="152935" w:sz="6" w:space="0"/>
              <w:left w:val="single" w:color="E0E0E0" w:themeColor="accent2" w:themeTint="66" w:sz="6" w:space="0"/>
              <w:bottom w:val="single" w:color="152935" w:sz="6" w:space="0"/>
              <w:right w:val="single" w:color="E0E0E0" w:themeColor="accent2" w:themeTint="66" w:sz="6" w:space="0"/>
            </w:tcBorders>
            <w:shd w:val="clear" w:color="auto" w:fill="FFFFFF" w:themeFill="background1"/>
          </w:tcPr>
          <w:p w:rsidR="4908559C" w:rsidP="4908559C" w:rsidRDefault="4908559C" w14:paraId="06EC9C30" w14:textId="40771806">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13</w:t>
            </w:r>
          </w:p>
        </w:tc>
        <w:tc>
          <w:tcPr>
            <w:tcW w:w="1020" w:type="dxa"/>
            <w:tcBorders>
              <w:top w:val="single" w:color="152935" w:sz="6" w:space="0"/>
              <w:left w:val="single" w:color="E0E0E0" w:themeColor="accent2" w:themeTint="66" w:sz="6" w:space="0"/>
              <w:bottom w:val="single" w:color="152935" w:sz="6" w:space="0"/>
              <w:right w:val="nil"/>
            </w:tcBorders>
            <w:shd w:val="clear" w:color="auto" w:fill="FFFFFF" w:themeFill="background1"/>
          </w:tcPr>
          <w:p w:rsidR="4908559C" w:rsidP="4908559C" w:rsidRDefault="4908559C" w14:paraId="048BA708" w14:textId="640EB13A">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35.1%</w:t>
            </w:r>
          </w:p>
        </w:tc>
        <w:tc>
          <w:tcPr>
            <w:tcW w:w="1020" w:type="dxa"/>
            <w:tcBorders>
              <w:top w:val="single" w:color="152935" w:sz="6" w:space="0"/>
              <w:left w:val="single" w:color="E0E0E0" w:themeColor="accent2" w:themeTint="66" w:sz="6" w:space="0"/>
              <w:bottom w:val="single" w:color="152935" w:sz="6" w:space="0"/>
              <w:right w:val="single" w:color="E0E0E0" w:themeColor="accent2" w:themeTint="66" w:sz="6" w:space="0"/>
            </w:tcBorders>
            <w:shd w:val="clear" w:color="auto" w:fill="FFFFFF" w:themeFill="background1"/>
          </w:tcPr>
          <w:p w:rsidR="4908559C" w:rsidP="4908559C" w:rsidRDefault="4908559C" w14:paraId="32848E76" w14:textId="403D87CA">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37</w:t>
            </w:r>
          </w:p>
        </w:tc>
        <w:tc>
          <w:tcPr>
            <w:tcW w:w="1020" w:type="dxa"/>
            <w:tcBorders>
              <w:top w:val="single" w:color="152935" w:sz="6" w:space="0"/>
              <w:left w:val="single" w:color="E0E0E0" w:themeColor="accent2" w:themeTint="66" w:sz="6" w:space="0"/>
              <w:bottom w:val="single" w:color="152935" w:sz="6" w:space="0"/>
              <w:right w:val="nil"/>
            </w:tcBorders>
            <w:shd w:val="clear" w:color="auto" w:fill="FFFFFF" w:themeFill="background1"/>
          </w:tcPr>
          <w:p w:rsidR="4908559C" w:rsidP="4908559C" w:rsidRDefault="4908559C" w14:paraId="3161E5F3" w14:textId="27FB66E7">
            <w:pPr>
              <w:spacing w:line="320" w:lineRule="atLeast"/>
              <w:ind w:left="60" w:right="60"/>
              <w:jc w:val="right"/>
              <w:rPr>
                <w:rFonts w:ascii="Arial" w:hAnsi="Arial" w:eastAsia="Arial" w:cs="Arial"/>
                <w:color w:val="010205"/>
                <w:sz w:val="18"/>
                <w:szCs w:val="18"/>
              </w:rPr>
            </w:pPr>
            <w:r w:rsidRPr="4908559C">
              <w:rPr>
                <w:rFonts w:ascii="Arial" w:hAnsi="Arial" w:eastAsia="Arial" w:cs="Arial"/>
                <w:color w:val="010205"/>
                <w:sz w:val="18"/>
                <w:szCs w:val="18"/>
              </w:rPr>
              <w:t>100.0%</w:t>
            </w:r>
          </w:p>
        </w:tc>
      </w:tr>
    </w:tbl>
    <w:p w:rsidR="65BB128F" w:rsidP="65BB128F" w:rsidRDefault="4908559C" w14:paraId="5995EA7D" w14:textId="2571B90C">
      <w:pPr>
        <w:ind w:firstLine="0"/>
      </w:pPr>
      <w:r w:rsidRPr="4908559C">
        <w:t xml:space="preserve"> </w:t>
      </w:r>
    </w:p>
    <w:p w:rsidR="4908559C" w:rsidP="4908559C" w:rsidRDefault="4908559C" w14:paraId="58D3276D" w14:textId="6483C1D7">
      <w:pPr>
        <w:ind w:firstLine="0"/>
        <w:jc w:val="center"/>
      </w:pPr>
      <w:r>
        <w:rPr>
          <w:noProof/>
          <w:lang w:eastAsia="en-US"/>
        </w:rPr>
        <w:drawing>
          <wp:inline distT="0" distB="0" distL="0" distR="0" wp14:anchorId="23246071" wp14:editId="368BD9CA">
            <wp:extent cx="5943600" cy="3505200"/>
            <wp:effectExtent l="0" t="0" r="0" b="0"/>
            <wp:docPr id="752215291" name="صورة 752215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5943600" cy="3505200"/>
                    </a:xfrm>
                    <a:prstGeom prst="rect">
                      <a:avLst/>
                    </a:prstGeom>
                  </pic:spPr>
                </pic:pic>
              </a:graphicData>
            </a:graphic>
          </wp:inline>
        </w:drawing>
      </w:r>
      <w:proofErr w:type="gramStart"/>
      <w:r w:rsidRPr="4908559C">
        <w:rPr>
          <w:b/>
          <w:bCs/>
        </w:rPr>
        <w:t>figure</w:t>
      </w:r>
      <w:proofErr w:type="gramEnd"/>
      <w:r w:rsidRPr="4908559C">
        <w:rPr>
          <w:b/>
          <w:bCs/>
        </w:rPr>
        <w:t xml:space="preserve"> 3(pie chart for the female's sample)</w:t>
      </w:r>
      <w:r>
        <w:br/>
      </w:r>
      <w:r>
        <w:rPr>
          <w:noProof/>
          <w:lang w:eastAsia="en-US"/>
        </w:rPr>
        <w:lastRenderedPageBreak/>
        <w:drawing>
          <wp:inline distT="0" distB="0" distL="0" distR="0" wp14:anchorId="0C37369E" wp14:editId="3139E5C5">
            <wp:extent cx="5943600" cy="3505200"/>
            <wp:effectExtent l="0" t="0" r="0" b="0"/>
            <wp:docPr id="1686142388" name="صورة 1686142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5943600" cy="3505200"/>
                    </a:xfrm>
                    <a:prstGeom prst="rect">
                      <a:avLst/>
                    </a:prstGeom>
                  </pic:spPr>
                </pic:pic>
              </a:graphicData>
            </a:graphic>
          </wp:inline>
        </w:drawing>
      </w:r>
      <w:r w:rsidRPr="4908559C">
        <w:rPr>
          <w:b/>
          <w:bCs/>
        </w:rPr>
        <w:t xml:space="preserve">  figure 4(pie chart for the male's sample)</w:t>
      </w:r>
      <w:r>
        <w:br/>
      </w:r>
    </w:p>
    <w:p w:rsidR="4908559C" w:rsidP="4908559C" w:rsidRDefault="4908559C" w14:paraId="2926D605" w14:textId="2FDF3F41">
      <w:pPr>
        <w:ind w:firstLine="0"/>
      </w:pPr>
    </w:p>
    <w:p w:rsidR="4908559C" w:rsidP="4908559C" w:rsidRDefault="39240CDE" w14:paraId="31219B44" w14:textId="210A1B80">
      <w:pPr>
        <w:pStyle w:val="aff0"/>
        <w:numPr>
          <w:ilvl w:val="0"/>
          <w:numId w:val="7"/>
        </w:numPr>
        <w:rPr>
          <w:color w:val="000000" w:themeColor="text2"/>
        </w:rPr>
      </w:pPr>
      <w:r w:rsidRPr="39240CDE">
        <w:t xml:space="preserve">The results showed that the females' samples </w:t>
      </w:r>
      <w:proofErr w:type="gramStart"/>
      <w:r w:rsidRPr="39240CDE">
        <w:t>were exposed</w:t>
      </w:r>
      <w:proofErr w:type="gramEnd"/>
      <w:r w:rsidRPr="39240CDE">
        <w:t xml:space="preserve"> to more significant growth than males. In total, the significant growth was 16.67%, which is </w:t>
      </w:r>
      <w:proofErr w:type="gramStart"/>
      <w:r w:rsidRPr="39240CDE">
        <w:t>2</w:t>
      </w:r>
      <w:proofErr w:type="gramEnd"/>
      <w:r w:rsidRPr="39240CDE">
        <w:t xml:space="preserve"> of the samples; 16.67% no growth at all, which counts 2 of the samples; and 67.67% for no significance growth, which counts 8 as it was shown in (figure 3). </w:t>
      </w:r>
    </w:p>
    <w:p w:rsidR="4908559C" w:rsidP="4908559C" w:rsidRDefault="39240CDE" w14:paraId="1C7DBF99" w14:textId="4DBB3145">
      <w:pPr>
        <w:pStyle w:val="aff0"/>
        <w:numPr>
          <w:ilvl w:val="0"/>
          <w:numId w:val="7"/>
        </w:numPr>
        <w:rPr>
          <w:color w:val="000000" w:themeColor="text2"/>
        </w:rPr>
      </w:pPr>
      <w:r w:rsidRPr="39240CDE">
        <w:t xml:space="preserve">On the other hand, the male samples were not exposed to the growth and their results were 25% for no significant growth, which counts 3 of the samples, and 75% for no growth, which was </w:t>
      </w:r>
      <w:proofErr w:type="gramStart"/>
      <w:r w:rsidRPr="39240CDE">
        <w:t>9</w:t>
      </w:r>
      <w:proofErr w:type="gramEnd"/>
      <w:r w:rsidRPr="39240CDE">
        <w:t xml:space="preserve"> as shown in (figure 4).</w:t>
      </w:r>
    </w:p>
    <w:p w:rsidR="39240CDE" w:rsidP="39240CDE" w:rsidRDefault="39240CDE" w14:paraId="63E893C5" w14:textId="3FF66730">
      <w:pPr>
        <w:rPr>
          <w:rFonts w:ascii="Times New Roman" w:hAnsi="Times New Roman" w:eastAsia="Times New Roman" w:cs="Times New Roman"/>
        </w:rPr>
      </w:pPr>
    </w:p>
    <w:p w:rsidR="39240CDE" w:rsidP="39240CDE" w:rsidRDefault="39240CDE" w14:paraId="456DC071" w14:textId="05571B2B">
      <w:pPr>
        <w:pStyle w:val="aff0"/>
        <w:numPr>
          <w:ilvl w:val="0"/>
          <w:numId w:val="7"/>
        </w:numPr>
        <w:rPr>
          <w:color w:val="000000" w:themeColor="text2"/>
        </w:rPr>
      </w:pPr>
      <w:r w:rsidRPr="39240CDE">
        <w:rPr>
          <w:rFonts w:ascii="Times New Roman" w:hAnsi="Times New Roman" w:eastAsia="Times New Roman" w:cs="Times New Roman"/>
        </w:rPr>
        <w:t xml:space="preserve">Based on this finding, we can conclude that females are more vulnerable to urinary tract infections than males, as mentioned previously. </w:t>
      </w:r>
    </w:p>
    <w:p w:rsidR="39240CDE" w:rsidP="39240CDE" w:rsidRDefault="39240CDE" w14:paraId="28659C29" w14:textId="4223ADDB">
      <w:pPr>
        <w:pStyle w:val="aff0"/>
        <w:numPr>
          <w:ilvl w:val="0"/>
          <w:numId w:val="7"/>
        </w:numPr>
        <w:rPr>
          <w:color w:val="000000" w:themeColor="text2"/>
        </w:rPr>
      </w:pPr>
      <w:r w:rsidRPr="39240CDE">
        <w:rPr>
          <w:rFonts w:ascii="Times New Roman" w:hAnsi="Times New Roman" w:eastAsia="Times New Roman" w:cs="Times New Roman"/>
        </w:rPr>
        <w:lastRenderedPageBreak/>
        <w:t xml:space="preserve">Since the p value is 0.013 and 0.05, we can reject the null hypothesis and there is an association between the </w:t>
      </w:r>
      <w:proofErr w:type="gramStart"/>
      <w:r w:rsidRPr="39240CDE">
        <w:rPr>
          <w:rFonts w:ascii="Times New Roman" w:hAnsi="Times New Roman" w:eastAsia="Times New Roman" w:cs="Times New Roman"/>
        </w:rPr>
        <w:t>2</w:t>
      </w:r>
      <w:proofErr w:type="gramEnd"/>
      <w:r w:rsidRPr="39240CDE">
        <w:rPr>
          <w:rFonts w:ascii="Times New Roman" w:hAnsi="Times New Roman" w:eastAsia="Times New Roman" w:cs="Times New Roman"/>
        </w:rPr>
        <w:t xml:space="preserve"> variables.</w:t>
      </w:r>
    </w:p>
    <w:p w:rsidR="39240CDE" w:rsidP="39240CDE" w:rsidRDefault="39240CDE" w14:paraId="07F34221" w14:textId="2D071714">
      <w:r w:rsidRPr="39240CDE">
        <w:rPr>
          <w:b/>
          <w:bCs/>
          <w:sz w:val="28"/>
          <w:szCs w:val="28"/>
        </w:rPr>
        <w:t xml:space="preserve">Conclusion: </w:t>
      </w:r>
    </w:p>
    <w:p w:rsidR="39240CDE" w:rsidP="48C37A2E" w:rsidRDefault="39240CDE" w14:paraId="5B670B0F" w14:textId="418B998B">
      <w:pPr>
        <w:pStyle w:val="aff0"/>
        <w:numPr>
          <w:ilvl w:val="1"/>
          <w:numId w:val="2"/>
        </w:numPr>
        <w:rPr>
          <w:color w:val="000000" w:themeColor="text2" w:themeTint="FF" w:themeShade="FF"/>
        </w:rPr>
      </w:pPr>
      <w:r w:rsidR="48C37A2E">
        <w:rPr/>
        <w:t xml:space="preserve">The result revealed that the females </w:t>
      </w:r>
      <w:r w:rsidR="48C37A2E">
        <w:rPr/>
        <w:t>have</w:t>
      </w:r>
      <w:r w:rsidR="48C37A2E">
        <w:rPr/>
        <w:t xml:space="preserve"> higher exposure to the UTIs</w:t>
      </w:r>
    </w:p>
    <w:p w:rsidR="39240CDE" w:rsidP="39240CDE" w:rsidRDefault="39240CDE" w14:paraId="1C4722E4" w14:textId="2A21D90C">
      <w:pPr>
        <w:pStyle w:val="aff0"/>
        <w:numPr>
          <w:ilvl w:val="1"/>
          <w:numId w:val="1"/>
        </w:numPr>
        <w:rPr>
          <w:color w:val="000000" w:themeColor="text2"/>
        </w:rPr>
      </w:pPr>
      <w:r w:rsidRPr="39240CDE">
        <w:t xml:space="preserve">The application of the chi square approved this idea, and there is an association between the </w:t>
      </w:r>
      <w:proofErr w:type="gramStart"/>
      <w:r w:rsidRPr="39240CDE">
        <w:t>2</w:t>
      </w:r>
      <w:proofErr w:type="gramEnd"/>
      <w:r w:rsidRPr="39240CDE">
        <w:t xml:space="preserve"> variables. </w:t>
      </w:r>
    </w:p>
    <w:p w:rsidR="39240CDE" w:rsidP="48C37A2E" w:rsidRDefault="256431E5" w14:paraId="634626E6" w14:textId="11FCD9F7" w14:noSpellErr="1">
      <w:pPr>
        <w:pStyle w:val="aff0"/>
        <w:numPr>
          <w:ilvl w:val="1"/>
          <w:numId w:val="1"/>
        </w:numPr>
        <w:rPr>
          <w:color w:val="000000" w:themeColor="text2" w:themeTint="FF" w:themeShade="FF"/>
        </w:rPr>
      </w:pPr>
      <w:r w:rsidR="48C37A2E">
        <w:rPr/>
        <w:t>Until now, there have been no predictions to lower the incidence of urinary tract infection among females except for prophylactic methods and treatment.</w:t>
      </w:r>
    </w:p>
    <w:p w:rsidR="48C37A2E" w:rsidP="48C37A2E" w:rsidRDefault="48C37A2E" w14:paraId="770BF4CE" w14:textId="5E40FABA">
      <w:pPr>
        <w:pStyle w:val="aff0"/>
        <w:numPr>
          <w:ilvl w:val="1"/>
          <w:numId w:val="1"/>
        </w:numPr>
        <w:rPr>
          <w:color w:val="000000" w:themeColor="text2" w:themeTint="FF" w:themeShade="FF"/>
        </w:rPr>
      </w:pPr>
    </w:p>
    <w:p w:rsidR="256431E5" w:rsidP="256431E5" w:rsidRDefault="256431E5" w14:paraId="35DA2C59" w14:textId="4103308F">
      <w:pPr>
        <w:ind w:left="720"/>
        <w:rPr>
          <w:color w:val="000000" w:themeColor="text2"/>
        </w:rPr>
      </w:pPr>
    </w:p>
    <w:p w:rsidR="39240CDE" w:rsidP="256431E5" w:rsidRDefault="256431E5" w14:paraId="534AD995" w14:textId="7EB0BC05">
      <w:pPr>
        <w:pStyle w:val="aff0"/>
        <w:ind w:left="0"/>
      </w:pPr>
      <w:r w:rsidRPr="256431E5">
        <w:rPr>
          <w:rFonts w:ascii="Times New Roman" w:hAnsi="Times New Roman" w:eastAsia="Times New Roman" w:cs="Times New Roman"/>
          <w:b/>
          <w:bCs/>
          <w:sz w:val="28"/>
          <w:szCs w:val="28"/>
        </w:rPr>
        <w:t xml:space="preserve">           References: for further reading </w:t>
      </w:r>
    </w:p>
    <w:p w:rsidR="39240CDE" w:rsidP="256431E5" w:rsidRDefault="256431E5" w14:paraId="7593A0FB" w14:textId="69B2727A">
      <w:pPr>
        <w:pStyle w:val="aff0"/>
        <w:ind w:left="0"/>
      </w:pPr>
      <w:r w:rsidRPr="256431E5">
        <w:rPr>
          <w:rFonts w:ascii="Times New Roman" w:hAnsi="Times New Roman" w:eastAsia="Times New Roman" w:cs="Times New Roman"/>
          <w:sz w:val="28"/>
          <w:szCs w:val="28"/>
        </w:rPr>
        <w:t xml:space="preserve">- </w:t>
      </w:r>
      <w:sdt>
        <w:sdtPr>
          <w:tag w:val="MENDELEY_BIBLIOGRAPHY"/>
          <w:id w:val="1590406182"/>
          <w:placeholder>
            <w:docPart w:val="DefaultPlaceholder_1081868574"/>
          </w:placeholder>
        </w:sdtPr>
        <w:sdtEndPr/>
        <w:sdtContent>
          <w:r w:rsidRPr="256431E5">
            <w:t>[1]</w:t>
          </w:r>
          <w:r w:rsidR="39240CDE">
            <w:tab/>
          </w:r>
          <w:r w:rsidRPr="256431E5">
            <w:t>Levinson W, York N, San C, Athens F, Madrid L. Medical Microbiology and Immunology Review of 2016.</w:t>
          </w:r>
        </w:sdtContent>
      </w:sdt>
    </w:p>
    <w:p w:rsidR="256431E5" w:rsidP="256431E5" w:rsidRDefault="256431E5" w14:paraId="47BE5518" w14:textId="0CD7EBBC">
      <w:pPr>
        <w:pStyle w:val="aff0"/>
        <w:ind w:left="0"/>
      </w:pPr>
      <w:r w:rsidRPr="256431E5">
        <w:t>-</w:t>
      </w:r>
      <w:sdt>
        <w:sdtPr>
          <w:tag w:val="MENDELEY_BIBLIOGRAPHY"/>
          <w:id w:val="1960925278"/>
          <w:placeholder>
            <w:docPart w:val="DefaultPlaceholder_1081868574"/>
          </w:placeholder>
        </w:sdtPr>
        <w:sdtEndPr/>
        <w:sdtContent>
          <w:r w:rsidRPr="256431E5">
            <w:t xml:space="preserve"> [2]</w:t>
          </w:r>
          <w:r>
            <w:tab/>
          </w:r>
          <w:proofErr w:type="spellStart"/>
          <w:r w:rsidRPr="256431E5">
            <w:t>Sinawe</w:t>
          </w:r>
          <w:proofErr w:type="spellEnd"/>
          <w:r w:rsidRPr="256431E5">
            <w:t xml:space="preserve"> H, </w:t>
          </w:r>
          <w:proofErr w:type="spellStart"/>
          <w:r w:rsidRPr="256431E5">
            <w:t>Casadesus</w:t>
          </w:r>
          <w:proofErr w:type="spellEnd"/>
          <w:r w:rsidRPr="256431E5">
            <w:t xml:space="preserve"> D. Urine Culture. 2022.  </w:t>
          </w:r>
        </w:sdtContent>
      </w:sdt>
    </w:p>
    <w:p w:rsidR="256431E5" w:rsidP="256431E5" w:rsidRDefault="256431E5" w14:paraId="735AC468" w14:textId="5E298FCA">
      <w:pPr>
        <w:pStyle w:val="aff0"/>
        <w:ind w:left="0"/>
      </w:pPr>
      <w:r w:rsidRPr="256431E5">
        <w:t>- [</w:t>
      </w:r>
      <w:sdt>
        <w:sdtPr>
          <w:tag w:val="MENDELEY_BIBLIOGRAPHY"/>
          <w:id w:val="876254157"/>
          <w:placeholder>
            <w:docPart w:val="DefaultPlaceholder_1081868574"/>
          </w:placeholder>
        </w:sdtPr>
        <w:sdtEndPr/>
        <w:sdtContent>
          <w:r w:rsidRPr="256431E5">
            <w:t>3]</w:t>
          </w:r>
          <w:r>
            <w:tab/>
          </w:r>
          <w:r w:rsidRPr="256431E5">
            <w:t xml:space="preserve">Drake FAAA RL, Wayne </w:t>
          </w:r>
          <w:proofErr w:type="spellStart"/>
          <w:r w:rsidRPr="256431E5">
            <w:t>Vogl</w:t>
          </w:r>
          <w:proofErr w:type="spellEnd"/>
          <w:r w:rsidRPr="256431E5">
            <w:t xml:space="preserve"> FAAA A, Mitchell MB BS FRCS FRCR AW. Gray’s Anatomy for Students Flash Cards: </w:t>
          </w:r>
          <w:proofErr w:type="gramStart"/>
          <w:r w:rsidRPr="256431E5">
            <w:t>with STUDENT</w:t>
          </w:r>
          <w:proofErr w:type="gramEnd"/>
          <w:r w:rsidRPr="256431E5">
            <w:t xml:space="preserve"> CONSULT Online Access. 2015. </w:t>
          </w:r>
        </w:sdtContent>
      </w:sdt>
    </w:p>
    <w:p w:rsidR="256431E5" w:rsidP="256431E5" w:rsidRDefault="256431E5" w14:paraId="2925981A" w14:textId="1F3D25F8">
      <w:pPr>
        <w:pStyle w:val="aff0"/>
        <w:ind w:left="0"/>
      </w:pPr>
      <w:r w:rsidRPr="256431E5">
        <w:t>-</w:t>
      </w:r>
      <w:sdt>
        <w:sdtPr>
          <w:tag w:val="MENDELEY_BIBLIOGRAPHY"/>
          <w:id w:val="663694803"/>
          <w:placeholder>
            <w:docPart w:val="DefaultPlaceholder_1081868574"/>
          </w:placeholder>
        </w:sdtPr>
        <w:sdtEndPr/>
        <w:sdtContent>
          <w:r w:rsidRPr="256431E5">
            <w:t xml:space="preserve"> [4]</w:t>
          </w:r>
          <w:r>
            <w:tab/>
          </w:r>
          <w:r w:rsidRPr="256431E5">
            <w:t>Taxonomy M. Bailey &amp; Scott’s Diagnostic Microbiology. 2014.</w:t>
          </w:r>
        </w:sdtContent>
      </w:sdt>
    </w:p>
    <w:p w:rsidR="256431E5" w:rsidP="256431E5" w:rsidRDefault="256431E5" w14:paraId="6525F3BA" w14:textId="63293219">
      <w:pPr>
        <w:pStyle w:val="aff0"/>
        <w:ind w:left="0"/>
      </w:pPr>
      <w:r w:rsidRPr="256431E5">
        <w:t>-</w:t>
      </w:r>
      <w:sdt>
        <w:sdtPr>
          <w:tag w:val="MENDELEY_BIBLIOGRAPHY"/>
          <w:id w:val="883854285"/>
          <w:placeholder>
            <w:docPart w:val="DefaultPlaceholder_1081868574"/>
          </w:placeholder>
        </w:sdtPr>
        <w:sdtEndPr/>
        <w:sdtContent>
          <w:r w:rsidRPr="256431E5">
            <w:t xml:space="preserve"> [5]</w:t>
          </w:r>
          <w:r>
            <w:tab/>
          </w:r>
          <w:r w:rsidRPr="256431E5">
            <w:t xml:space="preserve">Kline KA, Lewis AL. Gram-Positive </w:t>
          </w:r>
          <w:proofErr w:type="spellStart"/>
          <w:r w:rsidRPr="256431E5">
            <w:t>Uropathogens</w:t>
          </w:r>
          <w:proofErr w:type="spellEnd"/>
          <w:r w:rsidRPr="256431E5">
            <w:t xml:space="preserve">, </w:t>
          </w:r>
          <w:proofErr w:type="spellStart"/>
          <w:r w:rsidRPr="256431E5">
            <w:t>Polymicrobial</w:t>
          </w:r>
          <w:proofErr w:type="spellEnd"/>
          <w:r w:rsidRPr="256431E5">
            <w:t xml:space="preserve"> Urinary Tract Infection, and the Emerging </w:t>
          </w:r>
          <w:proofErr w:type="spellStart"/>
          <w:r w:rsidRPr="256431E5">
            <w:t>Microbiota</w:t>
          </w:r>
          <w:proofErr w:type="spellEnd"/>
          <w:r w:rsidRPr="256431E5">
            <w:t xml:space="preserve"> of the Urinary Tract. </w:t>
          </w:r>
          <w:proofErr w:type="spellStart"/>
          <w:r w:rsidRPr="256431E5">
            <w:t>Microbiol</w:t>
          </w:r>
          <w:proofErr w:type="spellEnd"/>
          <w:r w:rsidRPr="256431E5">
            <w:t xml:space="preserve"> </w:t>
          </w:r>
          <w:proofErr w:type="spellStart"/>
          <w:r w:rsidRPr="256431E5">
            <w:t>Spectr</w:t>
          </w:r>
          <w:proofErr w:type="spellEnd"/>
          <w:r w:rsidRPr="256431E5">
            <w:t xml:space="preserve"> 2016</w:t>
          </w:r>
          <w:proofErr w:type="gramStart"/>
          <w:r w:rsidRPr="256431E5">
            <w:t>;4</w:t>
          </w:r>
          <w:proofErr w:type="gramEnd"/>
          <w:r w:rsidRPr="256431E5">
            <w:t xml:space="preserve">. </w:t>
          </w:r>
          <w:hyperlink r:id="rId11">
            <w:r w:rsidRPr="256431E5">
              <w:rPr>
                <w:rStyle w:val="Hyperlink"/>
              </w:rPr>
              <w:t>https://doi.org/10.1128/microbiolspec.UTI-0012-2012</w:t>
            </w:r>
          </w:hyperlink>
          <w:r w:rsidRPr="256431E5">
            <w:t xml:space="preserve">. </w:t>
          </w:r>
        </w:sdtContent>
      </w:sdt>
    </w:p>
    <w:sectPr w:rsidR="256431E5" w:rsidSect="00A212C2">
      <w:headerReference w:type="default" r:id="rId12"/>
      <w:footerReference w:type="default" r:id="rId13"/>
      <w:footnotePr>
        <w:pos w:val="beneathText"/>
      </w:footnotePr>
      <w:pgSz w:w="12240" w:h="15840" w:orient="portrait"/>
      <w:pgMar w:top="1440" w:right="1440" w:bottom="1440" w:left="1440" w:header="720" w:footer="720" w:gutter="0"/>
      <w:pgNumType w:start="0"/>
      <w:cols w:space="720"/>
      <w:titlePg/>
      <w:docGrid w:linePitch="360"/>
      <w15:footnoteColumns w:val="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31DF" w:rsidRDefault="005D31DF" w14:paraId="352B2FC1" w14:textId="77777777">
      <w:pPr>
        <w:spacing w:line="240" w:lineRule="auto"/>
      </w:pPr>
      <w:r>
        <w:separator/>
      </w:r>
    </w:p>
    <w:p w:rsidR="005D31DF" w:rsidRDefault="005D31DF" w14:paraId="54D3C492" w14:textId="77777777"/>
  </w:endnote>
  <w:endnote w:type="continuationSeparator" w:id="0">
    <w:p w:rsidR="005D31DF" w:rsidRDefault="005D31DF" w14:paraId="4E918631" w14:textId="77777777">
      <w:pPr>
        <w:spacing w:line="240" w:lineRule="auto"/>
      </w:pPr>
      <w:r>
        <w:continuationSeparator/>
      </w:r>
    </w:p>
    <w:p w:rsidR="005D31DF" w:rsidRDefault="005D31DF" w14:paraId="3FD5E137"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notTrueType/>
    <w:pitch w:val="fixed"/>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1012642"/>
      <w:docPartObj>
        <w:docPartGallery w:val="Page Numbers (Bottom of Page)"/>
        <w:docPartUnique/>
      </w:docPartObj>
    </w:sdtPr>
    <w:sdtContent>
      <w:p w:rsidR="00A212C2" w:rsidRDefault="00A212C2" w14:paraId="003CFB9B" w14:textId="46D559D9">
        <w:pPr>
          <w:pStyle w:val="afff"/>
          <w:jc w:val="center"/>
        </w:pPr>
        <w:r>
          <w:fldChar w:fldCharType="begin"/>
        </w:r>
        <w:r>
          <w:instrText>PAGE   \* MERGEFORMAT</w:instrText>
        </w:r>
        <w:r>
          <w:fldChar w:fldCharType="separate"/>
        </w:r>
        <w:r w:rsidRPr="00A212C2">
          <w:rPr>
            <w:noProof/>
            <w:lang w:val="ar-SA"/>
          </w:rPr>
          <w:t>9</w:t>
        </w:r>
        <w:r>
          <w:fldChar w:fldCharType="end"/>
        </w:r>
      </w:p>
    </w:sdtContent>
  </w:sdt>
  <w:p w:rsidR="256431E5" w:rsidP="256431E5" w:rsidRDefault="256431E5" w14:paraId="0FC27D12" w14:textId="09345D5D">
    <w:pPr>
      <w:pStyle w:val="aff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31DF" w:rsidRDefault="005D31DF" w14:paraId="6868A2EC" w14:textId="77777777">
      <w:pPr>
        <w:spacing w:line="240" w:lineRule="auto"/>
      </w:pPr>
      <w:r>
        <w:separator/>
      </w:r>
    </w:p>
    <w:p w:rsidR="005D31DF" w:rsidRDefault="005D31DF" w14:paraId="113F2D13" w14:textId="77777777"/>
  </w:footnote>
  <w:footnote w:type="continuationSeparator" w:id="0">
    <w:p w:rsidR="005D31DF" w:rsidRDefault="005D31DF" w14:paraId="02F1AE2B" w14:textId="77777777">
      <w:pPr>
        <w:spacing w:line="240" w:lineRule="auto"/>
      </w:pPr>
      <w:r>
        <w:continuationSeparator/>
      </w:r>
    </w:p>
    <w:p w:rsidR="005D31DF" w:rsidRDefault="005D31DF" w14:paraId="0CB365E4" w14:textId="7777777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120"/>
      <w:gridCol w:w="3120"/>
      <w:gridCol w:w="3120"/>
    </w:tblGrid>
    <w:tr w:rsidR="256431E5" w:rsidTr="256431E5" w14:paraId="273E01AD" w14:textId="77777777">
      <w:tc>
        <w:tcPr>
          <w:tcW w:w="3120" w:type="dxa"/>
        </w:tcPr>
        <w:p w:rsidR="256431E5" w:rsidP="256431E5" w:rsidRDefault="256431E5" w14:paraId="2E6D600F" w14:textId="1A218927">
          <w:pPr>
            <w:pStyle w:val="a5"/>
            <w:ind w:left="-115"/>
          </w:pPr>
        </w:p>
      </w:tc>
      <w:tc>
        <w:tcPr>
          <w:tcW w:w="3120" w:type="dxa"/>
        </w:tcPr>
        <w:p w:rsidR="256431E5" w:rsidP="256431E5" w:rsidRDefault="256431E5" w14:paraId="5817FD52" w14:textId="7912DB94">
          <w:pPr>
            <w:pStyle w:val="a5"/>
            <w:jc w:val="center"/>
          </w:pPr>
        </w:p>
      </w:tc>
      <w:tc>
        <w:tcPr>
          <w:tcW w:w="3120" w:type="dxa"/>
        </w:tcPr>
        <w:p w:rsidR="256431E5" w:rsidP="256431E5" w:rsidRDefault="256431E5" w14:paraId="65EE6E58" w14:textId="561C7B06">
          <w:pPr>
            <w:pStyle w:val="a5"/>
            <w:ind w:right="-115"/>
            <w:jc w:val="right"/>
          </w:pPr>
        </w:p>
      </w:tc>
    </w:tr>
  </w:tbl>
  <w:p w:rsidR="256431E5" w:rsidP="256431E5" w:rsidRDefault="256431E5" w14:paraId="7556F9AD" w14:textId="01AB4F03">
    <w:pPr>
      <w:pStyle w:val="a5"/>
    </w:pPr>
  </w:p>
</w:hdr>
</file>

<file path=word/intelligence2.xml><?xml version="1.0" encoding="utf-8"?>
<int2:intelligence xmlns:int2="http://schemas.microsoft.com/office/intelligence/2020/intelligence">
  <int2:observations>
    <int2:textHash int2:hashCode="Pjpg/H2rohqLYH" int2:id="eLdjVQJP">
      <int2:state int2:type="LegacyProofing" int2:value="Rejected"/>
    </int2:textHash>
    <int2:textHash int2:hashCode="5fgI2tPe3yb3HR" int2:id="bqP9HhXy">
      <int2:state int2:type="LegacyProofing" int2:value="Rejected"/>
    </int2:textHash>
    <int2:textHash int2:hashCode="Soqfwx3BWkuHux" int2:id="RlNYRGH1">
      <int2:state int2:type="LegacyProofing" int2:value="Rejected"/>
    </int2:textHash>
    <int2:textHash int2:hashCode="Mnd+76hqe87Eeh" int2:id="WAs03sQC">
      <int2:state int2:type="LegacyProofing" int2:value="Rejected"/>
    </int2:textHash>
    <int2:textHash int2:hashCode="DOvsIA4+3WD4Dx" int2:id="DGKIuwya">
      <int2:state int2:type="LegacyProofing" int2:value="Rejected"/>
    </int2:textHash>
    <int2:textHash int2:hashCode="WH34m/CHkIWga6" int2:id="b2EoCv7k">
      <int2:state int2:type="LegacyProofing" int2:value="Rejected"/>
    </int2:textHash>
    <int2:textHash int2:hashCode="kREY99ueE5Sxd1" int2:id="mIsnoKIy">
      <int2:state int2:type="LegacyProofing" int2:value="Rejected"/>
    </int2:textHash>
    <int2:textHash int2:hashCode="mGGED/wgB9sKDg" int2:id="0714rSjF">
      <int2:state int2:type="LegacyProofing" int2:value="Rejected"/>
    </int2:textHash>
    <int2:textHash int2:hashCode="Frel9UoNkXPAir" int2:id="N8Yy2pzN">
      <int2:state int2:type="LegacyProofing" int2:value="Rejected"/>
    </int2:textHash>
    <int2:textHash int2:hashCode="gmloPLYosD3R+0" int2:id="B5L2jJfI">
      <int2:state int2:type="LegacyProofing"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6ED08D94"/>
    <w:lvl w:ilvl="0">
      <w:start w:val="1"/>
      <w:numFmt w:val="decimal"/>
      <w:pStyle w:val="5"/>
      <w:lvlText w:val="%1."/>
      <w:lvlJc w:val="left"/>
      <w:pPr>
        <w:tabs>
          <w:tab w:val="num" w:pos="1800"/>
        </w:tabs>
        <w:ind w:left="1800" w:hanging="360"/>
      </w:pPr>
    </w:lvl>
  </w:abstractNum>
  <w:abstractNum w:abstractNumId="1">
    <w:nsid w:val="FFFFFF7D"/>
    <w:multiLevelType w:val="singleLevel"/>
    <w:tmpl w:val="3D5203EE"/>
    <w:lvl w:ilvl="0">
      <w:start w:val="1"/>
      <w:numFmt w:val="decimal"/>
      <w:pStyle w:val="4"/>
      <w:lvlText w:val="%1."/>
      <w:lvlJc w:val="left"/>
      <w:pPr>
        <w:tabs>
          <w:tab w:val="num" w:pos="1440"/>
        </w:tabs>
        <w:ind w:left="1440" w:hanging="360"/>
      </w:pPr>
    </w:lvl>
  </w:abstractNum>
  <w:abstractNum w:abstractNumId="2">
    <w:nsid w:val="FFFFFF7E"/>
    <w:multiLevelType w:val="singleLevel"/>
    <w:tmpl w:val="F2DC96EC"/>
    <w:lvl w:ilvl="0">
      <w:start w:val="1"/>
      <w:numFmt w:val="decimal"/>
      <w:pStyle w:val="3"/>
      <w:lvlText w:val="%1."/>
      <w:lvlJc w:val="left"/>
      <w:pPr>
        <w:tabs>
          <w:tab w:val="num" w:pos="1080"/>
        </w:tabs>
        <w:ind w:left="1080" w:hanging="360"/>
      </w:pPr>
    </w:lvl>
  </w:abstractNum>
  <w:abstractNum w:abstractNumId="3">
    <w:nsid w:val="FFFFFF7F"/>
    <w:multiLevelType w:val="singleLevel"/>
    <w:tmpl w:val="94D2CA36"/>
    <w:lvl w:ilvl="0">
      <w:start w:val="1"/>
      <w:numFmt w:val="decimal"/>
      <w:pStyle w:val="2"/>
      <w:lvlText w:val="%1."/>
      <w:lvlJc w:val="left"/>
      <w:pPr>
        <w:tabs>
          <w:tab w:val="num" w:pos="720"/>
        </w:tabs>
        <w:ind w:left="720" w:hanging="360"/>
      </w:pPr>
    </w:lvl>
  </w:abstractNum>
  <w:abstractNum w:abstractNumId="4">
    <w:nsid w:val="FFFFFF80"/>
    <w:multiLevelType w:val="singleLevel"/>
    <w:tmpl w:val="17BCEBA6"/>
    <w:lvl w:ilvl="0">
      <w:start w:val="1"/>
      <w:numFmt w:val="bullet"/>
      <w:pStyle w:val="50"/>
      <w:lvlText w:val=""/>
      <w:lvlJc w:val="left"/>
      <w:pPr>
        <w:tabs>
          <w:tab w:val="num" w:pos="1800"/>
        </w:tabs>
        <w:ind w:left="1800" w:hanging="360"/>
      </w:pPr>
      <w:rPr>
        <w:rFonts w:hint="default" w:ascii="Symbol" w:hAnsi="Symbol"/>
      </w:rPr>
    </w:lvl>
  </w:abstractNum>
  <w:abstractNum w:abstractNumId="5">
    <w:nsid w:val="FFFFFF81"/>
    <w:multiLevelType w:val="singleLevel"/>
    <w:tmpl w:val="7D386FFE"/>
    <w:lvl w:ilvl="0">
      <w:start w:val="1"/>
      <w:numFmt w:val="bullet"/>
      <w:pStyle w:val="40"/>
      <w:lvlText w:val=""/>
      <w:lvlJc w:val="left"/>
      <w:pPr>
        <w:tabs>
          <w:tab w:val="num" w:pos="1440"/>
        </w:tabs>
        <w:ind w:left="1440" w:hanging="360"/>
      </w:pPr>
      <w:rPr>
        <w:rFonts w:hint="default" w:ascii="Symbol" w:hAnsi="Symbol"/>
      </w:rPr>
    </w:lvl>
  </w:abstractNum>
  <w:abstractNum w:abstractNumId="6">
    <w:nsid w:val="FFFFFF82"/>
    <w:multiLevelType w:val="singleLevel"/>
    <w:tmpl w:val="D73A80FE"/>
    <w:lvl w:ilvl="0">
      <w:start w:val="1"/>
      <w:numFmt w:val="bullet"/>
      <w:pStyle w:val="30"/>
      <w:lvlText w:val=""/>
      <w:lvlJc w:val="left"/>
      <w:pPr>
        <w:tabs>
          <w:tab w:val="num" w:pos="1080"/>
        </w:tabs>
        <w:ind w:left="1080" w:hanging="360"/>
      </w:pPr>
      <w:rPr>
        <w:rFonts w:hint="default" w:ascii="Symbol" w:hAnsi="Symbol"/>
      </w:rPr>
    </w:lvl>
  </w:abstractNum>
  <w:abstractNum w:abstractNumId="7">
    <w:nsid w:val="FFFFFF83"/>
    <w:multiLevelType w:val="singleLevel"/>
    <w:tmpl w:val="0AB08068"/>
    <w:lvl w:ilvl="0">
      <w:start w:val="1"/>
      <w:numFmt w:val="bullet"/>
      <w:pStyle w:val="20"/>
      <w:lvlText w:val=""/>
      <w:lvlJc w:val="left"/>
      <w:pPr>
        <w:tabs>
          <w:tab w:val="num" w:pos="720"/>
        </w:tabs>
        <w:ind w:left="720" w:hanging="360"/>
      </w:pPr>
      <w:rPr>
        <w:rFonts w:hint="default" w:ascii="Symbol" w:hAnsi="Symbol"/>
      </w:rPr>
    </w:lvl>
  </w:abstractNum>
  <w:abstractNum w:abstractNumId="8">
    <w:nsid w:val="FFFFFF88"/>
    <w:multiLevelType w:val="singleLevel"/>
    <w:tmpl w:val="D6E00290"/>
    <w:lvl w:ilvl="0">
      <w:start w:val="1"/>
      <w:numFmt w:val="decimal"/>
      <w:pStyle w:val="a"/>
      <w:lvlText w:val="%1."/>
      <w:lvlJc w:val="left"/>
      <w:pPr>
        <w:tabs>
          <w:tab w:val="num" w:pos="1080"/>
        </w:tabs>
        <w:ind w:left="1080" w:hanging="360"/>
      </w:pPr>
      <w:rPr>
        <w:rFonts w:hint="default"/>
      </w:rPr>
    </w:lvl>
  </w:abstractNum>
  <w:abstractNum w:abstractNumId="9">
    <w:nsid w:val="FFFFFF89"/>
    <w:multiLevelType w:val="singleLevel"/>
    <w:tmpl w:val="D6FC344C"/>
    <w:lvl w:ilvl="0">
      <w:start w:val="1"/>
      <w:numFmt w:val="bullet"/>
      <w:pStyle w:val="a0"/>
      <w:lvlText w:val=""/>
      <w:lvlJc w:val="left"/>
      <w:pPr>
        <w:tabs>
          <w:tab w:val="num" w:pos="1080"/>
        </w:tabs>
        <w:ind w:left="1080" w:hanging="360"/>
      </w:pPr>
      <w:rPr>
        <w:rFonts w:hint="default" w:ascii="Symbol" w:hAnsi="Symbol"/>
      </w:rPr>
    </w:lvl>
  </w:abstractNum>
  <w:abstractNum w:abstractNumId="10">
    <w:nsid w:val="10A424C9"/>
    <w:multiLevelType w:val="hybridMultilevel"/>
    <w:tmpl w:val="E8CEEC14"/>
    <w:lvl w:ilvl="0" w:tplc="5712C7D8">
      <w:start w:val="1"/>
      <w:numFmt w:val="decimal"/>
      <w:lvlText w:val="%1."/>
      <w:lvlJc w:val="left"/>
      <w:pPr>
        <w:ind w:left="720" w:hanging="360"/>
      </w:pPr>
    </w:lvl>
    <w:lvl w:ilvl="1" w:tplc="1E9EF044">
      <w:start w:val="1"/>
      <w:numFmt w:val="lowerLetter"/>
      <w:lvlText w:val="%2."/>
      <w:lvlJc w:val="left"/>
      <w:pPr>
        <w:ind w:left="1440" w:hanging="360"/>
      </w:pPr>
    </w:lvl>
    <w:lvl w:ilvl="2" w:tplc="2376ED46">
      <w:start w:val="1"/>
      <w:numFmt w:val="lowerRoman"/>
      <w:lvlText w:val="%3."/>
      <w:lvlJc w:val="right"/>
      <w:pPr>
        <w:ind w:left="2160" w:hanging="180"/>
      </w:pPr>
    </w:lvl>
    <w:lvl w:ilvl="3" w:tplc="467C80F6">
      <w:start w:val="1"/>
      <w:numFmt w:val="decimal"/>
      <w:lvlText w:val="%4."/>
      <w:lvlJc w:val="left"/>
      <w:pPr>
        <w:ind w:left="2880" w:hanging="360"/>
      </w:pPr>
    </w:lvl>
    <w:lvl w:ilvl="4" w:tplc="F9F4D1FA">
      <w:start w:val="1"/>
      <w:numFmt w:val="lowerLetter"/>
      <w:lvlText w:val="%5."/>
      <w:lvlJc w:val="left"/>
      <w:pPr>
        <w:ind w:left="3600" w:hanging="360"/>
      </w:pPr>
    </w:lvl>
    <w:lvl w:ilvl="5" w:tplc="F9F0070A">
      <w:start w:val="1"/>
      <w:numFmt w:val="lowerRoman"/>
      <w:lvlText w:val="%6."/>
      <w:lvlJc w:val="right"/>
      <w:pPr>
        <w:ind w:left="4320" w:hanging="180"/>
      </w:pPr>
    </w:lvl>
    <w:lvl w:ilvl="6" w:tplc="497A450E">
      <w:start w:val="1"/>
      <w:numFmt w:val="decimal"/>
      <w:lvlText w:val="%7."/>
      <w:lvlJc w:val="left"/>
      <w:pPr>
        <w:ind w:left="5040" w:hanging="360"/>
      </w:pPr>
    </w:lvl>
    <w:lvl w:ilvl="7" w:tplc="998ABB48">
      <w:start w:val="1"/>
      <w:numFmt w:val="lowerLetter"/>
      <w:lvlText w:val="%8."/>
      <w:lvlJc w:val="left"/>
      <w:pPr>
        <w:ind w:left="5760" w:hanging="360"/>
      </w:pPr>
    </w:lvl>
    <w:lvl w:ilvl="8" w:tplc="5678C434">
      <w:start w:val="1"/>
      <w:numFmt w:val="lowerRoman"/>
      <w:lvlText w:val="%9."/>
      <w:lvlJc w:val="right"/>
      <w:pPr>
        <w:ind w:left="6480" w:hanging="180"/>
      </w:pPr>
    </w:lvl>
  </w:abstractNum>
  <w:abstractNum w:abstractNumId="11">
    <w:nsid w:val="278D0CAB"/>
    <w:multiLevelType w:val="hybridMultilevel"/>
    <w:tmpl w:val="634E0AF4"/>
    <w:lvl w:ilvl="0" w:tplc="8108A92C">
      <w:start w:val="1"/>
      <w:numFmt w:val="bullet"/>
      <w:lvlText w:val=""/>
      <w:lvlJc w:val="left"/>
      <w:pPr>
        <w:ind w:left="720" w:hanging="360"/>
      </w:pPr>
      <w:rPr>
        <w:rFonts w:hint="default" w:ascii="Symbol" w:hAnsi="Symbol"/>
      </w:rPr>
    </w:lvl>
    <w:lvl w:ilvl="1" w:tplc="93F22DC2">
      <w:start w:val="1"/>
      <w:numFmt w:val="bullet"/>
      <w:lvlText w:val=""/>
      <w:lvlJc w:val="left"/>
      <w:pPr>
        <w:ind w:left="1440" w:hanging="360"/>
      </w:pPr>
      <w:rPr>
        <w:rFonts w:hint="default" w:ascii="Symbol" w:hAnsi="Symbol"/>
      </w:rPr>
    </w:lvl>
    <w:lvl w:ilvl="2" w:tplc="DAD82648">
      <w:start w:val="1"/>
      <w:numFmt w:val="bullet"/>
      <w:lvlText w:val=""/>
      <w:lvlJc w:val="left"/>
      <w:pPr>
        <w:ind w:left="2160" w:hanging="360"/>
      </w:pPr>
      <w:rPr>
        <w:rFonts w:hint="default" w:ascii="Wingdings" w:hAnsi="Wingdings"/>
      </w:rPr>
    </w:lvl>
    <w:lvl w:ilvl="3" w:tplc="EE04D3E2">
      <w:start w:val="1"/>
      <w:numFmt w:val="bullet"/>
      <w:lvlText w:val=""/>
      <w:lvlJc w:val="left"/>
      <w:pPr>
        <w:ind w:left="2880" w:hanging="360"/>
      </w:pPr>
      <w:rPr>
        <w:rFonts w:hint="default" w:ascii="Symbol" w:hAnsi="Symbol"/>
      </w:rPr>
    </w:lvl>
    <w:lvl w:ilvl="4" w:tplc="1A56D196">
      <w:start w:val="1"/>
      <w:numFmt w:val="bullet"/>
      <w:lvlText w:val="o"/>
      <w:lvlJc w:val="left"/>
      <w:pPr>
        <w:ind w:left="3600" w:hanging="360"/>
      </w:pPr>
      <w:rPr>
        <w:rFonts w:hint="default" w:ascii="Courier New" w:hAnsi="Courier New"/>
      </w:rPr>
    </w:lvl>
    <w:lvl w:ilvl="5" w:tplc="F108643E">
      <w:start w:val="1"/>
      <w:numFmt w:val="bullet"/>
      <w:lvlText w:val=""/>
      <w:lvlJc w:val="left"/>
      <w:pPr>
        <w:ind w:left="4320" w:hanging="360"/>
      </w:pPr>
      <w:rPr>
        <w:rFonts w:hint="default" w:ascii="Wingdings" w:hAnsi="Wingdings"/>
      </w:rPr>
    </w:lvl>
    <w:lvl w:ilvl="6" w:tplc="0E66B366">
      <w:start w:val="1"/>
      <w:numFmt w:val="bullet"/>
      <w:lvlText w:val=""/>
      <w:lvlJc w:val="left"/>
      <w:pPr>
        <w:ind w:left="5040" w:hanging="360"/>
      </w:pPr>
      <w:rPr>
        <w:rFonts w:hint="default" w:ascii="Symbol" w:hAnsi="Symbol"/>
      </w:rPr>
    </w:lvl>
    <w:lvl w:ilvl="7" w:tplc="E1FC4420">
      <w:start w:val="1"/>
      <w:numFmt w:val="bullet"/>
      <w:lvlText w:val="o"/>
      <w:lvlJc w:val="left"/>
      <w:pPr>
        <w:ind w:left="5760" w:hanging="360"/>
      </w:pPr>
      <w:rPr>
        <w:rFonts w:hint="default" w:ascii="Courier New" w:hAnsi="Courier New"/>
      </w:rPr>
    </w:lvl>
    <w:lvl w:ilvl="8" w:tplc="F57E8C44">
      <w:start w:val="1"/>
      <w:numFmt w:val="bullet"/>
      <w:lvlText w:val=""/>
      <w:lvlJc w:val="left"/>
      <w:pPr>
        <w:ind w:left="6480" w:hanging="360"/>
      </w:pPr>
      <w:rPr>
        <w:rFonts w:hint="default" w:ascii="Wingdings" w:hAnsi="Wingdings"/>
      </w:rPr>
    </w:lvl>
  </w:abstractNum>
  <w:abstractNum w:abstractNumId="12">
    <w:nsid w:val="285F7857"/>
    <w:multiLevelType w:val="hybridMultilevel"/>
    <w:tmpl w:val="EFFA02BA"/>
    <w:lvl w:ilvl="0" w:tplc="14E84EF6">
      <w:start w:val="1"/>
      <w:numFmt w:val="bullet"/>
      <w:lvlText w:val=""/>
      <w:lvlJc w:val="left"/>
      <w:pPr>
        <w:ind w:left="720" w:hanging="360"/>
      </w:pPr>
      <w:rPr>
        <w:rFonts w:hint="default" w:ascii="Symbol" w:hAnsi="Symbol"/>
      </w:rPr>
    </w:lvl>
    <w:lvl w:ilvl="1" w:tplc="8D7AFD48">
      <w:start w:val="1"/>
      <w:numFmt w:val="bullet"/>
      <w:lvlText w:val="o"/>
      <w:lvlJc w:val="left"/>
      <w:pPr>
        <w:ind w:left="1440" w:hanging="360"/>
      </w:pPr>
      <w:rPr>
        <w:rFonts w:hint="default" w:ascii="Courier New" w:hAnsi="Courier New"/>
      </w:rPr>
    </w:lvl>
    <w:lvl w:ilvl="2" w:tplc="355099B0">
      <w:start w:val="1"/>
      <w:numFmt w:val="bullet"/>
      <w:lvlText w:val=""/>
      <w:lvlJc w:val="left"/>
      <w:pPr>
        <w:ind w:left="2160" w:hanging="360"/>
      </w:pPr>
      <w:rPr>
        <w:rFonts w:hint="default" w:ascii="Wingdings" w:hAnsi="Wingdings"/>
      </w:rPr>
    </w:lvl>
    <w:lvl w:ilvl="3" w:tplc="7DD6EDCE">
      <w:start w:val="1"/>
      <w:numFmt w:val="bullet"/>
      <w:lvlText w:val=""/>
      <w:lvlJc w:val="left"/>
      <w:pPr>
        <w:ind w:left="2880" w:hanging="360"/>
      </w:pPr>
      <w:rPr>
        <w:rFonts w:hint="default" w:ascii="Symbol" w:hAnsi="Symbol"/>
      </w:rPr>
    </w:lvl>
    <w:lvl w:ilvl="4" w:tplc="B5924142">
      <w:start w:val="1"/>
      <w:numFmt w:val="bullet"/>
      <w:lvlText w:val="o"/>
      <w:lvlJc w:val="left"/>
      <w:pPr>
        <w:ind w:left="3600" w:hanging="360"/>
      </w:pPr>
      <w:rPr>
        <w:rFonts w:hint="default" w:ascii="Courier New" w:hAnsi="Courier New"/>
      </w:rPr>
    </w:lvl>
    <w:lvl w:ilvl="5" w:tplc="E6841482">
      <w:start w:val="1"/>
      <w:numFmt w:val="bullet"/>
      <w:lvlText w:val=""/>
      <w:lvlJc w:val="left"/>
      <w:pPr>
        <w:ind w:left="4320" w:hanging="360"/>
      </w:pPr>
      <w:rPr>
        <w:rFonts w:hint="default" w:ascii="Wingdings" w:hAnsi="Wingdings"/>
      </w:rPr>
    </w:lvl>
    <w:lvl w:ilvl="6" w:tplc="15E8E01E">
      <w:start w:val="1"/>
      <w:numFmt w:val="bullet"/>
      <w:lvlText w:val=""/>
      <w:lvlJc w:val="left"/>
      <w:pPr>
        <w:ind w:left="5040" w:hanging="360"/>
      </w:pPr>
      <w:rPr>
        <w:rFonts w:hint="default" w:ascii="Symbol" w:hAnsi="Symbol"/>
      </w:rPr>
    </w:lvl>
    <w:lvl w:ilvl="7" w:tplc="81A2B8DE">
      <w:start w:val="1"/>
      <w:numFmt w:val="bullet"/>
      <w:lvlText w:val="o"/>
      <w:lvlJc w:val="left"/>
      <w:pPr>
        <w:ind w:left="5760" w:hanging="360"/>
      </w:pPr>
      <w:rPr>
        <w:rFonts w:hint="default" w:ascii="Courier New" w:hAnsi="Courier New"/>
      </w:rPr>
    </w:lvl>
    <w:lvl w:ilvl="8" w:tplc="A0788B08">
      <w:start w:val="1"/>
      <w:numFmt w:val="bullet"/>
      <w:lvlText w:val=""/>
      <w:lvlJc w:val="left"/>
      <w:pPr>
        <w:ind w:left="6480" w:hanging="360"/>
      </w:pPr>
      <w:rPr>
        <w:rFonts w:hint="default" w:ascii="Wingdings" w:hAnsi="Wingdings"/>
      </w:rPr>
    </w:lvl>
  </w:abstractNum>
  <w:abstractNum w:abstractNumId="13">
    <w:nsid w:val="44372A8C"/>
    <w:multiLevelType w:val="hybridMultilevel"/>
    <w:tmpl w:val="F53C9910"/>
    <w:lvl w:ilvl="0" w:tplc="7548B810">
      <w:start w:val="1"/>
      <w:numFmt w:val="decimal"/>
      <w:lvlText w:val="%1."/>
      <w:lvlJc w:val="left"/>
      <w:pPr>
        <w:ind w:left="720" w:hanging="360"/>
      </w:pPr>
    </w:lvl>
    <w:lvl w:ilvl="1" w:tplc="F5EE779C">
      <w:start w:val="1"/>
      <w:numFmt w:val="lowerLetter"/>
      <w:lvlText w:val="%2."/>
      <w:lvlJc w:val="left"/>
      <w:pPr>
        <w:ind w:left="1440" w:hanging="360"/>
      </w:pPr>
    </w:lvl>
    <w:lvl w:ilvl="2" w:tplc="F6163C86">
      <w:start w:val="1"/>
      <w:numFmt w:val="lowerRoman"/>
      <w:lvlText w:val="%3."/>
      <w:lvlJc w:val="right"/>
      <w:pPr>
        <w:ind w:left="2160" w:hanging="180"/>
      </w:pPr>
    </w:lvl>
    <w:lvl w:ilvl="3" w:tplc="6BBA474A">
      <w:start w:val="1"/>
      <w:numFmt w:val="decimal"/>
      <w:lvlText w:val="%4."/>
      <w:lvlJc w:val="left"/>
      <w:pPr>
        <w:ind w:left="2880" w:hanging="360"/>
      </w:pPr>
    </w:lvl>
    <w:lvl w:ilvl="4" w:tplc="3EE65718">
      <w:start w:val="1"/>
      <w:numFmt w:val="lowerLetter"/>
      <w:lvlText w:val="%5."/>
      <w:lvlJc w:val="left"/>
      <w:pPr>
        <w:ind w:left="3600" w:hanging="360"/>
      </w:pPr>
    </w:lvl>
    <w:lvl w:ilvl="5" w:tplc="AD8E97D8">
      <w:start w:val="1"/>
      <w:numFmt w:val="lowerRoman"/>
      <w:lvlText w:val="%6."/>
      <w:lvlJc w:val="right"/>
      <w:pPr>
        <w:ind w:left="4320" w:hanging="180"/>
      </w:pPr>
    </w:lvl>
    <w:lvl w:ilvl="6" w:tplc="AA76FC46">
      <w:start w:val="1"/>
      <w:numFmt w:val="decimal"/>
      <w:lvlText w:val="%7."/>
      <w:lvlJc w:val="left"/>
      <w:pPr>
        <w:ind w:left="5040" w:hanging="360"/>
      </w:pPr>
    </w:lvl>
    <w:lvl w:ilvl="7" w:tplc="D09A5360">
      <w:start w:val="1"/>
      <w:numFmt w:val="lowerLetter"/>
      <w:lvlText w:val="%8."/>
      <w:lvlJc w:val="left"/>
      <w:pPr>
        <w:ind w:left="5760" w:hanging="360"/>
      </w:pPr>
    </w:lvl>
    <w:lvl w:ilvl="8" w:tplc="DCE013CA">
      <w:start w:val="1"/>
      <w:numFmt w:val="lowerRoman"/>
      <w:lvlText w:val="%9."/>
      <w:lvlJc w:val="right"/>
      <w:pPr>
        <w:ind w:left="6480" w:hanging="180"/>
      </w:pPr>
    </w:lvl>
  </w:abstractNum>
  <w:abstractNum w:abstractNumId="14">
    <w:nsid w:val="45952CAB"/>
    <w:multiLevelType w:val="hybridMultilevel"/>
    <w:tmpl w:val="904C3F20"/>
    <w:lvl w:ilvl="0" w:tplc="F91C3B0E">
      <w:start w:val="1"/>
      <w:numFmt w:val="decimal"/>
      <w:lvlText w:val="%1."/>
      <w:lvlJc w:val="left"/>
      <w:pPr>
        <w:ind w:left="720" w:hanging="360"/>
      </w:pPr>
    </w:lvl>
    <w:lvl w:ilvl="1" w:tplc="01CE8E48">
      <w:start w:val="1"/>
      <w:numFmt w:val="bullet"/>
      <w:lvlText w:val=""/>
      <w:lvlJc w:val="left"/>
      <w:pPr>
        <w:ind w:left="1440" w:hanging="360"/>
      </w:pPr>
      <w:rPr>
        <w:rFonts w:hint="default" w:ascii="Symbol" w:hAnsi="Symbol"/>
      </w:rPr>
    </w:lvl>
    <w:lvl w:ilvl="2" w:tplc="083C566C">
      <w:start w:val="1"/>
      <w:numFmt w:val="lowerRoman"/>
      <w:lvlText w:val="%3."/>
      <w:lvlJc w:val="right"/>
      <w:pPr>
        <w:ind w:left="2160" w:hanging="180"/>
      </w:pPr>
    </w:lvl>
    <w:lvl w:ilvl="3" w:tplc="CD2CB972">
      <w:start w:val="1"/>
      <w:numFmt w:val="decimal"/>
      <w:lvlText w:val="%4."/>
      <w:lvlJc w:val="left"/>
      <w:pPr>
        <w:ind w:left="2880" w:hanging="360"/>
      </w:pPr>
    </w:lvl>
    <w:lvl w:ilvl="4" w:tplc="DD5CB44A">
      <w:start w:val="1"/>
      <w:numFmt w:val="lowerLetter"/>
      <w:lvlText w:val="%5."/>
      <w:lvlJc w:val="left"/>
      <w:pPr>
        <w:ind w:left="3600" w:hanging="360"/>
      </w:pPr>
    </w:lvl>
    <w:lvl w:ilvl="5" w:tplc="043EFD1E">
      <w:start w:val="1"/>
      <w:numFmt w:val="lowerRoman"/>
      <w:lvlText w:val="%6."/>
      <w:lvlJc w:val="right"/>
      <w:pPr>
        <w:ind w:left="4320" w:hanging="180"/>
      </w:pPr>
    </w:lvl>
    <w:lvl w:ilvl="6" w:tplc="2376B52E">
      <w:start w:val="1"/>
      <w:numFmt w:val="decimal"/>
      <w:lvlText w:val="%7."/>
      <w:lvlJc w:val="left"/>
      <w:pPr>
        <w:ind w:left="5040" w:hanging="360"/>
      </w:pPr>
    </w:lvl>
    <w:lvl w:ilvl="7" w:tplc="25464502">
      <w:start w:val="1"/>
      <w:numFmt w:val="lowerLetter"/>
      <w:lvlText w:val="%8."/>
      <w:lvlJc w:val="left"/>
      <w:pPr>
        <w:ind w:left="5760" w:hanging="360"/>
      </w:pPr>
    </w:lvl>
    <w:lvl w:ilvl="8" w:tplc="F1AAB2F2">
      <w:start w:val="1"/>
      <w:numFmt w:val="lowerRoman"/>
      <w:lvlText w:val="%9."/>
      <w:lvlJc w:val="right"/>
      <w:pPr>
        <w:ind w:left="6480" w:hanging="180"/>
      </w:pPr>
    </w:lvl>
  </w:abstractNum>
  <w:abstractNum w:abstractNumId="15">
    <w:nsid w:val="48D01DE2"/>
    <w:multiLevelType w:val="hybridMultilevel"/>
    <w:tmpl w:val="57301DB2"/>
    <w:lvl w:ilvl="0" w:tplc="B228329C">
      <w:start w:val="1"/>
      <w:numFmt w:val="decimal"/>
      <w:lvlText w:val="%1."/>
      <w:lvlJc w:val="left"/>
      <w:pPr>
        <w:ind w:left="720" w:hanging="360"/>
      </w:pPr>
    </w:lvl>
    <w:lvl w:ilvl="1" w:tplc="D4660EFC">
      <w:start w:val="1"/>
      <w:numFmt w:val="decimal"/>
      <w:lvlText w:val="%2."/>
      <w:lvlJc w:val="left"/>
      <w:pPr>
        <w:ind w:left="1440" w:hanging="360"/>
      </w:pPr>
    </w:lvl>
    <w:lvl w:ilvl="2" w:tplc="2424CED6">
      <w:start w:val="1"/>
      <w:numFmt w:val="lowerRoman"/>
      <w:lvlText w:val="%3."/>
      <w:lvlJc w:val="right"/>
      <w:pPr>
        <w:ind w:left="2160" w:hanging="180"/>
      </w:pPr>
    </w:lvl>
    <w:lvl w:ilvl="3" w:tplc="6032F516">
      <w:start w:val="1"/>
      <w:numFmt w:val="decimal"/>
      <w:lvlText w:val="%4."/>
      <w:lvlJc w:val="left"/>
      <w:pPr>
        <w:ind w:left="2880" w:hanging="360"/>
      </w:pPr>
    </w:lvl>
    <w:lvl w:ilvl="4" w:tplc="FA8099B2">
      <w:start w:val="1"/>
      <w:numFmt w:val="lowerLetter"/>
      <w:lvlText w:val="%5."/>
      <w:lvlJc w:val="left"/>
      <w:pPr>
        <w:ind w:left="3600" w:hanging="360"/>
      </w:pPr>
    </w:lvl>
    <w:lvl w:ilvl="5" w:tplc="C620689C">
      <w:start w:val="1"/>
      <w:numFmt w:val="lowerRoman"/>
      <w:lvlText w:val="%6."/>
      <w:lvlJc w:val="right"/>
      <w:pPr>
        <w:ind w:left="4320" w:hanging="180"/>
      </w:pPr>
    </w:lvl>
    <w:lvl w:ilvl="6" w:tplc="A49ECB34">
      <w:start w:val="1"/>
      <w:numFmt w:val="decimal"/>
      <w:lvlText w:val="%7."/>
      <w:lvlJc w:val="left"/>
      <w:pPr>
        <w:ind w:left="5040" w:hanging="360"/>
      </w:pPr>
    </w:lvl>
    <w:lvl w:ilvl="7" w:tplc="FFCAB70E">
      <w:start w:val="1"/>
      <w:numFmt w:val="lowerLetter"/>
      <w:lvlText w:val="%8."/>
      <w:lvlJc w:val="left"/>
      <w:pPr>
        <w:ind w:left="5760" w:hanging="360"/>
      </w:pPr>
    </w:lvl>
    <w:lvl w:ilvl="8" w:tplc="134A778E">
      <w:start w:val="1"/>
      <w:numFmt w:val="lowerRoman"/>
      <w:lvlText w:val="%9."/>
      <w:lvlJc w:val="right"/>
      <w:pPr>
        <w:ind w:left="6480" w:hanging="180"/>
      </w:pPr>
    </w:lvl>
  </w:abstractNum>
  <w:abstractNum w:abstractNumId="16">
    <w:nsid w:val="515C7B6B"/>
    <w:multiLevelType w:val="hybridMultilevel"/>
    <w:tmpl w:val="2EACE624"/>
    <w:lvl w:ilvl="0" w:tplc="926234FC">
      <w:start w:val="1"/>
      <w:numFmt w:val="bullet"/>
      <w:lvlText w:val=""/>
      <w:lvlJc w:val="left"/>
      <w:pPr>
        <w:ind w:left="720" w:hanging="360"/>
      </w:pPr>
      <w:rPr>
        <w:rFonts w:hint="default" w:ascii="Symbol" w:hAnsi="Symbol"/>
      </w:rPr>
    </w:lvl>
    <w:lvl w:ilvl="1" w:tplc="24C2A09A">
      <w:start w:val="1"/>
      <w:numFmt w:val="bullet"/>
      <w:lvlText w:val=""/>
      <w:lvlJc w:val="left"/>
      <w:pPr>
        <w:ind w:left="1440" w:hanging="360"/>
      </w:pPr>
      <w:rPr>
        <w:rFonts w:hint="default" w:ascii="Symbol" w:hAnsi="Symbol"/>
      </w:rPr>
    </w:lvl>
    <w:lvl w:ilvl="2" w:tplc="9F9CA018">
      <w:start w:val="1"/>
      <w:numFmt w:val="bullet"/>
      <w:lvlText w:val=""/>
      <w:lvlJc w:val="left"/>
      <w:pPr>
        <w:ind w:left="2160" w:hanging="360"/>
      </w:pPr>
      <w:rPr>
        <w:rFonts w:hint="default" w:ascii="Wingdings" w:hAnsi="Wingdings"/>
      </w:rPr>
    </w:lvl>
    <w:lvl w:ilvl="3" w:tplc="3A287EF6">
      <w:start w:val="1"/>
      <w:numFmt w:val="bullet"/>
      <w:lvlText w:val=""/>
      <w:lvlJc w:val="left"/>
      <w:pPr>
        <w:ind w:left="2880" w:hanging="360"/>
      </w:pPr>
      <w:rPr>
        <w:rFonts w:hint="default" w:ascii="Symbol" w:hAnsi="Symbol"/>
      </w:rPr>
    </w:lvl>
    <w:lvl w:ilvl="4" w:tplc="0F0207A4">
      <w:start w:val="1"/>
      <w:numFmt w:val="bullet"/>
      <w:lvlText w:val="o"/>
      <w:lvlJc w:val="left"/>
      <w:pPr>
        <w:ind w:left="3600" w:hanging="360"/>
      </w:pPr>
      <w:rPr>
        <w:rFonts w:hint="default" w:ascii="Courier New" w:hAnsi="Courier New"/>
      </w:rPr>
    </w:lvl>
    <w:lvl w:ilvl="5" w:tplc="9536B322">
      <w:start w:val="1"/>
      <w:numFmt w:val="bullet"/>
      <w:lvlText w:val=""/>
      <w:lvlJc w:val="left"/>
      <w:pPr>
        <w:ind w:left="4320" w:hanging="360"/>
      </w:pPr>
      <w:rPr>
        <w:rFonts w:hint="default" w:ascii="Wingdings" w:hAnsi="Wingdings"/>
      </w:rPr>
    </w:lvl>
    <w:lvl w:ilvl="6" w:tplc="A07075DC">
      <w:start w:val="1"/>
      <w:numFmt w:val="bullet"/>
      <w:lvlText w:val=""/>
      <w:lvlJc w:val="left"/>
      <w:pPr>
        <w:ind w:left="5040" w:hanging="360"/>
      </w:pPr>
      <w:rPr>
        <w:rFonts w:hint="default" w:ascii="Symbol" w:hAnsi="Symbol"/>
      </w:rPr>
    </w:lvl>
    <w:lvl w:ilvl="7" w:tplc="F6105D68">
      <w:start w:val="1"/>
      <w:numFmt w:val="bullet"/>
      <w:lvlText w:val="o"/>
      <w:lvlJc w:val="left"/>
      <w:pPr>
        <w:ind w:left="5760" w:hanging="360"/>
      </w:pPr>
      <w:rPr>
        <w:rFonts w:hint="default" w:ascii="Courier New" w:hAnsi="Courier New"/>
      </w:rPr>
    </w:lvl>
    <w:lvl w:ilvl="8" w:tplc="E37485C8">
      <w:start w:val="1"/>
      <w:numFmt w:val="bullet"/>
      <w:lvlText w:val=""/>
      <w:lvlJc w:val="left"/>
      <w:pPr>
        <w:ind w:left="6480" w:hanging="360"/>
      </w:pPr>
      <w:rPr>
        <w:rFonts w:hint="default" w:ascii="Wingdings" w:hAnsi="Wingdings"/>
      </w:rPr>
    </w:lvl>
  </w:abstractNum>
  <w:abstractNum w:abstractNumId="17">
    <w:nsid w:val="74180269"/>
    <w:multiLevelType w:val="hybridMultilevel"/>
    <w:tmpl w:val="60E84344"/>
    <w:lvl w:ilvl="0" w:tplc="FE28E57C">
      <w:start w:val="1"/>
      <w:numFmt w:val="bullet"/>
      <w:lvlText w:val=""/>
      <w:lvlJc w:val="left"/>
      <w:pPr>
        <w:ind w:left="720" w:hanging="360"/>
      </w:pPr>
      <w:rPr>
        <w:rFonts w:hint="default" w:ascii="Symbol" w:hAnsi="Symbol"/>
      </w:rPr>
    </w:lvl>
    <w:lvl w:ilvl="1" w:tplc="73E0D9CC">
      <w:start w:val="1"/>
      <w:numFmt w:val="bullet"/>
      <w:lvlText w:val=""/>
      <w:lvlJc w:val="left"/>
      <w:pPr>
        <w:ind w:left="1440" w:hanging="360"/>
      </w:pPr>
      <w:rPr>
        <w:rFonts w:hint="default" w:ascii="Symbol" w:hAnsi="Symbol"/>
      </w:rPr>
    </w:lvl>
    <w:lvl w:ilvl="2" w:tplc="ED08CE70">
      <w:start w:val="1"/>
      <w:numFmt w:val="bullet"/>
      <w:lvlText w:val=""/>
      <w:lvlJc w:val="left"/>
      <w:pPr>
        <w:ind w:left="2160" w:hanging="360"/>
      </w:pPr>
      <w:rPr>
        <w:rFonts w:hint="default" w:ascii="Wingdings" w:hAnsi="Wingdings"/>
      </w:rPr>
    </w:lvl>
    <w:lvl w:ilvl="3" w:tplc="49C692B4">
      <w:start w:val="1"/>
      <w:numFmt w:val="bullet"/>
      <w:lvlText w:val=""/>
      <w:lvlJc w:val="left"/>
      <w:pPr>
        <w:ind w:left="2880" w:hanging="360"/>
      </w:pPr>
      <w:rPr>
        <w:rFonts w:hint="default" w:ascii="Symbol" w:hAnsi="Symbol"/>
      </w:rPr>
    </w:lvl>
    <w:lvl w:ilvl="4" w:tplc="8C143CCE">
      <w:start w:val="1"/>
      <w:numFmt w:val="bullet"/>
      <w:lvlText w:val="o"/>
      <w:lvlJc w:val="left"/>
      <w:pPr>
        <w:ind w:left="3600" w:hanging="360"/>
      </w:pPr>
      <w:rPr>
        <w:rFonts w:hint="default" w:ascii="Courier New" w:hAnsi="Courier New"/>
      </w:rPr>
    </w:lvl>
    <w:lvl w:ilvl="5" w:tplc="FECA23DC">
      <w:start w:val="1"/>
      <w:numFmt w:val="bullet"/>
      <w:lvlText w:val=""/>
      <w:lvlJc w:val="left"/>
      <w:pPr>
        <w:ind w:left="4320" w:hanging="360"/>
      </w:pPr>
      <w:rPr>
        <w:rFonts w:hint="default" w:ascii="Wingdings" w:hAnsi="Wingdings"/>
      </w:rPr>
    </w:lvl>
    <w:lvl w:ilvl="6" w:tplc="018A8382">
      <w:start w:val="1"/>
      <w:numFmt w:val="bullet"/>
      <w:lvlText w:val=""/>
      <w:lvlJc w:val="left"/>
      <w:pPr>
        <w:ind w:left="5040" w:hanging="360"/>
      </w:pPr>
      <w:rPr>
        <w:rFonts w:hint="default" w:ascii="Symbol" w:hAnsi="Symbol"/>
      </w:rPr>
    </w:lvl>
    <w:lvl w:ilvl="7" w:tplc="81063A0A">
      <w:start w:val="1"/>
      <w:numFmt w:val="bullet"/>
      <w:lvlText w:val="o"/>
      <w:lvlJc w:val="left"/>
      <w:pPr>
        <w:ind w:left="5760" w:hanging="360"/>
      </w:pPr>
      <w:rPr>
        <w:rFonts w:hint="default" w:ascii="Courier New" w:hAnsi="Courier New"/>
      </w:rPr>
    </w:lvl>
    <w:lvl w:ilvl="8" w:tplc="0CFEF15C">
      <w:start w:val="1"/>
      <w:numFmt w:val="bullet"/>
      <w:lvlText w:val=""/>
      <w:lvlJc w:val="left"/>
      <w:pPr>
        <w:ind w:left="6480" w:hanging="360"/>
      </w:pPr>
      <w:rPr>
        <w:rFonts w:hint="default" w:ascii="Wingdings" w:hAnsi="Wingdings"/>
      </w:rPr>
    </w:lvl>
  </w:abstractNum>
  <w:abstractNum w:abstractNumId="18">
    <w:nsid w:val="74F11CE1"/>
    <w:multiLevelType w:val="hybridMultilevel"/>
    <w:tmpl w:val="4502C400"/>
    <w:lvl w:ilvl="0" w:tplc="F0A6CAA8">
      <w:start w:val="1"/>
      <w:numFmt w:val="bullet"/>
      <w:lvlText w:val=""/>
      <w:lvlJc w:val="left"/>
      <w:pPr>
        <w:ind w:left="720" w:hanging="360"/>
      </w:pPr>
      <w:rPr>
        <w:rFonts w:hint="default" w:ascii="Symbol" w:hAnsi="Symbol"/>
      </w:rPr>
    </w:lvl>
    <w:lvl w:ilvl="1" w:tplc="28968D1E">
      <w:start w:val="1"/>
      <w:numFmt w:val="bullet"/>
      <w:lvlText w:val="o"/>
      <w:lvlJc w:val="left"/>
      <w:pPr>
        <w:ind w:left="1440" w:hanging="360"/>
      </w:pPr>
      <w:rPr>
        <w:rFonts w:hint="default" w:ascii="Courier New" w:hAnsi="Courier New"/>
      </w:rPr>
    </w:lvl>
    <w:lvl w:ilvl="2" w:tplc="510A6CE2">
      <w:start w:val="1"/>
      <w:numFmt w:val="bullet"/>
      <w:lvlText w:val=""/>
      <w:lvlJc w:val="left"/>
      <w:pPr>
        <w:ind w:left="2160" w:hanging="360"/>
      </w:pPr>
      <w:rPr>
        <w:rFonts w:hint="default" w:ascii="Wingdings" w:hAnsi="Wingdings"/>
      </w:rPr>
    </w:lvl>
    <w:lvl w:ilvl="3" w:tplc="89E8FA50">
      <w:start w:val="1"/>
      <w:numFmt w:val="bullet"/>
      <w:lvlText w:val=""/>
      <w:lvlJc w:val="left"/>
      <w:pPr>
        <w:ind w:left="2880" w:hanging="360"/>
      </w:pPr>
      <w:rPr>
        <w:rFonts w:hint="default" w:ascii="Symbol" w:hAnsi="Symbol"/>
      </w:rPr>
    </w:lvl>
    <w:lvl w:ilvl="4" w:tplc="5874EAE0">
      <w:start w:val="1"/>
      <w:numFmt w:val="bullet"/>
      <w:lvlText w:val="o"/>
      <w:lvlJc w:val="left"/>
      <w:pPr>
        <w:ind w:left="3600" w:hanging="360"/>
      </w:pPr>
      <w:rPr>
        <w:rFonts w:hint="default" w:ascii="Courier New" w:hAnsi="Courier New"/>
      </w:rPr>
    </w:lvl>
    <w:lvl w:ilvl="5" w:tplc="3BA48728">
      <w:start w:val="1"/>
      <w:numFmt w:val="bullet"/>
      <w:lvlText w:val=""/>
      <w:lvlJc w:val="left"/>
      <w:pPr>
        <w:ind w:left="4320" w:hanging="360"/>
      </w:pPr>
      <w:rPr>
        <w:rFonts w:hint="default" w:ascii="Wingdings" w:hAnsi="Wingdings"/>
      </w:rPr>
    </w:lvl>
    <w:lvl w:ilvl="6" w:tplc="79645C68">
      <w:start w:val="1"/>
      <w:numFmt w:val="bullet"/>
      <w:lvlText w:val=""/>
      <w:lvlJc w:val="left"/>
      <w:pPr>
        <w:ind w:left="5040" w:hanging="360"/>
      </w:pPr>
      <w:rPr>
        <w:rFonts w:hint="default" w:ascii="Symbol" w:hAnsi="Symbol"/>
      </w:rPr>
    </w:lvl>
    <w:lvl w:ilvl="7" w:tplc="7264EEB2">
      <w:start w:val="1"/>
      <w:numFmt w:val="bullet"/>
      <w:lvlText w:val="o"/>
      <w:lvlJc w:val="left"/>
      <w:pPr>
        <w:ind w:left="5760" w:hanging="360"/>
      </w:pPr>
      <w:rPr>
        <w:rFonts w:hint="default" w:ascii="Courier New" w:hAnsi="Courier New"/>
      </w:rPr>
    </w:lvl>
    <w:lvl w:ilvl="8" w:tplc="B19E9AA0">
      <w:start w:val="1"/>
      <w:numFmt w:val="bullet"/>
      <w:lvlText w:val=""/>
      <w:lvlJc w:val="left"/>
      <w:pPr>
        <w:ind w:left="6480" w:hanging="360"/>
      </w:pPr>
      <w:rPr>
        <w:rFonts w:hint="default" w:ascii="Wingdings" w:hAnsi="Wingdings"/>
      </w:rPr>
    </w:lvl>
  </w:abstractNum>
  <w:abstractNum w:abstractNumId="19">
    <w:nsid w:val="76B00401"/>
    <w:multiLevelType w:val="hybridMultilevel"/>
    <w:tmpl w:val="9BDCBE34"/>
    <w:lvl w:ilvl="0" w:tplc="6AB8727E">
      <w:start w:val="1"/>
      <w:numFmt w:val="bullet"/>
      <w:lvlText w:val=""/>
      <w:lvlJc w:val="left"/>
      <w:pPr>
        <w:ind w:left="720" w:hanging="360"/>
      </w:pPr>
      <w:rPr>
        <w:rFonts w:hint="default" w:ascii="Symbol" w:hAnsi="Symbol"/>
      </w:rPr>
    </w:lvl>
    <w:lvl w:ilvl="1" w:tplc="B33225E6">
      <w:start w:val="1"/>
      <w:numFmt w:val="bullet"/>
      <w:lvlText w:val="o"/>
      <w:lvlJc w:val="left"/>
      <w:pPr>
        <w:ind w:left="1440" w:hanging="360"/>
      </w:pPr>
      <w:rPr>
        <w:rFonts w:hint="default" w:ascii="Courier New" w:hAnsi="Courier New"/>
      </w:rPr>
    </w:lvl>
    <w:lvl w:ilvl="2" w:tplc="6BCC1208">
      <w:start w:val="1"/>
      <w:numFmt w:val="bullet"/>
      <w:lvlText w:val=""/>
      <w:lvlJc w:val="left"/>
      <w:pPr>
        <w:ind w:left="2160" w:hanging="360"/>
      </w:pPr>
      <w:rPr>
        <w:rFonts w:hint="default" w:ascii="Wingdings" w:hAnsi="Wingdings"/>
      </w:rPr>
    </w:lvl>
    <w:lvl w:ilvl="3" w:tplc="17FED114">
      <w:start w:val="1"/>
      <w:numFmt w:val="bullet"/>
      <w:lvlText w:val=""/>
      <w:lvlJc w:val="left"/>
      <w:pPr>
        <w:ind w:left="2880" w:hanging="360"/>
      </w:pPr>
      <w:rPr>
        <w:rFonts w:hint="default" w:ascii="Symbol" w:hAnsi="Symbol"/>
      </w:rPr>
    </w:lvl>
    <w:lvl w:ilvl="4" w:tplc="7CBA5D56">
      <w:start w:val="1"/>
      <w:numFmt w:val="bullet"/>
      <w:lvlText w:val="o"/>
      <w:lvlJc w:val="left"/>
      <w:pPr>
        <w:ind w:left="3600" w:hanging="360"/>
      </w:pPr>
      <w:rPr>
        <w:rFonts w:hint="default" w:ascii="Courier New" w:hAnsi="Courier New"/>
      </w:rPr>
    </w:lvl>
    <w:lvl w:ilvl="5" w:tplc="14E29F22">
      <w:start w:val="1"/>
      <w:numFmt w:val="bullet"/>
      <w:lvlText w:val=""/>
      <w:lvlJc w:val="left"/>
      <w:pPr>
        <w:ind w:left="4320" w:hanging="360"/>
      </w:pPr>
      <w:rPr>
        <w:rFonts w:hint="default" w:ascii="Wingdings" w:hAnsi="Wingdings"/>
      </w:rPr>
    </w:lvl>
    <w:lvl w:ilvl="6" w:tplc="88A0F7C4">
      <w:start w:val="1"/>
      <w:numFmt w:val="bullet"/>
      <w:lvlText w:val=""/>
      <w:lvlJc w:val="left"/>
      <w:pPr>
        <w:ind w:left="5040" w:hanging="360"/>
      </w:pPr>
      <w:rPr>
        <w:rFonts w:hint="default" w:ascii="Symbol" w:hAnsi="Symbol"/>
      </w:rPr>
    </w:lvl>
    <w:lvl w:ilvl="7" w:tplc="E09A2094">
      <w:start w:val="1"/>
      <w:numFmt w:val="bullet"/>
      <w:lvlText w:val="o"/>
      <w:lvlJc w:val="left"/>
      <w:pPr>
        <w:ind w:left="5760" w:hanging="360"/>
      </w:pPr>
      <w:rPr>
        <w:rFonts w:hint="default" w:ascii="Courier New" w:hAnsi="Courier New"/>
      </w:rPr>
    </w:lvl>
    <w:lvl w:ilvl="8" w:tplc="1BE6917C">
      <w:start w:val="1"/>
      <w:numFmt w:val="bullet"/>
      <w:lvlText w:val=""/>
      <w:lvlJc w:val="left"/>
      <w:pPr>
        <w:ind w:left="6480" w:hanging="360"/>
      </w:pPr>
      <w:rPr>
        <w:rFonts w:hint="default" w:ascii="Wingdings" w:hAnsi="Wingdings"/>
      </w:rPr>
    </w:lvl>
  </w:abstractNum>
  <w:abstractNum w:abstractNumId="20">
    <w:nsid w:val="778A360F"/>
    <w:multiLevelType w:val="hybridMultilevel"/>
    <w:tmpl w:val="470AA0E8"/>
    <w:lvl w:ilvl="0" w:tplc="7A7A2AC0">
      <w:start w:val="1"/>
      <w:numFmt w:val="bullet"/>
      <w:lvlText w:val=""/>
      <w:lvlJc w:val="left"/>
      <w:pPr>
        <w:ind w:left="720" w:hanging="360"/>
      </w:pPr>
      <w:rPr>
        <w:rFonts w:hint="default" w:ascii="Symbol" w:hAnsi="Symbol"/>
      </w:rPr>
    </w:lvl>
    <w:lvl w:ilvl="1" w:tplc="57D05868">
      <w:start w:val="1"/>
      <w:numFmt w:val="bullet"/>
      <w:lvlText w:val=""/>
      <w:lvlJc w:val="left"/>
      <w:pPr>
        <w:ind w:left="1440" w:hanging="360"/>
      </w:pPr>
      <w:rPr>
        <w:rFonts w:hint="default" w:ascii="Symbol" w:hAnsi="Symbol"/>
      </w:rPr>
    </w:lvl>
    <w:lvl w:ilvl="2" w:tplc="28E2DD9E">
      <w:start w:val="1"/>
      <w:numFmt w:val="bullet"/>
      <w:lvlText w:val=""/>
      <w:lvlJc w:val="left"/>
      <w:pPr>
        <w:ind w:left="2160" w:hanging="360"/>
      </w:pPr>
      <w:rPr>
        <w:rFonts w:hint="default" w:ascii="Wingdings" w:hAnsi="Wingdings"/>
      </w:rPr>
    </w:lvl>
    <w:lvl w:ilvl="3" w:tplc="9D901B32">
      <w:start w:val="1"/>
      <w:numFmt w:val="bullet"/>
      <w:lvlText w:val=""/>
      <w:lvlJc w:val="left"/>
      <w:pPr>
        <w:ind w:left="2880" w:hanging="360"/>
      </w:pPr>
      <w:rPr>
        <w:rFonts w:hint="default" w:ascii="Symbol" w:hAnsi="Symbol"/>
      </w:rPr>
    </w:lvl>
    <w:lvl w:ilvl="4" w:tplc="8E526F94">
      <w:start w:val="1"/>
      <w:numFmt w:val="bullet"/>
      <w:lvlText w:val="o"/>
      <w:lvlJc w:val="left"/>
      <w:pPr>
        <w:ind w:left="3600" w:hanging="360"/>
      </w:pPr>
      <w:rPr>
        <w:rFonts w:hint="default" w:ascii="Courier New" w:hAnsi="Courier New"/>
      </w:rPr>
    </w:lvl>
    <w:lvl w:ilvl="5" w:tplc="11ECCB70">
      <w:start w:val="1"/>
      <w:numFmt w:val="bullet"/>
      <w:lvlText w:val=""/>
      <w:lvlJc w:val="left"/>
      <w:pPr>
        <w:ind w:left="4320" w:hanging="360"/>
      </w:pPr>
      <w:rPr>
        <w:rFonts w:hint="default" w:ascii="Wingdings" w:hAnsi="Wingdings"/>
      </w:rPr>
    </w:lvl>
    <w:lvl w:ilvl="6" w:tplc="32B23786">
      <w:start w:val="1"/>
      <w:numFmt w:val="bullet"/>
      <w:lvlText w:val=""/>
      <w:lvlJc w:val="left"/>
      <w:pPr>
        <w:ind w:left="5040" w:hanging="360"/>
      </w:pPr>
      <w:rPr>
        <w:rFonts w:hint="default" w:ascii="Symbol" w:hAnsi="Symbol"/>
      </w:rPr>
    </w:lvl>
    <w:lvl w:ilvl="7" w:tplc="579465AC">
      <w:start w:val="1"/>
      <w:numFmt w:val="bullet"/>
      <w:lvlText w:val="o"/>
      <w:lvlJc w:val="left"/>
      <w:pPr>
        <w:ind w:left="5760" w:hanging="360"/>
      </w:pPr>
      <w:rPr>
        <w:rFonts w:hint="default" w:ascii="Courier New" w:hAnsi="Courier New"/>
      </w:rPr>
    </w:lvl>
    <w:lvl w:ilvl="8" w:tplc="DC36A84E">
      <w:start w:val="1"/>
      <w:numFmt w:val="bullet"/>
      <w:lvlText w:val=""/>
      <w:lvlJc w:val="left"/>
      <w:pPr>
        <w:ind w:left="6480" w:hanging="360"/>
      </w:pPr>
      <w:rPr>
        <w:rFonts w:hint="default" w:ascii="Wingdings" w:hAnsi="Wingdings"/>
      </w:rPr>
    </w:lvl>
  </w:abstractNum>
  <w:num w:numId="1">
    <w:abstractNumId w:val="20"/>
  </w:num>
  <w:num w:numId="2">
    <w:abstractNumId w:val="11"/>
  </w:num>
  <w:num w:numId="3">
    <w:abstractNumId w:val="14"/>
  </w:num>
  <w:num w:numId="4">
    <w:abstractNumId w:val="16"/>
  </w:num>
  <w:num w:numId="5">
    <w:abstractNumId w:val="17"/>
  </w:num>
  <w:num w:numId="6">
    <w:abstractNumId w:val="19"/>
  </w:num>
  <w:num w:numId="7">
    <w:abstractNumId w:val="18"/>
  </w:num>
  <w:num w:numId="8">
    <w:abstractNumId w:val="12"/>
  </w:num>
  <w:num w:numId="9">
    <w:abstractNumId w:val="10"/>
  </w:num>
  <w:num w:numId="10">
    <w:abstractNumId w:val="13"/>
  </w:num>
  <w:num w:numId="11">
    <w:abstractNumId w:val="15"/>
  </w:num>
  <w:num w:numId="12">
    <w:abstractNumId w:val="9"/>
  </w:num>
  <w:num w:numId="13">
    <w:abstractNumId w:val="7"/>
  </w:num>
  <w:num w:numId="14">
    <w:abstractNumId w:val="6"/>
  </w:num>
  <w:num w:numId="15">
    <w:abstractNumId w:val="5"/>
  </w:num>
  <w:num w:numId="16">
    <w:abstractNumId w:val="4"/>
  </w:num>
  <w:num w:numId="17">
    <w:abstractNumId w:val="8"/>
  </w:num>
  <w:num w:numId="18">
    <w:abstractNumId w:val="3"/>
  </w:num>
  <w:num w:numId="19">
    <w:abstractNumId w:val="2"/>
  </w:num>
  <w:num w:numId="20">
    <w:abstractNumId w:val="1"/>
  </w:num>
  <w:num w:numId="21">
    <w:abstractNumId w:val="0"/>
  </w:num>
  <w:num w:numId="22">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trackRevisions w:val="false"/>
  <w:defaultTabStop w:val="720"/>
  <w:defaultTableStyle w:val="APAReport"/>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52CB40B"/>
    <w:rsid w:val="001F46F0"/>
    <w:rsid w:val="005D31DF"/>
    <w:rsid w:val="00A212C2"/>
    <w:rsid w:val="0AA24152"/>
    <w:rsid w:val="256431E5"/>
    <w:rsid w:val="39240CDE"/>
    <w:rsid w:val="3BD42089"/>
    <w:rsid w:val="48C37A2E"/>
    <w:rsid w:val="4908559C"/>
    <w:rsid w:val="552CB40B"/>
    <w:rsid w:val="5A4E8F03"/>
    <w:rsid w:val="638806D3"/>
    <w:rsid w:val="65BB128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2CB40B"/>
  <w15:chartTrackingRefBased/>
  <w15:docId w15:val="{292CD536-D99D-4B9E-B90B-AEC6D5F3B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hAnsiTheme="minorHAnsi" w:eastAsiaTheme="minorEastAsia" w:cstheme="minorBidi"/>
        <w:color w:val="000000" w:themeColor="text1"/>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uiPriority="3" w:semiHidden="1" w:unhideWhenUsed="1" w:qFormat="1"/>
    <w:lsdException w:name="heading 3" w:uiPriority="3" w:semiHidden="1" w:unhideWhenUsed="1" w:qFormat="1"/>
    <w:lsdException w:name="heading 4" w:uiPriority="3" w:semiHidden="1" w:unhideWhenUsed="1" w:qFormat="1"/>
    <w:lsdException w:name="heading 5" w:uiPriority="3" w:semiHidden="1" w:unhideWhenUsed="1" w:qFormat="1"/>
    <w:lsdException w:name="heading 6" w:uiPriority="9" w:semiHidden="1" w:qFormat="1"/>
    <w:lsdException w:name="heading 7" w:uiPriority="9" w:semiHidden="1" w:qFormat="1"/>
    <w:lsdException w:name="heading 8" w:uiPriority="9" w:semiHidden="1" w:qFormat="1"/>
    <w:lsdException w:name="heading 9" w:uiPriority="9" w:semiHidden="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8" w:semiHidden="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semiHidden="1" w:unhideWhenUsed="1" w:qFormat="1"/>
    <w:lsdException w:name="Emphasis" w:uiPriority="20" w:semiHidden="1"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semiHidden="1" w:unhideWhenUsed="1" w:qFormat="1"/>
    <w:lsdException w:name="Quote" w:uiPriority="29" w:semiHidden="1" w:unhideWhenUsed="1" w:qFormat="1"/>
    <w:lsdException w:name="Intense Quote" w:uiPriority="30" w:semiHidden="1"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semiHidden="1" w:unhideWhenUsed="1" w:qFormat="1"/>
    <w:lsdException w:name="Intense Emphasis" w:uiPriority="21" w:semiHidden="1" w:unhideWhenUsed="1" w:qFormat="1"/>
    <w:lsdException w:name="Subtle Reference" w:uiPriority="31" w:semiHidden="1" w:unhideWhenUsed="1" w:qFormat="1"/>
    <w:lsdException w:name="Intense Reference" w:uiPriority="32" w:semiHidden="1" w:unhideWhenUsed="1" w:qFormat="1"/>
    <w:lsdException w:name="Book Title" w:uiPriority="33" w:semiHidden="1" w:unhideWhenUsed="1" w:qFormat="1"/>
    <w:lsdException w:name="Bibliography" w:uiPriority="37" w:semiHidden="1" w:unhideWhenUsed="1" w:qFormat="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a1" w:default="1">
    <w:name w:val="Normal"/>
    <w:qFormat/>
  </w:style>
  <w:style w:type="paragraph" w:styleId="1">
    <w:name w:val="heading 1"/>
    <w:basedOn w:val="a1"/>
    <w:next w:val="a1"/>
    <w:link w:val="1Char"/>
    <w:uiPriority w:val="3"/>
    <w:qFormat/>
    <w:pPr>
      <w:keepNext/>
      <w:keepLines/>
      <w:ind w:firstLine="0"/>
      <w:jc w:val="center"/>
      <w:outlineLvl w:val="0"/>
    </w:pPr>
    <w:rPr>
      <w:rFonts w:asciiTheme="majorHAnsi" w:hAnsiTheme="majorHAnsi" w:eastAsiaTheme="majorEastAsia" w:cstheme="majorBidi"/>
      <w:b/>
      <w:bCs/>
    </w:rPr>
  </w:style>
  <w:style w:type="paragraph" w:styleId="21">
    <w:name w:val="heading 2"/>
    <w:basedOn w:val="a1"/>
    <w:next w:val="a1"/>
    <w:link w:val="2Char"/>
    <w:uiPriority w:val="3"/>
    <w:unhideWhenUsed/>
    <w:qFormat/>
    <w:pPr>
      <w:keepNext/>
      <w:keepLines/>
      <w:ind w:firstLine="0"/>
      <w:outlineLvl w:val="1"/>
    </w:pPr>
    <w:rPr>
      <w:rFonts w:asciiTheme="majorHAnsi" w:hAnsiTheme="majorHAnsi" w:eastAsiaTheme="majorEastAsia" w:cstheme="majorBidi"/>
      <w:b/>
      <w:bCs/>
    </w:rPr>
  </w:style>
  <w:style w:type="paragraph" w:styleId="31">
    <w:name w:val="heading 3"/>
    <w:basedOn w:val="a1"/>
    <w:next w:val="a1"/>
    <w:link w:val="3Char"/>
    <w:uiPriority w:val="3"/>
    <w:unhideWhenUsed/>
    <w:qFormat/>
    <w:pPr>
      <w:keepNext/>
      <w:keepLines/>
      <w:outlineLvl w:val="2"/>
    </w:pPr>
    <w:rPr>
      <w:rFonts w:asciiTheme="majorHAnsi" w:hAnsiTheme="majorHAnsi" w:eastAsiaTheme="majorEastAsia" w:cstheme="majorBidi"/>
      <w:b/>
      <w:bCs/>
    </w:rPr>
  </w:style>
  <w:style w:type="paragraph" w:styleId="41">
    <w:name w:val="heading 4"/>
    <w:basedOn w:val="a1"/>
    <w:next w:val="a1"/>
    <w:link w:val="4Char"/>
    <w:uiPriority w:val="3"/>
    <w:unhideWhenUsed/>
    <w:qFormat/>
    <w:pPr>
      <w:keepNext/>
      <w:keepLines/>
      <w:outlineLvl w:val="3"/>
    </w:pPr>
    <w:rPr>
      <w:rFonts w:asciiTheme="majorHAnsi" w:hAnsiTheme="majorHAnsi" w:eastAsiaTheme="majorEastAsia" w:cstheme="majorBidi"/>
      <w:b/>
      <w:bCs/>
      <w:i/>
      <w:iCs/>
    </w:rPr>
  </w:style>
  <w:style w:type="paragraph" w:styleId="51">
    <w:name w:val="heading 5"/>
    <w:basedOn w:val="a1"/>
    <w:next w:val="a1"/>
    <w:link w:val="5Char"/>
    <w:uiPriority w:val="3"/>
    <w:unhideWhenUsed/>
    <w:qFormat/>
    <w:pPr>
      <w:keepNext/>
      <w:keepLines/>
      <w:outlineLvl w:val="4"/>
    </w:pPr>
    <w:rPr>
      <w:rFonts w:asciiTheme="majorHAnsi" w:hAnsiTheme="majorHAnsi" w:eastAsiaTheme="majorEastAsia" w:cstheme="majorBidi"/>
      <w:i/>
      <w:iCs/>
    </w:rPr>
  </w:style>
  <w:style w:type="paragraph" w:styleId="6">
    <w:name w:val="heading 6"/>
    <w:basedOn w:val="a1"/>
    <w:next w:val="a1"/>
    <w:link w:val="6Char"/>
    <w:uiPriority w:val="9"/>
    <w:semiHidden/>
    <w:qFormat/>
    <w:pPr>
      <w:keepNext/>
      <w:keepLines/>
      <w:spacing w:before="40"/>
      <w:ind w:firstLine="0"/>
      <w:outlineLvl w:val="5"/>
    </w:pPr>
    <w:rPr>
      <w:rFonts w:asciiTheme="majorHAnsi" w:hAnsiTheme="majorHAnsi" w:eastAsiaTheme="majorEastAsia" w:cstheme="majorBidi"/>
      <w:color w:val="6E6E6E" w:themeColor="accent1" w:themeShade="7F"/>
    </w:rPr>
  </w:style>
  <w:style w:type="paragraph" w:styleId="7">
    <w:name w:val="heading 7"/>
    <w:basedOn w:val="a1"/>
    <w:next w:val="a1"/>
    <w:link w:val="7Char"/>
    <w:uiPriority w:val="9"/>
    <w:semiHidden/>
    <w:qFormat/>
    <w:pPr>
      <w:keepNext/>
      <w:keepLines/>
      <w:spacing w:before="40"/>
      <w:ind w:firstLine="0"/>
      <w:outlineLvl w:val="6"/>
    </w:pPr>
    <w:rPr>
      <w:rFonts w:asciiTheme="majorHAnsi" w:hAnsiTheme="majorHAnsi" w:eastAsiaTheme="majorEastAsia" w:cstheme="majorBidi"/>
      <w:i/>
      <w:iCs/>
      <w:color w:val="6E6E6E" w:themeColor="accent1" w:themeShade="7F"/>
    </w:rPr>
  </w:style>
  <w:style w:type="paragraph" w:styleId="8">
    <w:name w:val="heading 8"/>
    <w:basedOn w:val="a1"/>
    <w:next w:val="a1"/>
    <w:link w:val="8Char"/>
    <w:uiPriority w:val="9"/>
    <w:semiHidden/>
    <w:qFormat/>
    <w:pPr>
      <w:keepNext/>
      <w:keepLines/>
      <w:spacing w:before="40"/>
      <w:ind w:firstLine="0"/>
      <w:outlineLvl w:val="7"/>
    </w:pPr>
    <w:rPr>
      <w:rFonts w:asciiTheme="majorHAnsi" w:hAnsiTheme="majorHAnsi" w:eastAsiaTheme="majorEastAsia" w:cstheme="majorBidi"/>
      <w:color w:val="272727" w:themeColor="text1" w:themeTint="D8"/>
      <w:sz w:val="21"/>
      <w:szCs w:val="21"/>
    </w:rPr>
  </w:style>
  <w:style w:type="paragraph" w:styleId="9">
    <w:name w:val="heading 9"/>
    <w:basedOn w:val="a1"/>
    <w:next w:val="a1"/>
    <w:link w:val="9Char"/>
    <w:uiPriority w:val="9"/>
    <w:semiHidden/>
    <w:qFormat/>
    <w:pPr>
      <w:keepNext/>
      <w:keepLines/>
      <w:spacing w:before="40"/>
      <w:ind w:firstLine="0"/>
      <w:outlineLvl w:val="8"/>
    </w:pPr>
    <w:rPr>
      <w:rFonts w:asciiTheme="majorHAnsi" w:hAnsiTheme="majorHAnsi" w:eastAsiaTheme="majorEastAsia" w:cstheme="majorBidi"/>
      <w:i/>
      <w:iCs/>
      <w:color w:val="272727" w:themeColor="text1" w:themeTint="D8"/>
      <w:sz w:val="21"/>
      <w:szCs w:val="21"/>
    </w:rPr>
  </w:style>
  <w:style w:type="character" w:styleId="a2" w:default="1">
    <w:name w:val="Default Paragraph Font"/>
    <w:uiPriority w:val="1"/>
    <w:semiHidden/>
    <w:unhideWhenUsed/>
  </w:style>
  <w:style w:type="table" w:styleId="a3" w:default="1">
    <w:name w:val="Normal Table"/>
    <w:uiPriority w:val="99"/>
    <w:semiHidden/>
    <w:unhideWhenUsed/>
    <w:tblPr>
      <w:tblInd w:w="0" w:type="dxa"/>
      <w:tblCellMar>
        <w:top w:w="0" w:type="dxa"/>
        <w:left w:w="108" w:type="dxa"/>
        <w:bottom w:w="0" w:type="dxa"/>
        <w:right w:w="108" w:type="dxa"/>
      </w:tblCellMar>
    </w:tblPr>
  </w:style>
  <w:style w:type="numbering" w:styleId="a4" w:default="1">
    <w:name w:val="No List"/>
    <w:uiPriority w:val="99"/>
    <w:semiHidden/>
    <w:unhideWhenUsed/>
  </w:style>
  <w:style w:type="paragraph" w:styleId="SectionTitle" w:customStyle="1">
    <w:name w:val="Section Title"/>
    <w:basedOn w:val="a1"/>
    <w:next w:val="a1"/>
    <w:uiPriority w:val="2"/>
    <w:qFormat/>
    <w:pPr>
      <w:pageBreakBefore/>
      <w:ind w:firstLine="0"/>
      <w:jc w:val="center"/>
      <w:outlineLvl w:val="0"/>
    </w:pPr>
    <w:rPr>
      <w:rFonts w:asciiTheme="majorHAnsi" w:hAnsiTheme="majorHAnsi" w:eastAsiaTheme="majorEastAsia" w:cstheme="majorBidi"/>
    </w:rPr>
  </w:style>
  <w:style w:type="paragraph" w:styleId="a5">
    <w:name w:val="header"/>
    <w:basedOn w:val="a1"/>
    <w:link w:val="Char"/>
    <w:uiPriority w:val="99"/>
    <w:unhideWhenUsed/>
    <w:qFormat/>
    <w:pPr>
      <w:spacing w:line="240" w:lineRule="auto"/>
      <w:ind w:firstLine="0"/>
    </w:pPr>
  </w:style>
  <w:style w:type="character" w:styleId="Char" w:customStyle="1">
    <w:name w:val="رأس الصفحة Char"/>
    <w:basedOn w:val="a2"/>
    <w:link w:val="a5"/>
    <w:uiPriority w:val="99"/>
    <w:rPr>
      <w:kern w:val="24"/>
    </w:rPr>
  </w:style>
  <w:style w:type="character" w:styleId="a6">
    <w:name w:val="Placeholder Text"/>
    <w:basedOn w:val="a2"/>
    <w:uiPriority w:val="99"/>
    <w:semiHidden/>
    <w:rPr>
      <w:color w:val="808080"/>
    </w:rPr>
  </w:style>
  <w:style w:type="paragraph" w:styleId="a7">
    <w:name w:val="No Spacing"/>
    <w:aliases w:val="No Indent"/>
    <w:uiPriority w:val="3"/>
    <w:qFormat/>
    <w:pPr>
      <w:ind w:firstLine="0"/>
    </w:pPr>
  </w:style>
  <w:style w:type="character" w:styleId="1Char" w:customStyle="1">
    <w:name w:val="عنوان 1 Char"/>
    <w:basedOn w:val="a2"/>
    <w:link w:val="1"/>
    <w:uiPriority w:val="3"/>
    <w:rPr>
      <w:rFonts w:asciiTheme="majorHAnsi" w:hAnsiTheme="majorHAnsi" w:eastAsiaTheme="majorEastAsia" w:cstheme="majorBidi"/>
      <w:b/>
      <w:bCs/>
      <w:kern w:val="24"/>
    </w:rPr>
  </w:style>
  <w:style w:type="character" w:styleId="2Char" w:customStyle="1">
    <w:name w:val="عنوان 2 Char"/>
    <w:basedOn w:val="a2"/>
    <w:link w:val="21"/>
    <w:uiPriority w:val="3"/>
    <w:rPr>
      <w:rFonts w:asciiTheme="majorHAnsi" w:hAnsiTheme="majorHAnsi" w:eastAsiaTheme="majorEastAsia" w:cstheme="majorBidi"/>
      <w:b/>
      <w:bCs/>
      <w:kern w:val="24"/>
    </w:rPr>
  </w:style>
  <w:style w:type="paragraph" w:styleId="a8">
    <w:name w:val="Title"/>
    <w:basedOn w:val="a1"/>
    <w:next w:val="a1"/>
    <w:link w:val="Char0"/>
    <w:uiPriority w:val="1"/>
    <w:qFormat/>
    <w:pPr>
      <w:spacing w:before="2400"/>
      <w:ind w:firstLine="0"/>
      <w:contextualSpacing/>
      <w:jc w:val="center"/>
    </w:pPr>
    <w:rPr>
      <w:rFonts w:asciiTheme="majorHAnsi" w:hAnsiTheme="majorHAnsi" w:eastAsiaTheme="majorEastAsia" w:cstheme="majorBidi"/>
    </w:rPr>
  </w:style>
  <w:style w:type="character" w:styleId="Char0" w:customStyle="1">
    <w:name w:val="العنوان Char"/>
    <w:basedOn w:val="a2"/>
    <w:link w:val="a8"/>
    <w:uiPriority w:val="1"/>
    <w:rPr>
      <w:rFonts w:asciiTheme="majorHAnsi" w:hAnsiTheme="majorHAnsi" w:eastAsiaTheme="majorEastAsia" w:cstheme="majorBidi"/>
    </w:rPr>
  </w:style>
  <w:style w:type="character" w:styleId="a9">
    <w:name w:val="Emphasis"/>
    <w:basedOn w:val="a2"/>
    <w:uiPriority w:val="3"/>
    <w:unhideWhenUsed/>
    <w:qFormat/>
    <w:rPr>
      <w:i/>
      <w:iCs/>
    </w:rPr>
  </w:style>
  <w:style w:type="character" w:styleId="3Char" w:customStyle="1">
    <w:name w:val="عنوان 3 Char"/>
    <w:basedOn w:val="a2"/>
    <w:link w:val="31"/>
    <w:uiPriority w:val="3"/>
    <w:rPr>
      <w:rFonts w:asciiTheme="majorHAnsi" w:hAnsiTheme="majorHAnsi" w:eastAsiaTheme="majorEastAsia" w:cstheme="majorBidi"/>
      <w:b/>
      <w:bCs/>
      <w:kern w:val="24"/>
    </w:rPr>
  </w:style>
  <w:style w:type="character" w:styleId="4Char" w:customStyle="1">
    <w:name w:val="عنوان 4 Char"/>
    <w:basedOn w:val="a2"/>
    <w:link w:val="41"/>
    <w:uiPriority w:val="3"/>
    <w:rPr>
      <w:rFonts w:asciiTheme="majorHAnsi" w:hAnsiTheme="majorHAnsi" w:eastAsiaTheme="majorEastAsia" w:cstheme="majorBidi"/>
      <w:b/>
      <w:bCs/>
      <w:i/>
      <w:iCs/>
      <w:kern w:val="24"/>
    </w:rPr>
  </w:style>
  <w:style w:type="character" w:styleId="5Char" w:customStyle="1">
    <w:name w:val="عنوان 5 Char"/>
    <w:basedOn w:val="a2"/>
    <w:link w:val="51"/>
    <w:uiPriority w:val="3"/>
    <w:rPr>
      <w:rFonts w:asciiTheme="majorHAnsi" w:hAnsiTheme="majorHAnsi" w:eastAsiaTheme="majorEastAsia" w:cstheme="majorBidi"/>
      <w:i/>
      <w:iCs/>
      <w:kern w:val="24"/>
    </w:rPr>
  </w:style>
  <w:style w:type="paragraph" w:styleId="aa">
    <w:name w:val="Balloon Text"/>
    <w:basedOn w:val="a1"/>
    <w:link w:val="Char1"/>
    <w:uiPriority w:val="99"/>
    <w:semiHidden/>
    <w:unhideWhenUsed/>
    <w:pPr>
      <w:spacing w:line="240" w:lineRule="auto"/>
      <w:ind w:firstLine="0"/>
    </w:pPr>
    <w:rPr>
      <w:rFonts w:ascii="Segoe UI" w:hAnsi="Segoe UI" w:cs="Segoe UI"/>
      <w:sz w:val="18"/>
      <w:szCs w:val="18"/>
    </w:rPr>
  </w:style>
  <w:style w:type="character" w:styleId="Char1" w:customStyle="1">
    <w:name w:val="نص في بالون Char"/>
    <w:basedOn w:val="a2"/>
    <w:link w:val="aa"/>
    <w:uiPriority w:val="99"/>
    <w:semiHidden/>
    <w:rPr>
      <w:rFonts w:ascii="Segoe UI" w:hAnsi="Segoe UI" w:cs="Segoe UI"/>
      <w:kern w:val="24"/>
      <w:sz w:val="18"/>
      <w:szCs w:val="18"/>
    </w:rPr>
  </w:style>
  <w:style w:type="paragraph" w:styleId="ab">
    <w:name w:val="Bibliography"/>
    <w:basedOn w:val="a1"/>
    <w:next w:val="a1"/>
    <w:uiPriority w:val="37"/>
    <w:unhideWhenUsed/>
    <w:qFormat/>
    <w:pPr>
      <w:ind w:left="720" w:hanging="720"/>
    </w:pPr>
  </w:style>
  <w:style w:type="paragraph" w:styleId="ac">
    <w:name w:val="Block Text"/>
    <w:basedOn w:val="a1"/>
    <w:uiPriority w:val="99"/>
    <w:semiHidden/>
    <w:unhideWhenUsed/>
    <w:pPr>
      <w:pBdr>
        <w:top w:val="single" w:color="DDDDDD" w:themeColor="accent1" w:sz="2" w:space="10" w:shadow="1"/>
        <w:left w:val="single" w:color="DDDDDD" w:themeColor="accent1" w:sz="2" w:space="10" w:shadow="1"/>
        <w:bottom w:val="single" w:color="DDDDDD" w:themeColor="accent1" w:sz="2" w:space="10" w:shadow="1"/>
        <w:right w:val="single" w:color="DDDDDD" w:themeColor="accent1" w:sz="2" w:space="10" w:shadow="1"/>
      </w:pBdr>
      <w:ind w:left="1152" w:right="1152" w:firstLine="0"/>
    </w:pPr>
    <w:rPr>
      <w:i/>
      <w:iCs/>
      <w:color w:val="DDDDDD" w:themeColor="accent1"/>
    </w:rPr>
  </w:style>
  <w:style w:type="paragraph" w:styleId="ad">
    <w:name w:val="Body Text"/>
    <w:basedOn w:val="a1"/>
    <w:link w:val="Char2"/>
    <w:uiPriority w:val="99"/>
    <w:semiHidden/>
    <w:unhideWhenUsed/>
    <w:pPr>
      <w:spacing w:after="120"/>
      <w:ind w:firstLine="0"/>
    </w:pPr>
  </w:style>
  <w:style w:type="character" w:styleId="Char2" w:customStyle="1">
    <w:name w:val="نص أساسي Char"/>
    <w:basedOn w:val="a2"/>
    <w:link w:val="ad"/>
    <w:uiPriority w:val="99"/>
    <w:semiHidden/>
    <w:rPr>
      <w:kern w:val="24"/>
    </w:rPr>
  </w:style>
  <w:style w:type="paragraph" w:styleId="22">
    <w:name w:val="Body Text 2"/>
    <w:basedOn w:val="a1"/>
    <w:link w:val="2Char0"/>
    <w:uiPriority w:val="99"/>
    <w:semiHidden/>
    <w:unhideWhenUsed/>
    <w:pPr>
      <w:spacing w:after="120"/>
      <w:ind w:firstLine="0"/>
    </w:pPr>
  </w:style>
  <w:style w:type="character" w:styleId="2Char0" w:customStyle="1">
    <w:name w:val="نص أساسي 2 Char"/>
    <w:basedOn w:val="a2"/>
    <w:link w:val="22"/>
    <w:uiPriority w:val="99"/>
    <w:semiHidden/>
    <w:rPr>
      <w:kern w:val="24"/>
    </w:rPr>
  </w:style>
  <w:style w:type="paragraph" w:styleId="32">
    <w:name w:val="Body Text 3"/>
    <w:basedOn w:val="a1"/>
    <w:link w:val="3Char0"/>
    <w:uiPriority w:val="99"/>
    <w:semiHidden/>
    <w:unhideWhenUsed/>
    <w:pPr>
      <w:spacing w:after="120"/>
      <w:ind w:firstLine="0"/>
    </w:pPr>
    <w:rPr>
      <w:sz w:val="16"/>
      <w:szCs w:val="16"/>
    </w:rPr>
  </w:style>
  <w:style w:type="character" w:styleId="3Char0" w:customStyle="1">
    <w:name w:val="نص أساسي 3 Char"/>
    <w:basedOn w:val="a2"/>
    <w:link w:val="32"/>
    <w:uiPriority w:val="99"/>
    <w:semiHidden/>
    <w:rPr>
      <w:kern w:val="24"/>
      <w:sz w:val="16"/>
      <w:szCs w:val="16"/>
    </w:rPr>
  </w:style>
  <w:style w:type="paragraph" w:styleId="ae">
    <w:name w:val="Body Text First Indent"/>
    <w:basedOn w:val="ad"/>
    <w:link w:val="Char3"/>
    <w:uiPriority w:val="99"/>
    <w:semiHidden/>
    <w:unhideWhenUsed/>
    <w:pPr>
      <w:spacing w:after="0"/>
    </w:pPr>
  </w:style>
  <w:style w:type="character" w:styleId="Char3" w:customStyle="1">
    <w:name w:val="نص أساسي بمسافة بادئة للسطر الأول Char"/>
    <w:basedOn w:val="Char2"/>
    <w:link w:val="ae"/>
    <w:uiPriority w:val="99"/>
    <w:semiHidden/>
    <w:rPr>
      <w:kern w:val="24"/>
    </w:rPr>
  </w:style>
  <w:style w:type="paragraph" w:styleId="af">
    <w:name w:val="Body Text Indent"/>
    <w:basedOn w:val="a1"/>
    <w:link w:val="Char4"/>
    <w:uiPriority w:val="99"/>
    <w:semiHidden/>
    <w:unhideWhenUsed/>
    <w:pPr>
      <w:spacing w:after="120"/>
      <w:ind w:left="360" w:firstLine="0"/>
    </w:pPr>
  </w:style>
  <w:style w:type="character" w:styleId="Char4" w:customStyle="1">
    <w:name w:val="نص أساسي بمسافة بادئة Char"/>
    <w:basedOn w:val="a2"/>
    <w:link w:val="af"/>
    <w:uiPriority w:val="99"/>
    <w:semiHidden/>
    <w:rPr>
      <w:kern w:val="24"/>
    </w:rPr>
  </w:style>
  <w:style w:type="paragraph" w:styleId="23">
    <w:name w:val="Body Text First Indent 2"/>
    <w:basedOn w:val="af"/>
    <w:link w:val="2Char1"/>
    <w:uiPriority w:val="99"/>
    <w:semiHidden/>
    <w:unhideWhenUsed/>
    <w:pPr>
      <w:spacing w:after="0"/>
    </w:pPr>
  </w:style>
  <w:style w:type="character" w:styleId="2Char1" w:customStyle="1">
    <w:name w:val="نص أساسي بمسافة بادئة للسطر الأول 2 Char"/>
    <w:basedOn w:val="Char4"/>
    <w:link w:val="23"/>
    <w:uiPriority w:val="99"/>
    <w:semiHidden/>
    <w:rPr>
      <w:kern w:val="24"/>
    </w:rPr>
  </w:style>
  <w:style w:type="paragraph" w:styleId="24">
    <w:name w:val="Body Text Indent 2"/>
    <w:basedOn w:val="a1"/>
    <w:link w:val="2Char2"/>
    <w:uiPriority w:val="99"/>
    <w:semiHidden/>
    <w:unhideWhenUsed/>
    <w:pPr>
      <w:spacing w:after="120"/>
      <w:ind w:left="360" w:firstLine="0"/>
    </w:pPr>
  </w:style>
  <w:style w:type="character" w:styleId="2Char2" w:customStyle="1">
    <w:name w:val="نص أساسي بمسافة بادئة 2 Char"/>
    <w:basedOn w:val="a2"/>
    <w:link w:val="24"/>
    <w:uiPriority w:val="99"/>
    <w:semiHidden/>
    <w:rPr>
      <w:kern w:val="24"/>
    </w:rPr>
  </w:style>
  <w:style w:type="paragraph" w:styleId="33">
    <w:name w:val="Body Text Indent 3"/>
    <w:basedOn w:val="a1"/>
    <w:link w:val="3Char1"/>
    <w:uiPriority w:val="99"/>
    <w:semiHidden/>
    <w:unhideWhenUsed/>
    <w:pPr>
      <w:spacing w:after="120"/>
      <w:ind w:left="360" w:firstLine="0"/>
    </w:pPr>
    <w:rPr>
      <w:sz w:val="16"/>
      <w:szCs w:val="16"/>
    </w:rPr>
  </w:style>
  <w:style w:type="character" w:styleId="3Char1" w:customStyle="1">
    <w:name w:val="نص أساسي بمسافة بادئة 3 Char"/>
    <w:basedOn w:val="a2"/>
    <w:link w:val="33"/>
    <w:uiPriority w:val="99"/>
    <w:semiHidden/>
    <w:rPr>
      <w:kern w:val="24"/>
      <w:sz w:val="16"/>
      <w:szCs w:val="16"/>
    </w:rPr>
  </w:style>
  <w:style w:type="paragraph" w:styleId="af0">
    <w:name w:val="caption"/>
    <w:basedOn w:val="a1"/>
    <w:next w:val="a1"/>
    <w:uiPriority w:val="35"/>
    <w:semiHidden/>
    <w:unhideWhenUsed/>
    <w:qFormat/>
    <w:pPr>
      <w:spacing w:after="200" w:line="240" w:lineRule="auto"/>
      <w:ind w:firstLine="0"/>
    </w:pPr>
    <w:rPr>
      <w:i/>
      <w:iCs/>
      <w:color w:val="000000" w:themeColor="text2"/>
      <w:sz w:val="18"/>
      <w:szCs w:val="18"/>
    </w:rPr>
  </w:style>
  <w:style w:type="paragraph" w:styleId="af1">
    <w:name w:val="Closing"/>
    <w:basedOn w:val="a1"/>
    <w:link w:val="Char5"/>
    <w:uiPriority w:val="99"/>
    <w:semiHidden/>
    <w:unhideWhenUsed/>
    <w:pPr>
      <w:spacing w:line="240" w:lineRule="auto"/>
      <w:ind w:left="4320" w:firstLine="0"/>
    </w:pPr>
  </w:style>
  <w:style w:type="character" w:styleId="Char5" w:customStyle="1">
    <w:name w:val="خاتمة Char"/>
    <w:basedOn w:val="a2"/>
    <w:link w:val="af1"/>
    <w:uiPriority w:val="99"/>
    <w:semiHidden/>
    <w:rPr>
      <w:kern w:val="24"/>
    </w:rPr>
  </w:style>
  <w:style w:type="paragraph" w:styleId="af2">
    <w:name w:val="annotation text"/>
    <w:basedOn w:val="a1"/>
    <w:link w:val="Char6"/>
    <w:uiPriority w:val="99"/>
    <w:semiHidden/>
    <w:unhideWhenUsed/>
    <w:pPr>
      <w:spacing w:line="240" w:lineRule="auto"/>
      <w:ind w:firstLine="0"/>
    </w:pPr>
    <w:rPr>
      <w:sz w:val="20"/>
      <w:szCs w:val="20"/>
    </w:rPr>
  </w:style>
  <w:style w:type="character" w:styleId="Char6" w:customStyle="1">
    <w:name w:val="نص تعليق Char"/>
    <w:basedOn w:val="a2"/>
    <w:link w:val="af2"/>
    <w:uiPriority w:val="99"/>
    <w:semiHidden/>
    <w:rPr>
      <w:kern w:val="24"/>
      <w:sz w:val="20"/>
      <w:szCs w:val="20"/>
    </w:rPr>
  </w:style>
  <w:style w:type="paragraph" w:styleId="af3">
    <w:name w:val="annotation subject"/>
    <w:basedOn w:val="af2"/>
    <w:next w:val="af2"/>
    <w:link w:val="Char7"/>
    <w:uiPriority w:val="99"/>
    <w:semiHidden/>
    <w:unhideWhenUsed/>
    <w:rPr>
      <w:b/>
      <w:bCs/>
    </w:rPr>
  </w:style>
  <w:style w:type="character" w:styleId="Char7" w:customStyle="1">
    <w:name w:val="موضوع تعليق Char"/>
    <w:basedOn w:val="Char6"/>
    <w:link w:val="af3"/>
    <w:uiPriority w:val="99"/>
    <w:semiHidden/>
    <w:rPr>
      <w:b/>
      <w:bCs/>
      <w:kern w:val="24"/>
      <w:sz w:val="20"/>
      <w:szCs w:val="20"/>
    </w:rPr>
  </w:style>
  <w:style w:type="paragraph" w:styleId="af4">
    <w:name w:val="Date"/>
    <w:basedOn w:val="a1"/>
    <w:next w:val="a1"/>
    <w:link w:val="Char8"/>
    <w:uiPriority w:val="99"/>
    <w:semiHidden/>
    <w:unhideWhenUsed/>
    <w:pPr>
      <w:ind w:firstLine="0"/>
    </w:pPr>
  </w:style>
  <w:style w:type="character" w:styleId="Char8" w:customStyle="1">
    <w:name w:val="تاريخ Char"/>
    <w:basedOn w:val="a2"/>
    <w:link w:val="af4"/>
    <w:uiPriority w:val="99"/>
    <w:semiHidden/>
    <w:rPr>
      <w:kern w:val="24"/>
    </w:rPr>
  </w:style>
  <w:style w:type="paragraph" w:styleId="af5">
    <w:name w:val="Document Map"/>
    <w:basedOn w:val="a1"/>
    <w:link w:val="Char9"/>
    <w:uiPriority w:val="99"/>
    <w:semiHidden/>
    <w:unhideWhenUsed/>
    <w:pPr>
      <w:spacing w:line="240" w:lineRule="auto"/>
      <w:ind w:firstLine="0"/>
    </w:pPr>
    <w:rPr>
      <w:rFonts w:ascii="Segoe UI" w:hAnsi="Segoe UI" w:cs="Segoe UI"/>
      <w:sz w:val="16"/>
      <w:szCs w:val="16"/>
    </w:rPr>
  </w:style>
  <w:style w:type="character" w:styleId="Char9" w:customStyle="1">
    <w:name w:val="مخطط المستند Char"/>
    <w:basedOn w:val="a2"/>
    <w:link w:val="af5"/>
    <w:uiPriority w:val="99"/>
    <w:semiHidden/>
    <w:rPr>
      <w:rFonts w:ascii="Segoe UI" w:hAnsi="Segoe UI" w:cs="Segoe UI"/>
      <w:kern w:val="24"/>
      <w:sz w:val="16"/>
      <w:szCs w:val="16"/>
    </w:rPr>
  </w:style>
  <w:style w:type="paragraph" w:styleId="af6">
    <w:name w:val="E-mail Signature"/>
    <w:basedOn w:val="a1"/>
    <w:link w:val="Chara"/>
    <w:uiPriority w:val="99"/>
    <w:semiHidden/>
    <w:unhideWhenUsed/>
    <w:pPr>
      <w:spacing w:line="240" w:lineRule="auto"/>
      <w:ind w:firstLine="0"/>
    </w:pPr>
  </w:style>
  <w:style w:type="character" w:styleId="Chara" w:customStyle="1">
    <w:name w:val="توقيع البريد الإلكتروني Char"/>
    <w:basedOn w:val="a2"/>
    <w:link w:val="af6"/>
    <w:uiPriority w:val="99"/>
    <w:semiHidden/>
    <w:rPr>
      <w:kern w:val="24"/>
    </w:rPr>
  </w:style>
  <w:style w:type="paragraph" w:styleId="af7">
    <w:name w:val="footnote text"/>
    <w:basedOn w:val="a1"/>
    <w:link w:val="Charb"/>
    <w:uiPriority w:val="99"/>
    <w:semiHidden/>
    <w:unhideWhenUsed/>
    <w:pPr>
      <w:spacing w:line="240" w:lineRule="auto"/>
    </w:pPr>
    <w:rPr>
      <w:sz w:val="20"/>
      <w:szCs w:val="20"/>
    </w:rPr>
  </w:style>
  <w:style w:type="character" w:styleId="Charb" w:customStyle="1">
    <w:name w:val="نص حاشية سفلية Char"/>
    <w:basedOn w:val="a2"/>
    <w:link w:val="af7"/>
    <w:uiPriority w:val="99"/>
    <w:semiHidden/>
    <w:rPr>
      <w:kern w:val="24"/>
      <w:sz w:val="20"/>
      <w:szCs w:val="20"/>
    </w:rPr>
  </w:style>
  <w:style w:type="paragraph" w:styleId="af8">
    <w:name w:val="envelope address"/>
    <w:basedOn w:val="a1"/>
    <w:uiPriority w:val="99"/>
    <w:semiHidden/>
    <w:unhideWhenUsed/>
    <w:pPr>
      <w:framePr w:w="7920" w:h="1980" w:hSpace="180" w:wrap="auto" w:hAnchor="page" w:xAlign="center" w:yAlign="bottom" w:hRule="exact"/>
      <w:spacing w:line="240" w:lineRule="auto"/>
      <w:ind w:left="2880" w:firstLine="0"/>
    </w:pPr>
    <w:rPr>
      <w:rFonts w:asciiTheme="majorHAnsi" w:hAnsiTheme="majorHAnsi" w:eastAsiaTheme="majorEastAsia" w:cstheme="majorBidi"/>
    </w:rPr>
  </w:style>
  <w:style w:type="paragraph" w:styleId="af9">
    <w:name w:val="envelope return"/>
    <w:basedOn w:val="a1"/>
    <w:uiPriority w:val="99"/>
    <w:semiHidden/>
    <w:unhideWhenUsed/>
    <w:pPr>
      <w:spacing w:line="240" w:lineRule="auto"/>
      <w:ind w:firstLine="0"/>
    </w:pPr>
    <w:rPr>
      <w:rFonts w:asciiTheme="majorHAnsi" w:hAnsiTheme="majorHAnsi" w:eastAsiaTheme="majorEastAsia" w:cstheme="majorBidi"/>
      <w:sz w:val="20"/>
      <w:szCs w:val="20"/>
    </w:rPr>
  </w:style>
  <w:style w:type="table" w:styleId="afa">
    <w:name w:val="Table Grid"/>
    <w:basedOn w:val="a3"/>
    <w:uiPriority w:val="39"/>
    <w:pPr>
      <w:spacing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afb">
    <w:name w:val="Grid Table Light"/>
    <w:basedOn w:val="a3"/>
    <w:uiPriority w:val="40"/>
    <w:pPr>
      <w:spacing w:line="240" w:lineRule="auto"/>
    </w:pPr>
    <w:tblPr>
      <w:tblInd w:w="0" w:type="dxa"/>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CellMar>
        <w:top w:w="0" w:type="dxa"/>
        <w:left w:w="108" w:type="dxa"/>
        <w:bottom w:w="0" w:type="dxa"/>
        <w:right w:w="108" w:type="dxa"/>
      </w:tblCellMar>
    </w:tblPr>
  </w:style>
  <w:style w:type="character" w:styleId="6Char" w:customStyle="1">
    <w:name w:val="عنوان 6 Char"/>
    <w:basedOn w:val="a2"/>
    <w:link w:val="6"/>
    <w:uiPriority w:val="9"/>
    <w:semiHidden/>
    <w:rPr>
      <w:rFonts w:asciiTheme="majorHAnsi" w:hAnsiTheme="majorHAnsi" w:eastAsiaTheme="majorEastAsia" w:cstheme="majorBidi"/>
      <w:color w:val="6E6E6E" w:themeColor="accent1" w:themeShade="7F"/>
      <w:kern w:val="24"/>
    </w:rPr>
  </w:style>
  <w:style w:type="character" w:styleId="7Char" w:customStyle="1">
    <w:name w:val="عنوان 7 Char"/>
    <w:basedOn w:val="a2"/>
    <w:link w:val="7"/>
    <w:uiPriority w:val="9"/>
    <w:semiHidden/>
    <w:rPr>
      <w:rFonts w:asciiTheme="majorHAnsi" w:hAnsiTheme="majorHAnsi" w:eastAsiaTheme="majorEastAsia" w:cstheme="majorBidi"/>
      <w:i/>
      <w:iCs/>
      <w:color w:val="6E6E6E" w:themeColor="accent1" w:themeShade="7F"/>
      <w:kern w:val="24"/>
    </w:rPr>
  </w:style>
  <w:style w:type="character" w:styleId="8Char" w:customStyle="1">
    <w:name w:val="عنوان 8 Char"/>
    <w:basedOn w:val="a2"/>
    <w:link w:val="8"/>
    <w:uiPriority w:val="9"/>
    <w:semiHidden/>
    <w:rPr>
      <w:rFonts w:asciiTheme="majorHAnsi" w:hAnsiTheme="majorHAnsi" w:eastAsiaTheme="majorEastAsia" w:cstheme="majorBidi"/>
      <w:color w:val="272727" w:themeColor="text1" w:themeTint="D8"/>
      <w:kern w:val="24"/>
      <w:sz w:val="21"/>
      <w:szCs w:val="21"/>
    </w:rPr>
  </w:style>
  <w:style w:type="character" w:styleId="9Char" w:customStyle="1">
    <w:name w:val="عنوان 9 Char"/>
    <w:basedOn w:val="a2"/>
    <w:link w:val="9"/>
    <w:uiPriority w:val="9"/>
    <w:semiHidden/>
    <w:rPr>
      <w:rFonts w:asciiTheme="majorHAnsi" w:hAnsiTheme="majorHAnsi" w:eastAsiaTheme="majorEastAsia" w:cstheme="majorBidi"/>
      <w:i/>
      <w:iCs/>
      <w:color w:val="272727" w:themeColor="text1" w:themeTint="D8"/>
      <w:kern w:val="24"/>
      <w:sz w:val="21"/>
      <w:szCs w:val="21"/>
    </w:rPr>
  </w:style>
  <w:style w:type="paragraph" w:styleId="HTML">
    <w:name w:val="HTML Address"/>
    <w:basedOn w:val="a1"/>
    <w:link w:val="HTMLChar"/>
    <w:uiPriority w:val="99"/>
    <w:semiHidden/>
    <w:unhideWhenUsed/>
    <w:pPr>
      <w:spacing w:line="240" w:lineRule="auto"/>
      <w:ind w:firstLine="0"/>
    </w:pPr>
    <w:rPr>
      <w:i/>
      <w:iCs/>
    </w:rPr>
  </w:style>
  <w:style w:type="character" w:styleId="HTMLChar" w:customStyle="1">
    <w:name w:val="عنوان HTML Char"/>
    <w:basedOn w:val="a2"/>
    <w:link w:val="HTML"/>
    <w:uiPriority w:val="99"/>
    <w:semiHidden/>
    <w:rPr>
      <w:i/>
      <w:iCs/>
      <w:kern w:val="24"/>
    </w:rPr>
  </w:style>
  <w:style w:type="paragraph" w:styleId="HTML0">
    <w:name w:val="HTML Preformatted"/>
    <w:basedOn w:val="a1"/>
    <w:link w:val="HTMLChar0"/>
    <w:uiPriority w:val="99"/>
    <w:semiHidden/>
    <w:unhideWhenUsed/>
    <w:pPr>
      <w:spacing w:line="240" w:lineRule="auto"/>
      <w:ind w:firstLine="0"/>
    </w:pPr>
    <w:rPr>
      <w:rFonts w:ascii="Consolas" w:hAnsi="Consolas" w:cs="Consolas"/>
      <w:sz w:val="20"/>
      <w:szCs w:val="20"/>
    </w:rPr>
  </w:style>
  <w:style w:type="character" w:styleId="HTMLChar0" w:customStyle="1">
    <w:name w:val="بتنسيق HTML مسبق Char"/>
    <w:basedOn w:val="a2"/>
    <w:link w:val="HTML0"/>
    <w:uiPriority w:val="99"/>
    <w:semiHidden/>
    <w:rPr>
      <w:rFonts w:ascii="Consolas" w:hAnsi="Consolas" w:cs="Consolas"/>
      <w:kern w:val="24"/>
      <w:sz w:val="20"/>
      <w:szCs w:val="20"/>
    </w:rPr>
  </w:style>
  <w:style w:type="paragraph" w:styleId="Index1">
    <w:name w:val="index 1"/>
    <w:basedOn w:val="a1"/>
    <w:next w:val="a1"/>
    <w:autoRedefine/>
    <w:uiPriority w:val="99"/>
    <w:semiHidden/>
    <w:unhideWhenUsed/>
    <w:pPr>
      <w:spacing w:line="240" w:lineRule="auto"/>
      <w:ind w:left="240" w:firstLine="0"/>
    </w:pPr>
  </w:style>
  <w:style w:type="paragraph" w:styleId="Index2">
    <w:name w:val="index 2"/>
    <w:basedOn w:val="a1"/>
    <w:next w:val="a1"/>
    <w:autoRedefine/>
    <w:uiPriority w:val="99"/>
    <w:semiHidden/>
    <w:unhideWhenUsed/>
    <w:pPr>
      <w:spacing w:line="240" w:lineRule="auto"/>
      <w:ind w:left="480" w:firstLine="0"/>
    </w:pPr>
  </w:style>
  <w:style w:type="paragraph" w:styleId="Index3">
    <w:name w:val="index 3"/>
    <w:basedOn w:val="a1"/>
    <w:next w:val="a1"/>
    <w:autoRedefine/>
    <w:uiPriority w:val="99"/>
    <w:semiHidden/>
    <w:unhideWhenUsed/>
    <w:pPr>
      <w:spacing w:line="240" w:lineRule="auto"/>
      <w:ind w:left="720" w:firstLine="0"/>
    </w:pPr>
  </w:style>
  <w:style w:type="paragraph" w:styleId="Index4">
    <w:name w:val="index 4"/>
    <w:basedOn w:val="a1"/>
    <w:next w:val="a1"/>
    <w:autoRedefine/>
    <w:uiPriority w:val="99"/>
    <w:semiHidden/>
    <w:unhideWhenUsed/>
    <w:pPr>
      <w:spacing w:line="240" w:lineRule="auto"/>
      <w:ind w:left="960" w:firstLine="0"/>
    </w:pPr>
  </w:style>
  <w:style w:type="paragraph" w:styleId="Index5">
    <w:name w:val="index 5"/>
    <w:basedOn w:val="a1"/>
    <w:next w:val="a1"/>
    <w:autoRedefine/>
    <w:uiPriority w:val="99"/>
    <w:semiHidden/>
    <w:unhideWhenUsed/>
    <w:pPr>
      <w:spacing w:line="240" w:lineRule="auto"/>
      <w:ind w:left="1200" w:firstLine="0"/>
    </w:pPr>
  </w:style>
  <w:style w:type="paragraph" w:styleId="Index6">
    <w:name w:val="index 6"/>
    <w:basedOn w:val="a1"/>
    <w:next w:val="a1"/>
    <w:autoRedefine/>
    <w:uiPriority w:val="99"/>
    <w:semiHidden/>
    <w:unhideWhenUsed/>
    <w:pPr>
      <w:spacing w:line="240" w:lineRule="auto"/>
      <w:ind w:left="1440" w:firstLine="0"/>
    </w:pPr>
  </w:style>
  <w:style w:type="paragraph" w:styleId="Index7">
    <w:name w:val="index 7"/>
    <w:basedOn w:val="a1"/>
    <w:next w:val="a1"/>
    <w:autoRedefine/>
    <w:uiPriority w:val="99"/>
    <w:semiHidden/>
    <w:unhideWhenUsed/>
    <w:pPr>
      <w:spacing w:line="240" w:lineRule="auto"/>
      <w:ind w:left="1680" w:firstLine="0"/>
    </w:pPr>
  </w:style>
  <w:style w:type="paragraph" w:styleId="Index8">
    <w:name w:val="index 8"/>
    <w:basedOn w:val="a1"/>
    <w:next w:val="a1"/>
    <w:autoRedefine/>
    <w:uiPriority w:val="99"/>
    <w:semiHidden/>
    <w:unhideWhenUsed/>
    <w:pPr>
      <w:spacing w:line="240" w:lineRule="auto"/>
      <w:ind w:left="1920" w:firstLine="0"/>
    </w:pPr>
  </w:style>
  <w:style w:type="paragraph" w:styleId="Index9">
    <w:name w:val="index 9"/>
    <w:basedOn w:val="a1"/>
    <w:next w:val="a1"/>
    <w:autoRedefine/>
    <w:uiPriority w:val="99"/>
    <w:semiHidden/>
    <w:unhideWhenUsed/>
    <w:pPr>
      <w:spacing w:line="240" w:lineRule="auto"/>
      <w:ind w:left="2160" w:firstLine="0"/>
    </w:pPr>
  </w:style>
  <w:style w:type="paragraph" w:styleId="afc">
    <w:name w:val="index heading"/>
    <w:basedOn w:val="a1"/>
    <w:next w:val="Index1"/>
    <w:uiPriority w:val="99"/>
    <w:semiHidden/>
    <w:unhideWhenUsed/>
    <w:pPr>
      <w:ind w:firstLine="0"/>
    </w:pPr>
    <w:rPr>
      <w:rFonts w:asciiTheme="majorHAnsi" w:hAnsiTheme="majorHAnsi" w:eastAsiaTheme="majorEastAsia" w:cstheme="majorBidi"/>
      <w:b/>
      <w:bCs/>
    </w:rPr>
  </w:style>
  <w:style w:type="paragraph" w:styleId="afd">
    <w:name w:val="Intense Quote"/>
    <w:basedOn w:val="a1"/>
    <w:next w:val="a1"/>
    <w:link w:val="Charc"/>
    <w:uiPriority w:val="30"/>
    <w:semiHidden/>
    <w:unhideWhenUsed/>
    <w:qFormat/>
    <w:pPr>
      <w:pBdr>
        <w:top w:val="single" w:color="DDDDDD" w:themeColor="accent1" w:sz="4" w:space="10"/>
        <w:bottom w:val="single" w:color="DDDDDD" w:themeColor="accent1" w:sz="4" w:space="10"/>
      </w:pBdr>
      <w:spacing w:before="360" w:after="360"/>
      <w:ind w:left="864" w:right="864" w:firstLine="0"/>
      <w:jc w:val="center"/>
    </w:pPr>
    <w:rPr>
      <w:i/>
      <w:iCs/>
      <w:color w:val="DDDDDD" w:themeColor="accent1"/>
    </w:rPr>
  </w:style>
  <w:style w:type="character" w:styleId="Charc" w:customStyle="1">
    <w:name w:val="اقتباس مكثف Char"/>
    <w:basedOn w:val="a2"/>
    <w:link w:val="afd"/>
    <w:uiPriority w:val="30"/>
    <w:semiHidden/>
    <w:rPr>
      <w:i/>
      <w:iCs/>
      <w:color w:val="DDDDDD" w:themeColor="accent1"/>
      <w:kern w:val="24"/>
    </w:rPr>
  </w:style>
  <w:style w:type="paragraph" w:styleId="afe">
    <w:name w:val="List"/>
    <w:basedOn w:val="a1"/>
    <w:uiPriority w:val="99"/>
    <w:semiHidden/>
    <w:unhideWhenUsed/>
    <w:pPr>
      <w:ind w:left="360" w:firstLine="0"/>
      <w:contextualSpacing/>
    </w:pPr>
  </w:style>
  <w:style w:type="paragraph" w:styleId="25">
    <w:name w:val="List 2"/>
    <w:basedOn w:val="a1"/>
    <w:uiPriority w:val="99"/>
    <w:semiHidden/>
    <w:unhideWhenUsed/>
    <w:pPr>
      <w:ind w:left="720" w:firstLine="0"/>
      <w:contextualSpacing/>
    </w:pPr>
  </w:style>
  <w:style w:type="paragraph" w:styleId="34">
    <w:name w:val="List 3"/>
    <w:basedOn w:val="a1"/>
    <w:uiPriority w:val="99"/>
    <w:semiHidden/>
    <w:unhideWhenUsed/>
    <w:pPr>
      <w:ind w:left="1080" w:firstLine="0"/>
      <w:contextualSpacing/>
    </w:pPr>
  </w:style>
  <w:style w:type="paragraph" w:styleId="42">
    <w:name w:val="List 4"/>
    <w:basedOn w:val="a1"/>
    <w:uiPriority w:val="99"/>
    <w:semiHidden/>
    <w:unhideWhenUsed/>
    <w:pPr>
      <w:ind w:left="1440" w:firstLine="0"/>
      <w:contextualSpacing/>
    </w:pPr>
  </w:style>
  <w:style w:type="paragraph" w:styleId="52">
    <w:name w:val="List 5"/>
    <w:basedOn w:val="a1"/>
    <w:uiPriority w:val="99"/>
    <w:semiHidden/>
    <w:unhideWhenUsed/>
    <w:pPr>
      <w:ind w:left="1800" w:firstLine="0"/>
      <w:contextualSpacing/>
    </w:pPr>
  </w:style>
  <w:style w:type="paragraph" w:styleId="a0">
    <w:name w:val="List Bullet"/>
    <w:basedOn w:val="a1"/>
    <w:uiPriority w:val="9"/>
    <w:unhideWhenUsed/>
    <w:qFormat/>
    <w:pPr>
      <w:numPr>
        <w:numId w:val="12"/>
      </w:numPr>
      <w:contextualSpacing/>
    </w:pPr>
  </w:style>
  <w:style w:type="paragraph" w:styleId="20">
    <w:name w:val="List Bullet 2"/>
    <w:basedOn w:val="a1"/>
    <w:uiPriority w:val="99"/>
    <w:semiHidden/>
    <w:unhideWhenUsed/>
    <w:pPr>
      <w:numPr>
        <w:numId w:val="13"/>
      </w:numPr>
      <w:ind w:firstLine="0"/>
      <w:contextualSpacing/>
    </w:pPr>
  </w:style>
  <w:style w:type="paragraph" w:styleId="30">
    <w:name w:val="List Bullet 3"/>
    <w:basedOn w:val="a1"/>
    <w:uiPriority w:val="99"/>
    <w:semiHidden/>
    <w:unhideWhenUsed/>
    <w:pPr>
      <w:numPr>
        <w:numId w:val="14"/>
      </w:numPr>
      <w:ind w:firstLine="0"/>
      <w:contextualSpacing/>
    </w:pPr>
  </w:style>
  <w:style w:type="paragraph" w:styleId="40">
    <w:name w:val="List Bullet 4"/>
    <w:basedOn w:val="a1"/>
    <w:uiPriority w:val="99"/>
    <w:semiHidden/>
    <w:unhideWhenUsed/>
    <w:pPr>
      <w:numPr>
        <w:numId w:val="15"/>
      </w:numPr>
      <w:ind w:firstLine="0"/>
      <w:contextualSpacing/>
    </w:pPr>
  </w:style>
  <w:style w:type="paragraph" w:styleId="50">
    <w:name w:val="List Bullet 5"/>
    <w:basedOn w:val="a1"/>
    <w:uiPriority w:val="99"/>
    <w:semiHidden/>
    <w:unhideWhenUsed/>
    <w:pPr>
      <w:numPr>
        <w:numId w:val="16"/>
      </w:numPr>
      <w:ind w:firstLine="0"/>
      <w:contextualSpacing/>
    </w:pPr>
  </w:style>
  <w:style w:type="paragraph" w:styleId="aff">
    <w:name w:val="List Continue"/>
    <w:basedOn w:val="a1"/>
    <w:uiPriority w:val="99"/>
    <w:semiHidden/>
    <w:unhideWhenUsed/>
    <w:pPr>
      <w:spacing w:after="120"/>
      <w:ind w:left="360" w:firstLine="0"/>
      <w:contextualSpacing/>
    </w:pPr>
  </w:style>
  <w:style w:type="paragraph" w:styleId="26">
    <w:name w:val="List Continue 2"/>
    <w:basedOn w:val="a1"/>
    <w:uiPriority w:val="99"/>
    <w:semiHidden/>
    <w:unhideWhenUsed/>
    <w:pPr>
      <w:spacing w:after="120"/>
      <w:ind w:left="720" w:firstLine="0"/>
      <w:contextualSpacing/>
    </w:pPr>
  </w:style>
  <w:style w:type="paragraph" w:styleId="35">
    <w:name w:val="List Continue 3"/>
    <w:basedOn w:val="a1"/>
    <w:uiPriority w:val="99"/>
    <w:semiHidden/>
    <w:unhideWhenUsed/>
    <w:pPr>
      <w:spacing w:after="120"/>
      <w:ind w:left="1080" w:firstLine="0"/>
      <w:contextualSpacing/>
    </w:pPr>
  </w:style>
  <w:style w:type="paragraph" w:styleId="43">
    <w:name w:val="List Continue 4"/>
    <w:basedOn w:val="a1"/>
    <w:uiPriority w:val="99"/>
    <w:semiHidden/>
    <w:unhideWhenUsed/>
    <w:pPr>
      <w:spacing w:after="120"/>
      <w:ind w:left="1440" w:firstLine="0"/>
      <w:contextualSpacing/>
    </w:pPr>
  </w:style>
  <w:style w:type="paragraph" w:styleId="53">
    <w:name w:val="List Continue 5"/>
    <w:basedOn w:val="a1"/>
    <w:uiPriority w:val="99"/>
    <w:semiHidden/>
    <w:unhideWhenUsed/>
    <w:pPr>
      <w:spacing w:after="120"/>
      <w:ind w:left="1800" w:firstLine="0"/>
      <w:contextualSpacing/>
    </w:pPr>
  </w:style>
  <w:style w:type="paragraph" w:styleId="a">
    <w:name w:val="List Number"/>
    <w:basedOn w:val="a1"/>
    <w:uiPriority w:val="9"/>
    <w:unhideWhenUsed/>
    <w:qFormat/>
    <w:pPr>
      <w:numPr>
        <w:numId w:val="17"/>
      </w:numPr>
      <w:contextualSpacing/>
    </w:pPr>
  </w:style>
  <w:style w:type="paragraph" w:styleId="2">
    <w:name w:val="List Number 2"/>
    <w:basedOn w:val="a1"/>
    <w:uiPriority w:val="99"/>
    <w:semiHidden/>
    <w:unhideWhenUsed/>
    <w:pPr>
      <w:numPr>
        <w:numId w:val="18"/>
      </w:numPr>
      <w:ind w:firstLine="0"/>
      <w:contextualSpacing/>
    </w:pPr>
  </w:style>
  <w:style w:type="paragraph" w:styleId="3">
    <w:name w:val="List Number 3"/>
    <w:basedOn w:val="a1"/>
    <w:uiPriority w:val="99"/>
    <w:semiHidden/>
    <w:unhideWhenUsed/>
    <w:pPr>
      <w:numPr>
        <w:numId w:val="19"/>
      </w:numPr>
      <w:ind w:firstLine="0"/>
      <w:contextualSpacing/>
    </w:pPr>
  </w:style>
  <w:style w:type="paragraph" w:styleId="4">
    <w:name w:val="List Number 4"/>
    <w:basedOn w:val="a1"/>
    <w:uiPriority w:val="99"/>
    <w:semiHidden/>
    <w:unhideWhenUsed/>
    <w:pPr>
      <w:numPr>
        <w:numId w:val="20"/>
      </w:numPr>
      <w:ind w:firstLine="0"/>
      <w:contextualSpacing/>
    </w:pPr>
  </w:style>
  <w:style w:type="paragraph" w:styleId="5">
    <w:name w:val="List Number 5"/>
    <w:basedOn w:val="a1"/>
    <w:uiPriority w:val="99"/>
    <w:semiHidden/>
    <w:unhideWhenUsed/>
    <w:pPr>
      <w:numPr>
        <w:numId w:val="21"/>
      </w:numPr>
      <w:ind w:firstLine="0"/>
      <w:contextualSpacing/>
    </w:pPr>
  </w:style>
  <w:style w:type="paragraph" w:styleId="aff0">
    <w:name w:val="List Paragraph"/>
    <w:basedOn w:val="a1"/>
    <w:uiPriority w:val="34"/>
    <w:semiHidden/>
    <w:unhideWhenUsed/>
    <w:qFormat/>
    <w:pPr>
      <w:ind w:left="720" w:firstLine="0"/>
      <w:contextualSpacing/>
    </w:pPr>
  </w:style>
  <w:style w:type="paragraph" w:styleId="aff1">
    <w:name w:val="macro"/>
    <w:link w:val="Chard"/>
    <w:uiPriority w:val="99"/>
    <w:semiHidden/>
    <w:unhideWhenUsed/>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styleId="Chard" w:customStyle="1">
    <w:name w:val="نص ماكرو Char"/>
    <w:basedOn w:val="a2"/>
    <w:link w:val="aff1"/>
    <w:uiPriority w:val="99"/>
    <w:semiHidden/>
    <w:rPr>
      <w:rFonts w:ascii="Consolas" w:hAnsi="Consolas" w:cs="Consolas"/>
      <w:kern w:val="24"/>
      <w:sz w:val="20"/>
      <w:szCs w:val="20"/>
    </w:rPr>
  </w:style>
  <w:style w:type="paragraph" w:styleId="aff2">
    <w:name w:val="Message Header"/>
    <w:basedOn w:val="a1"/>
    <w:link w:val="Chare"/>
    <w:uiPriority w:val="99"/>
    <w:semiHidden/>
    <w:unhideWhenUsed/>
    <w:pPr>
      <w:pBdr>
        <w:top w:val="single" w:color="auto" w:sz="6" w:space="1"/>
        <w:left w:val="single" w:color="auto" w:sz="6" w:space="1"/>
        <w:bottom w:val="single" w:color="auto" w:sz="6" w:space="1"/>
        <w:right w:val="single" w:color="auto" w:sz="6" w:space="1"/>
      </w:pBdr>
      <w:shd w:val="pct20" w:color="auto" w:fill="auto"/>
      <w:spacing w:line="240" w:lineRule="auto"/>
      <w:ind w:left="1080" w:firstLine="0"/>
    </w:pPr>
    <w:rPr>
      <w:rFonts w:asciiTheme="majorHAnsi" w:hAnsiTheme="majorHAnsi" w:eastAsiaTheme="majorEastAsia" w:cstheme="majorBidi"/>
    </w:rPr>
  </w:style>
  <w:style w:type="character" w:styleId="Chare" w:customStyle="1">
    <w:name w:val="رأس رسالة Char"/>
    <w:basedOn w:val="a2"/>
    <w:link w:val="aff2"/>
    <w:uiPriority w:val="99"/>
    <w:semiHidden/>
    <w:rPr>
      <w:rFonts w:asciiTheme="majorHAnsi" w:hAnsiTheme="majorHAnsi" w:eastAsiaTheme="majorEastAsia" w:cstheme="majorBidi"/>
      <w:kern w:val="24"/>
      <w:shd w:val="pct20" w:color="auto" w:fill="auto"/>
    </w:rPr>
  </w:style>
  <w:style w:type="paragraph" w:styleId="aff3">
    <w:name w:val="Normal (Web)"/>
    <w:basedOn w:val="a1"/>
    <w:uiPriority w:val="99"/>
    <w:semiHidden/>
    <w:unhideWhenUsed/>
    <w:pPr>
      <w:ind w:firstLine="0"/>
    </w:pPr>
    <w:rPr>
      <w:rFonts w:ascii="Times New Roman" w:hAnsi="Times New Roman" w:cs="Times New Roman"/>
    </w:rPr>
  </w:style>
  <w:style w:type="paragraph" w:styleId="aff4">
    <w:name w:val="Normal Indent"/>
    <w:basedOn w:val="a1"/>
    <w:uiPriority w:val="99"/>
    <w:semiHidden/>
    <w:unhideWhenUsed/>
    <w:pPr>
      <w:ind w:left="720" w:firstLine="0"/>
    </w:pPr>
  </w:style>
  <w:style w:type="paragraph" w:styleId="aff5">
    <w:name w:val="Note Heading"/>
    <w:basedOn w:val="a1"/>
    <w:next w:val="a1"/>
    <w:link w:val="Charf"/>
    <w:uiPriority w:val="99"/>
    <w:semiHidden/>
    <w:unhideWhenUsed/>
    <w:pPr>
      <w:spacing w:line="240" w:lineRule="auto"/>
      <w:ind w:firstLine="0"/>
    </w:pPr>
  </w:style>
  <w:style w:type="character" w:styleId="Charf" w:customStyle="1">
    <w:name w:val="عنوان ملاحظة Char"/>
    <w:basedOn w:val="a2"/>
    <w:link w:val="aff5"/>
    <w:uiPriority w:val="99"/>
    <w:semiHidden/>
    <w:rPr>
      <w:kern w:val="24"/>
    </w:rPr>
  </w:style>
  <w:style w:type="paragraph" w:styleId="aff6">
    <w:name w:val="Plain Text"/>
    <w:basedOn w:val="a1"/>
    <w:link w:val="Charf0"/>
    <w:uiPriority w:val="99"/>
    <w:semiHidden/>
    <w:unhideWhenUsed/>
    <w:pPr>
      <w:spacing w:line="240" w:lineRule="auto"/>
      <w:ind w:firstLine="0"/>
    </w:pPr>
    <w:rPr>
      <w:rFonts w:ascii="Consolas" w:hAnsi="Consolas" w:cs="Consolas"/>
      <w:sz w:val="21"/>
      <w:szCs w:val="21"/>
    </w:rPr>
  </w:style>
  <w:style w:type="character" w:styleId="Charf0" w:customStyle="1">
    <w:name w:val="نص عادي Char"/>
    <w:basedOn w:val="a2"/>
    <w:link w:val="aff6"/>
    <w:uiPriority w:val="99"/>
    <w:semiHidden/>
    <w:rPr>
      <w:rFonts w:ascii="Consolas" w:hAnsi="Consolas" w:cs="Consolas"/>
      <w:kern w:val="24"/>
      <w:sz w:val="21"/>
      <w:szCs w:val="21"/>
    </w:rPr>
  </w:style>
  <w:style w:type="paragraph" w:styleId="aff7">
    <w:name w:val="Quote"/>
    <w:basedOn w:val="a1"/>
    <w:next w:val="a1"/>
    <w:link w:val="Charf1"/>
    <w:uiPriority w:val="29"/>
    <w:semiHidden/>
    <w:unhideWhenUsed/>
    <w:qFormat/>
    <w:pPr>
      <w:spacing w:before="200" w:after="160"/>
      <w:ind w:left="864" w:right="864" w:firstLine="0"/>
      <w:jc w:val="center"/>
    </w:pPr>
    <w:rPr>
      <w:i/>
      <w:iCs/>
      <w:color w:val="404040" w:themeColor="text1" w:themeTint="BF"/>
    </w:rPr>
  </w:style>
  <w:style w:type="character" w:styleId="Charf1" w:customStyle="1">
    <w:name w:val="اقتباس Char"/>
    <w:basedOn w:val="a2"/>
    <w:link w:val="aff7"/>
    <w:uiPriority w:val="29"/>
    <w:semiHidden/>
    <w:rPr>
      <w:i/>
      <w:iCs/>
      <w:color w:val="404040" w:themeColor="text1" w:themeTint="BF"/>
      <w:kern w:val="24"/>
    </w:rPr>
  </w:style>
  <w:style w:type="paragraph" w:styleId="aff8">
    <w:name w:val="Salutation"/>
    <w:basedOn w:val="a1"/>
    <w:next w:val="a1"/>
    <w:link w:val="Charf2"/>
    <w:uiPriority w:val="99"/>
    <w:semiHidden/>
    <w:unhideWhenUsed/>
    <w:pPr>
      <w:ind w:firstLine="0"/>
    </w:pPr>
  </w:style>
  <w:style w:type="character" w:styleId="Charf2" w:customStyle="1">
    <w:name w:val="تحية Char"/>
    <w:basedOn w:val="a2"/>
    <w:link w:val="aff8"/>
    <w:uiPriority w:val="99"/>
    <w:semiHidden/>
    <w:rPr>
      <w:kern w:val="24"/>
    </w:rPr>
  </w:style>
  <w:style w:type="paragraph" w:styleId="aff9">
    <w:name w:val="Signature"/>
    <w:basedOn w:val="a1"/>
    <w:link w:val="Charf3"/>
    <w:uiPriority w:val="99"/>
    <w:semiHidden/>
    <w:unhideWhenUsed/>
    <w:pPr>
      <w:spacing w:line="240" w:lineRule="auto"/>
      <w:ind w:left="4320" w:firstLine="0"/>
    </w:pPr>
  </w:style>
  <w:style w:type="character" w:styleId="Charf3" w:customStyle="1">
    <w:name w:val="توقيع Char"/>
    <w:basedOn w:val="a2"/>
    <w:link w:val="aff9"/>
    <w:uiPriority w:val="99"/>
    <w:semiHidden/>
    <w:rPr>
      <w:kern w:val="24"/>
    </w:rPr>
  </w:style>
  <w:style w:type="paragraph" w:styleId="Title2" w:customStyle="1">
    <w:name w:val="Title 2"/>
    <w:basedOn w:val="a1"/>
    <w:uiPriority w:val="1"/>
    <w:qFormat/>
    <w:pPr>
      <w:ind w:firstLine="0"/>
      <w:jc w:val="center"/>
    </w:pPr>
  </w:style>
  <w:style w:type="paragraph" w:styleId="affa">
    <w:name w:val="table of authorities"/>
    <w:basedOn w:val="a1"/>
    <w:next w:val="a1"/>
    <w:uiPriority w:val="99"/>
    <w:semiHidden/>
    <w:unhideWhenUsed/>
    <w:pPr>
      <w:ind w:left="240" w:firstLine="0"/>
    </w:pPr>
  </w:style>
  <w:style w:type="paragraph" w:styleId="affb">
    <w:name w:val="table of figures"/>
    <w:basedOn w:val="a1"/>
    <w:next w:val="a1"/>
    <w:uiPriority w:val="99"/>
    <w:semiHidden/>
    <w:unhideWhenUsed/>
    <w:pPr>
      <w:ind w:firstLine="0"/>
    </w:pPr>
  </w:style>
  <w:style w:type="paragraph" w:styleId="affc">
    <w:name w:val="toa heading"/>
    <w:basedOn w:val="a1"/>
    <w:next w:val="a1"/>
    <w:uiPriority w:val="99"/>
    <w:semiHidden/>
    <w:unhideWhenUsed/>
    <w:pPr>
      <w:spacing w:before="120"/>
      <w:ind w:firstLine="0"/>
    </w:pPr>
    <w:rPr>
      <w:rFonts w:asciiTheme="majorHAnsi" w:hAnsiTheme="majorHAnsi" w:eastAsiaTheme="majorEastAsia" w:cstheme="majorBidi"/>
      <w:b/>
      <w:bCs/>
    </w:rPr>
  </w:style>
  <w:style w:type="paragraph" w:styleId="44">
    <w:name w:val="toc 4"/>
    <w:basedOn w:val="a1"/>
    <w:next w:val="a1"/>
    <w:autoRedefine/>
    <w:uiPriority w:val="39"/>
    <w:semiHidden/>
    <w:unhideWhenUsed/>
    <w:pPr>
      <w:spacing w:after="100"/>
      <w:ind w:left="720" w:firstLine="0"/>
    </w:pPr>
  </w:style>
  <w:style w:type="paragraph" w:styleId="54">
    <w:name w:val="toc 5"/>
    <w:basedOn w:val="a1"/>
    <w:next w:val="a1"/>
    <w:autoRedefine/>
    <w:uiPriority w:val="39"/>
    <w:semiHidden/>
    <w:unhideWhenUsed/>
    <w:pPr>
      <w:spacing w:after="100"/>
      <w:ind w:left="960" w:firstLine="0"/>
    </w:pPr>
  </w:style>
  <w:style w:type="paragraph" w:styleId="60">
    <w:name w:val="toc 6"/>
    <w:basedOn w:val="a1"/>
    <w:next w:val="a1"/>
    <w:autoRedefine/>
    <w:uiPriority w:val="39"/>
    <w:semiHidden/>
    <w:unhideWhenUsed/>
    <w:pPr>
      <w:spacing w:after="100"/>
      <w:ind w:left="1200" w:firstLine="0"/>
    </w:pPr>
  </w:style>
  <w:style w:type="paragraph" w:styleId="70">
    <w:name w:val="toc 7"/>
    <w:basedOn w:val="a1"/>
    <w:next w:val="a1"/>
    <w:autoRedefine/>
    <w:uiPriority w:val="39"/>
    <w:semiHidden/>
    <w:unhideWhenUsed/>
    <w:pPr>
      <w:spacing w:after="100"/>
      <w:ind w:left="1440" w:firstLine="0"/>
    </w:pPr>
  </w:style>
  <w:style w:type="paragraph" w:styleId="80">
    <w:name w:val="toc 8"/>
    <w:basedOn w:val="a1"/>
    <w:next w:val="a1"/>
    <w:autoRedefine/>
    <w:uiPriority w:val="39"/>
    <w:semiHidden/>
    <w:unhideWhenUsed/>
    <w:pPr>
      <w:spacing w:after="100"/>
      <w:ind w:left="1680" w:firstLine="0"/>
    </w:pPr>
  </w:style>
  <w:style w:type="paragraph" w:styleId="90">
    <w:name w:val="toc 9"/>
    <w:basedOn w:val="a1"/>
    <w:next w:val="a1"/>
    <w:autoRedefine/>
    <w:uiPriority w:val="39"/>
    <w:semiHidden/>
    <w:unhideWhenUsed/>
    <w:pPr>
      <w:spacing w:after="100"/>
      <w:ind w:left="1920" w:firstLine="0"/>
    </w:pPr>
  </w:style>
  <w:style w:type="character" w:styleId="affd">
    <w:name w:val="endnote reference"/>
    <w:basedOn w:val="a2"/>
    <w:uiPriority w:val="99"/>
    <w:semiHidden/>
    <w:unhideWhenUsed/>
    <w:rPr>
      <w:vertAlign w:val="superscript"/>
    </w:rPr>
  </w:style>
  <w:style w:type="character" w:styleId="affe">
    <w:name w:val="footnote reference"/>
    <w:basedOn w:val="a2"/>
    <w:uiPriority w:val="99"/>
    <w:unhideWhenUsed/>
    <w:qFormat/>
    <w:rPr>
      <w:vertAlign w:val="superscript"/>
    </w:rPr>
  </w:style>
  <w:style w:type="table" w:styleId="APAReport" w:customStyle="1">
    <w:name w:val="APA Report"/>
    <w:basedOn w:val="a3"/>
    <w:uiPriority w:val="99"/>
    <w:pPr>
      <w:spacing w:line="240" w:lineRule="auto"/>
      <w:ind w:firstLine="0"/>
    </w:pPr>
    <w:tblPr>
      <w:tblInd w:w="0" w:type="dxa"/>
      <w:tblBorders>
        <w:top w:val="single" w:color="auto" w:sz="12" w:space="0"/>
        <w:bottom w:val="single" w:color="auto" w:sz="12" w:space="0"/>
      </w:tblBorders>
      <w:tblCellMar>
        <w:top w:w="0" w:type="dxa"/>
        <w:left w:w="108" w:type="dxa"/>
        <w:bottom w:w="0" w:type="dxa"/>
        <w:right w:w="108" w:type="dxa"/>
      </w:tblCellMar>
    </w:tblPr>
    <w:tblStylePr w:type="firstRow">
      <w:tblPr/>
      <w:tcPr>
        <w:tcBorders>
          <w:top w:val="single" w:color="auto" w:sz="12" w:space="0"/>
          <w:left w:val="nil"/>
          <w:bottom w:val="single" w:color="auto" w:sz="12" w:space="0"/>
          <w:right w:val="nil"/>
          <w:insideH w:val="nil"/>
          <w:insideV w:val="nil"/>
          <w:tl2br w:val="nil"/>
          <w:tr2bl w:val="nil"/>
        </w:tcBorders>
      </w:tcPr>
    </w:tblStylePr>
  </w:style>
  <w:style w:type="paragraph" w:styleId="TableFigure" w:customStyle="1">
    <w:name w:val="Table/Figure"/>
    <w:basedOn w:val="a1"/>
    <w:uiPriority w:val="4"/>
    <w:qFormat/>
    <w:pPr>
      <w:spacing w:before="240"/>
      <w:ind w:firstLine="0"/>
      <w:contextualSpacing/>
    </w:pPr>
  </w:style>
  <w:style w:type="paragraph" w:styleId="afff">
    <w:name w:val="footer"/>
    <w:basedOn w:val="a1"/>
    <w:link w:val="Charf4"/>
    <w:uiPriority w:val="99"/>
    <w:unhideWhenUsed/>
    <w:pPr>
      <w:tabs>
        <w:tab w:val="center" w:pos="4680"/>
        <w:tab w:val="right" w:pos="9360"/>
      </w:tabs>
      <w:spacing w:line="240" w:lineRule="auto"/>
    </w:pPr>
  </w:style>
  <w:style w:type="character" w:styleId="Charf4" w:customStyle="1">
    <w:name w:val="تذييل الصفحة Char"/>
    <w:basedOn w:val="a2"/>
    <w:link w:val="afff"/>
    <w:uiPriority w:val="99"/>
    <w:rPr>
      <w:kern w:val="24"/>
    </w:rPr>
  </w:style>
  <w:style w:type="character" w:styleId="Hyperlink">
    <w:name w:val="Hyperlink"/>
    <w:basedOn w:val="a2"/>
    <w:uiPriority w:val="99"/>
    <w:unhideWhenUsed/>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578445464">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2.png" Id="rId8" /><Relationship Type="http://schemas.openxmlformats.org/officeDocument/2006/relationships/footer" Target="footer1.xml" Id="rId13" /><Relationship Type="http://schemas.openxmlformats.org/officeDocument/2006/relationships/settings" Target="settings.xml" Id="rId3" /><Relationship Type="http://schemas.openxmlformats.org/officeDocument/2006/relationships/image" Target="media/image1.jpg" Id="rId7" /><Relationship Type="http://schemas.openxmlformats.org/officeDocument/2006/relationships/header" Target="header1.xml" Id="rId12" /><Relationship Type="http://schemas.openxmlformats.org/officeDocument/2006/relationships/styles" Target="styles.xml" Id="rId2" /><Relationship Type="http://schemas.openxmlformats.org/officeDocument/2006/relationships/theme" Target="theme/theme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doi.org/10.1128/microbiolspec.UTI-0012-2012" TargetMode="External" Id="rId11" /><Relationship Type="http://schemas.openxmlformats.org/officeDocument/2006/relationships/footnotes" Target="footnotes.xml" Id="rId5" /><Relationship Type="http://schemas.openxmlformats.org/officeDocument/2006/relationships/glossaryDocument" Target="glossary/document.xml" Id="rId15" /><Relationship Type="http://schemas.microsoft.com/office/2020/10/relationships/intelligence" Target="intelligence2.xml" Id="R9a76fb1473d84911" /><Relationship Type="http://schemas.openxmlformats.org/officeDocument/2006/relationships/image" Target="media/image4.jpg" Id="rId10" /><Relationship Type="http://schemas.openxmlformats.org/officeDocument/2006/relationships/webSettings" Target="webSettings.xml" Id="rId4" /><Relationship Type="http://schemas.openxmlformats.org/officeDocument/2006/relationships/image" Target="media/image3.jpg" Id="rId9" /><Relationship Type="http://schemas.openxmlformats.org/officeDocument/2006/relationships/fontTable" Target="fontTable.xml" Id="rId14"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475A4D48-5D20-463D-B4C8-5AEA5E2302A9}"/>
      </w:docPartPr>
      <w:docPartBody>
        <w:p w:rsidR="00D61E61" w:rsidRDefault="002D75FE">
          <w: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notTrueType/>
    <w:pitch w:val="fixed"/>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useFELayout/>
    <w:compatSetting w:name="compatibilityMode" w:uri="http://schemas.microsoft.com/office/word" w:val="12"/>
  </w:compat>
  <w:rsids>
    <w:rsidRoot w:val="00D61E61"/>
    <w:rsid w:val="002D75FE"/>
    <w:rsid w:val="00D61E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ce054ac-673a-4521-abe1-6ed8f912f3a8">
  <we:reference id="WA104382081" version="1.46.0.0" store="en-US" storeType="omex"/>
  <we:alternateReferences/>
  <we:properties>
    <we:property name="MENDELEY_CITATIONS" value="[{&quot;citationID&quot;:&quot;MENDELEY_CITATION_6d2b3d43-c344-4c09-b25d-c08d7e062dba&quot;,&quot;properties&quot;:{&quot;noteIndex&quot;:0},&quot;isEdited&quot;:false,&quot;manualOverride&quot;:{&quot;isManuallyOverridden&quot;:false,&quot;citeprocText&quot;:&quot;[1]&quot;,&quot;manualOverrideText&quot;:&quot;&quot;},&quot;citationTag&quot;:&quot;MENDELEY_CITATION_v3_eyJjaXRhdGlvbklEIjoiTUVOREVMRVlfQ0lUQVRJT05fNmQyYjNkNDMtYzM0NC00YzA5LWIyNWQtYzA4ZDdlMDYyZGJh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citationID&quot;:&quot;MENDELEY_CITATION_a582636a-4976-451d-b953-0be9be879081&quot;,&quot;properties&quot;:{&quot;noteIndex&quot;:0},&quot;isEdited&quot;:false,&quot;manualOverride&quot;:{&quot;isManuallyOverridden&quot;:false,&quot;citeprocText&quot;:&quot;[1]&quot;,&quot;manualOverrideText&quot;:&quot;&quot;},&quot;citationTag&quot;:&quot;MENDELEY_CITATION_v3_eyJjaXRhdGlvbklEIjoiTUVOREVMRVlfQ0lUQVRJT05fYTU4MjYzNmEtNDk3Ni00NTFkLWI5NTMtMGJlOWJlODc5MDgx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citationID&quot;:&quot;MENDELEY_CITATION_bdd02a58-9faa-4025-9b87-74ae72744156&quot;,&quot;properties&quot;:{&quot;noteIndex&quot;:0},&quot;isEdited&quot;:false,&quot;manualOverride&quot;:{&quot;isManuallyOverridden&quot;:false,&quot;citeprocText&quot;:&quot;[2]&quot;,&quot;manualOverrideText&quot;:&quot;&quot;},&quot;citationTag&quot;:&quot;MENDELEY_CITATION_v3_eyJjaXRhdGlvbklEIjoiTUVOREVMRVlfQ0lUQVRJT05fYmRkMDJhNTgtOWZhYS00MDI1LTliODctNzRhZTcyNzQ0MTU2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quot;,&quot;citationItems&quot;:[{&quot;id&quot;:&quot;27d175c6-8e85-37e4-9307-e9fd47002ba7&quot;,&quot;itemData&quot;:{&quot;type&quot;:&quot;book&quot;,&quot;id&quot;:&quot;27d175c6-8e85-37e4-9307-e9fd47002ba7&quot;,&quot;title&quot;:&quot;Urine Culture&quot;,&quot;author&quot;:[{&quot;family&quot;:&quot;Sinawe&quot;,&quot;given&quot;:&quot;Hadeer&quot;,&quot;parse-names&quot;:false,&quot;dropping-particle&quot;:&quot;&quot;,&quot;non-dropping-particle&quot;:&quot;&quot;},{&quot;family&quot;:&quot;Casadesus&quot;,&quot;given&quot;:&quot;Damian&quot;,&quot;parse-names&quot;:false,&quot;dropping-particle&quot;:&quot;&quot;,&quot;non-dropping-particle&quot;:&quot;&quot;}],&quot;PMID&quot;:&quot;32491501&quot;,&quot;issued&quot;:{&quot;date-parts&quot;:[[2022]]},&quot;abstract&quot;:&quot;Urinary tract infections (UTI) are one of the leading causes of infections in the United States. By the age of 18 years or older, at least 10% of females would have been diagnosed with a UTI. By the age of 24 years, 1 in 3 females would be treated for a UTI.[1] UTIs are one of the most common nosocomial infections, accounting for 35% to 40% of all hospital-acquired infections.[2] One of the most common nosocomial infections is catheter-associated UTI (CAUTI), each year, accounting for over 1 million cases in hospital and nursing home patients.[3] A urine culture is the gold standard test for revealing the causative microorganism for a UTI.[4][5] Sterile technique is often the standard in which all collection methods are compared. Owing to patient discomfort and clinical setting standards, sterile collection procedures are often forgone for self-collection techniques where the patient is in control of their sample. Special consideration is worthy of discussion, as the risk of contamination is maximized, and operator error may result in inconsistent urine collections, especially during the preanalytic phase of urine culture.[6] Given this apparent and immediate issue with the integrity of the urine culture and the risk of overdiagnosis, antibiotic stewardship must be maintained in order to safeguard the patient. Furthermore, the risk of antibiotic resistance is always central in order to recognize how healthcare providers practice antibiotic stewardship, where overdiagnosis is eliminated, and proper antibiotic selection is achieved. The proper utilization of the urine culture ameliorates these concerns and helps combat this very common nosocomial infection. &quot;,&quot;container-title-short&quot;:&quot;&quot;},&quot;isTemporary&quot;:false}]},{&quot;citationID&quot;:&quot;MENDELEY_CITATION_e550c6df-d211-48d4-9f69-1844d7350360&quot;,&quot;properties&quot;:{&quot;noteIndex&quot;:0},&quot;isEdited&quot;:false,&quot;manualOverride&quot;:{&quot;isManuallyOverridden&quot;:false,&quot;citeprocText&quot;:&quot;[2]&quot;,&quot;manualOverrideText&quot;:&quot;&quot;},&quot;citationTag&quot;:&quot;MENDELEY_CITATION_v3_eyJjaXRhdGlvbklEIjoiTUVOREVMRVlfQ0lUQVRJT05fZTU1MGM2ZGYtZDIxMS00OGQ0LTlmNjktMTg0NGQ3MzUwMzYw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quot;,&quot;citationItems&quot;:[{&quot;id&quot;:&quot;27d175c6-8e85-37e4-9307-e9fd47002ba7&quot;,&quot;itemData&quot;:{&quot;type&quot;:&quot;book&quot;,&quot;id&quot;:&quot;27d175c6-8e85-37e4-9307-e9fd47002ba7&quot;,&quot;title&quot;:&quot;Urine Culture&quot;,&quot;author&quot;:[{&quot;family&quot;:&quot;Sinawe&quot;,&quot;given&quot;:&quot;Hadeer&quot;,&quot;parse-names&quot;:false,&quot;dropping-particle&quot;:&quot;&quot;,&quot;non-dropping-particle&quot;:&quot;&quot;},{&quot;family&quot;:&quot;Casadesus&quot;,&quot;given&quot;:&quot;Damian&quot;,&quot;parse-names&quot;:false,&quot;dropping-particle&quot;:&quot;&quot;,&quot;non-dropping-particle&quot;:&quot;&quot;}],&quot;PMID&quot;:&quot;32491501&quot;,&quot;issued&quot;:{&quot;date-parts&quot;:[[2022]]},&quot;abstract&quot;:&quot;Urinary tract infections (UTI) are one of the leading causes of infections in the United States. By the age of 18 years or older, at least 10% of females would have been diagnosed with a UTI. By the age of 24 years, 1 in 3 females would be treated for a UTI.[1] UTIs are one of the most common nosocomial infections, accounting for 35% to 40% of all hospital-acquired infections.[2] One of the most common nosocomial infections is catheter-associated UTI (CAUTI), each year, accounting for over 1 million cases in hospital and nursing home patients.[3] A urine culture is the gold standard test for revealing the causative microorganism for a UTI.[4][5] Sterile technique is often the standard in which all collection methods are compared. Owing to patient discomfort and clinical setting standards, sterile collection procedures are often forgone for self-collection techniques where the patient is in control of their sample. Special consideration is worthy of discussion, as the risk of contamination is maximized, and operator error may result in inconsistent urine collections, especially during the preanalytic phase of urine culture.[6] Given this apparent and immediate issue with the integrity of the urine culture and the risk of overdiagnosis, antibiotic stewardship must be maintained in order to safeguard the patient. Furthermore, the risk of antibiotic resistance is always central in order to recognize how healthcare providers practice antibiotic stewardship, where overdiagnosis is eliminated, and proper antibiotic selection is achieved. The proper utilization of the urine culture ameliorates these concerns and helps combat this very common nosocomial infection. &quot;,&quot;container-title-short&quot;:&quot;&quot;},&quot;isTemporary&quot;:false}]},{&quot;citationID&quot;:&quot;MENDELEY_CITATION_79e3f5ea-f734-471e-b74d-c3e4cd6600b3&quot;,&quot;properties&quot;:{&quot;noteIndex&quot;:0},&quot;isEdited&quot;:false,&quot;manualOverride&quot;:{&quot;isManuallyOverridden&quot;:false,&quot;citeprocText&quot;:&quot;[1]&quot;,&quot;manualOverrideText&quot;:&quot;&quot;},&quot;citationTag&quot;:&quot;MENDELEY_CITATION_v3_eyJjaXRhdGlvbklEIjoiTUVOREVMRVlfQ0lUQVRJT05fNzllM2Y1ZWEtZjczNC00NzFlLWI3NGQtYzNlNGNkNjYwMGIz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citationID&quot;:&quot;MENDELEY_CITATION_691779b0-da1f-4249-b17b-22d7ec27128c&quot;,&quot;properties&quot;:{&quot;noteIndex&quot;:0},&quot;isEdited&quot;:false,&quot;manualOverride&quot;:{&quot;isManuallyOverridden&quot;:false,&quot;citeprocText&quot;:&quot;[1,3]&quot;,&quot;manualOverrideText&quot;:&quot;&quot;},&quot;citationTag&quot;:&quot;MENDELEY_CITATION_v3_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&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id&quot;:&quot;7e421520-35ce-351f-804b-3cb8c1217c43&quot;,&quot;itemData&quot;:{&quot;type&quot;:&quot;report&quot;,&quot;id&quot;:&quot;7e421520-35ce-351f-804b-3cb8c1217c43&quot;,&quot;title&quot;:&quot;Gray's Anatomy for Students Flash Cards: with STUDENT CONSULT Online Access&quot;,&quot;author&quot;:[{&quot;family&quot;:&quot;Drake FAAA&quot;,&quot;given&quot;:&quot;Richard L&quot;,&quot;parse-names&quot;:false,&quot;dropping-particle&quot;:&quot;&quot;,&quot;non-dropping-particle&quot;:&quot;&quot;},{&quot;family&quot;:&quot;Wayne Vogl FAAA&quot;,&quot;given&quot;:&quot;A&quot;,&quot;parse-names&quot;:false,&quot;dropping-particle&quot;:&quot;&quot;,&quot;non-dropping-particle&quot;:&quot;&quot;},{&quot;family&quot;:&quot;Mitchell MB BS FRCS FRCR&quot;,&quot;given&quot;:&quot;Adam WM&quot;,&quot;parse-names&quot;:false,&quot;dropping-particle&quot;:&quot;&quot;,&quot;non-dropping-particle&quot;:&quot;&quot;}],&quot;issued&quot;:{&quot;date-parts&quot;:[[2015]]},&quot;container-title-short&quot;:&quot;&quot;},&quot;isTemporary&quot;:false}]},{&quot;citationID&quot;:&quot;MENDELEY_CITATION_fb41bdb6-16a3-4fc4-86a6-190599916c47&quot;,&quot;properties&quot;:{&quot;noteIndex&quot;:0},&quot;isEdited&quot;:false,&quot;manualOverride&quot;:{&quot;isManuallyOverridden&quot;:false,&quot;citeprocText&quot;:&quot;[2]&quot;,&quot;manualOverrideText&quot;:&quot;&quot;},&quot;citationTag&quot;:&quot;MENDELEY_CITATION_v3_eyJjaXRhdGlvbklEIjoiTUVOREVMRVlfQ0lUQVRJT05fZmI0MWJkYjYtMTZhMy00ZmM0LTg2YTYtMTkwNTk5OTE2YzQ3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quot;,&quot;citationItems&quot;:[{&quot;id&quot;:&quot;27d175c6-8e85-37e4-9307-e9fd47002ba7&quot;,&quot;itemData&quot;:{&quot;type&quot;:&quot;book&quot;,&quot;id&quot;:&quot;27d175c6-8e85-37e4-9307-e9fd47002ba7&quot;,&quot;title&quot;:&quot;Urine Culture&quot;,&quot;author&quot;:[{&quot;family&quot;:&quot;Sinawe&quot;,&quot;given&quot;:&quot;Hadeer&quot;,&quot;parse-names&quot;:false,&quot;dropping-particle&quot;:&quot;&quot;,&quot;non-dropping-particle&quot;:&quot;&quot;},{&quot;family&quot;:&quot;Casadesus&quot;,&quot;given&quot;:&quot;Damian&quot;,&quot;parse-names&quot;:false,&quot;dropping-particle&quot;:&quot;&quot;,&quot;non-dropping-particle&quot;:&quot;&quot;}],&quot;PMID&quot;:&quot;32491501&quot;,&quot;issued&quot;:{&quot;date-parts&quot;:[[2022]]},&quot;abstract&quot;:&quot;Urinary tract infections (UTI) are one of the leading causes of infections in the United States. By the age of 18 years or older, at least 10% of females would have been diagnosed with a UTI. By the age of 24 years, 1 in 3 females would be treated for a UTI.[1] UTIs are one of the most common nosocomial infections, accounting for 35% to 40% of all hospital-acquired infections.[2] One of the most common nosocomial infections is catheter-associated UTI (CAUTI), each year, accounting for over 1 million cases in hospital and nursing home patients.[3] A urine culture is the gold standard test for revealing the causative microorganism for a UTI.[4][5] Sterile technique is often the standard in which all collection methods are compared. Owing to patient discomfort and clinical setting standards, sterile collection procedures are often forgone for self-collection techniques where the patient is in control of their sample. Special consideration is worthy of discussion, as the risk of contamination is maximized, and operator error may result in inconsistent urine collections, especially during the preanalytic phase of urine culture.[6] Given this apparent and immediate issue with the integrity of the urine culture and the risk of overdiagnosis, antibiotic stewardship must be maintained in order to safeguard the patient. Furthermore, the risk of antibiotic resistance is always central in order to recognize how healthcare providers practice antibiotic stewardship, where overdiagnosis is eliminated, and proper antibiotic selection is achieved. The proper utilization of the urine culture ameliorates these concerns and helps combat this very common nosocomial infection. &quot;,&quot;container-title-short&quot;:&quot;&quot;},&quot;isTemporary&quot;:false}]},{&quot;citationID&quot;:&quot;MENDELEY_CITATION_5d725f02-a27c-4f0d-b78f-3734cd38b008&quot;,&quot;properties&quot;:{&quot;noteIndex&quot;:0},&quot;isEdited&quot;:false,&quot;manualOverride&quot;:{&quot;isManuallyOverridden&quot;:false,&quot;citeprocText&quot;:&quot;[2]&quot;,&quot;manualOverrideText&quot;:&quot;&quot;},&quot;citationTag&quot;:&quot;MENDELEY_CITATION_v3_eyJjaXRhdGlvbklEIjoiTUVOREVMRVlfQ0lUQVRJT05fNWQ3MjVmMDItYTI3Yy00ZjBkLWI3OGYtMzczNGNkMzhiMDA4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quot;,&quot;citationItems&quot;:[{&quot;id&quot;:&quot;27d175c6-8e85-37e4-9307-e9fd47002ba7&quot;,&quot;itemData&quot;:{&quot;type&quot;:&quot;book&quot;,&quot;id&quot;:&quot;27d175c6-8e85-37e4-9307-e9fd47002ba7&quot;,&quot;title&quot;:&quot;Urine Culture&quot;,&quot;author&quot;:[{&quot;family&quot;:&quot;Sinawe&quot;,&quot;given&quot;:&quot;Hadeer&quot;,&quot;parse-names&quot;:false,&quot;dropping-particle&quot;:&quot;&quot;,&quot;non-dropping-particle&quot;:&quot;&quot;},{&quot;family&quot;:&quot;Casadesus&quot;,&quot;given&quot;:&quot;Damian&quot;,&quot;parse-names&quot;:false,&quot;dropping-particle&quot;:&quot;&quot;,&quot;non-dropping-particle&quot;:&quot;&quot;}],&quot;PMID&quot;:&quot;32491501&quot;,&quot;issued&quot;:{&quot;date-parts&quot;:[[2022]]},&quot;abstract&quot;:&quot;Urinary tract infections (UTI) are one of the leading causes of infections in the United States. By the age of 18 years or older, at least 10% of females would have been diagnosed with a UTI. By the age of 24 years, 1 in 3 females would be treated for a UTI.[1] UTIs are one of the most common nosocomial infections, accounting for 35% to 40% of all hospital-acquired infections.[2] One of the most common nosocomial infections is catheter-associated UTI (CAUTI), each year, accounting for over 1 million cases in hospital and nursing home patients.[3] A urine culture is the gold standard test for revealing the causative microorganism for a UTI.[4][5] Sterile technique is often the standard in which all collection methods are compared. Owing to patient discomfort and clinical setting standards, sterile collection procedures are often forgone for self-collection techniques where the patient is in control of their sample. Special consideration is worthy of discussion, as the risk of contamination is maximized, and operator error may result in inconsistent urine collections, especially during the preanalytic phase of urine culture.[6] Given this apparent and immediate issue with the integrity of the urine culture and the risk of overdiagnosis, antibiotic stewardship must be maintained in order to safeguard the patient. Furthermore, the risk of antibiotic resistance is always central in order to recognize how healthcare providers practice antibiotic stewardship, where overdiagnosis is eliminated, and proper antibiotic selection is achieved. The proper utilization of the urine culture ameliorates these concerns and helps combat this very common nosocomial infection. &quot;,&quot;container-title-short&quot;:&quot;&quot;},&quot;isTemporary&quot;:false}]},{&quot;citationID&quot;:&quot;MENDELEY_CITATION_1233d3d4-4800-49df-9151-37f408339108&quot;,&quot;properties&quot;:{&quot;noteIndex&quot;:0},&quot;isEdited&quot;:false,&quot;manualOverride&quot;:{&quot;isManuallyOverridden&quot;:false,&quot;citeprocText&quot;:&quot;[1,2]&quot;,&quot;manualOverrideText&quot;:&quot;&quot;},&quot;citationTag&quot;:&quot;MENDELEY_CITATION_v3_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&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id&quot;:&quot;27d175c6-8e85-37e4-9307-e9fd47002ba7&quot;,&quot;itemData&quot;:{&quot;type&quot;:&quot;book&quot;,&quot;id&quot;:&quot;27d175c6-8e85-37e4-9307-e9fd47002ba7&quot;,&quot;title&quot;:&quot;Urine Culture&quot;,&quot;author&quot;:[{&quot;family&quot;:&quot;Sinawe&quot;,&quot;given&quot;:&quot;Hadeer&quot;,&quot;parse-names&quot;:false,&quot;dropping-particle&quot;:&quot;&quot;,&quot;non-dropping-particle&quot;:&quot;&quot;},{&quot;family&quot;:&quot;Casadesus&quot;,&quot;given&quot;:&quot;Damian&quot;,&quot;parse-names&quot;:false,&quot;dropping-particle&quot;:&quot;&quot;,&quot;non-dropping-particle&quot;:&quot;&quot;}],&quot;PMID&quot;:&quot;32491501&quot;,&quot;issued&quot;:{&quot;date-parts&quot;:[[2022]]},&quot;abstract&quot;:&quot;Urinary tract infections (UTI) are one of the leading causes of infections in the United States. By the age of 18 years or older, at least 10% of females would have been diagnosed with a UTI. By the age of 24 years, 1 in 3 females would be treated for a UTI.[1] UTIs are one of the most common nosocomial infections, accounting for 35% to 40% of all hospital-acquired infections.[2] One of the most common nosocomial infections is catheter-associated UTI (CAUTI), each year, accounting for over 1 million cases in hospital and nursing home patients.[3] A urine culture is the gold standard test for revealing the causative microorganism for a UTI.[4][5] Sterile technique is often the standard in which all collection methods are compared. Owing to patient discomfort and clinical setting standards, sterile collection procedures are often forgone for self-collection techniques where the patient is in control of their sample. Special consideration is worthy of discussion, as the risk of contamination is maximized, and operator error may result in inconsistent urine collections, especially during the preanalytic phase of urine culture.[6] Given this apparent and immediate issue with the integrity of the urine culture and the risk of overdiagnosis, antibiotic stewardship must be maintained in order to safeguard the patient. Furthermore, the risk of antibiotic resistance is always central in order to recognize how healthcare providers practice antibiotic stewardship, where overdiagnosis is eliminated, and proper antibiotic selection is achieved. The proper utilization of the urine culture ameliorates these concerns and helps combat this very common nosocomial infection. &quot;,&quot;container-title-short&quot;:&quot;&quot;},&quot;isTemporary&quot;:false}]},{&quot;citationID&quot;:&quot;MENDELEY_CITATION_3ec065c7-f85f-4b14-8309-618f3a6f9543&quot;,&quot;properties&quot;:{&quot;noteIndex&quot;:0},&quot;isEdited&quot;:false,&quot;manualOverride&quot;:{&quot;isManuallyOverridden&quot;:false,&quot;citeprocText&quot;:&quot;[2]&quot;,&quot;manualOverrideText&quot;:&quot;&quot;},&quot;citationTag&quot;:&quot;MENDELEY_CITATION_v3_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&quot;,&quot;citationItems&quot;:[{&quot;id&quot;:&quot;27d175c6-8e85-37e4-9307-e9fd47002ba7&quot;,&quot;itemData&quot;:{&quot;type&quot;:&quot;book&quot;,&quot;id&quot;:&quot;27d175c6-8e85-37e4-9307-e9fd47002ba7&quot;,&quot;title&quot;:&quot;Urine Culture&quot;,&quot;author&quot;:[{&quot;family&quot;:&quot;Sinawe&quot;,&quot;given&quot;:&quot;Hadeer&quot;,&quot;parse-names&quot;:false,&quot;dropping-particle&quot;:&quot;&quot;,&quot;non-dropping-particle&quot;:&quot;&quot;},{&quot;family&quot;:&quot;Casadesus&quot;,&quot;given&quot;:&quot;Damian&quot;,&quot;parse-names&quot;:false,&quot;dropping-particle&quot;:&quot;&quot;,&quot;non-dropping-particle&quot;:&quot;&quot;}],&quot;PMID&quot;:&quot;32491501&quot;,&quot;issued&quot;:{&quot;date-parts&quot;:[[2022]]},&quot;abstract&quot;:&quot;Urinary tract infections (UTI) are one of the leading causes of infections in the United States. By the age of 18 years or older, at least 10% of females would have been diagnosed with a UTI. By the age of 24 years, 1 in 3 females would be treated for a UTI.[1] UTIs are one of the most common nosocomial infections, accounting for 35% to 40% of all hospital-acquired infections.[2] One of the most common nosocomial infections is catheter-associated UTI (CAUTI), each year, accounting for over 1 million cases in hospital and nursing home patients.[3] A urine culture is the gold standard test for revealing the causative microorganism for a UTI.[4][5] Sterile technique is often the standard in which all collection methods are compared. Owing to patient discomfort and clinical setting standards, sterile collection procedures are often forgone for self-collection techniques where the patient is in control of their sample. Special consideration is worthy of discussion, as the risk of contamination is maximized, and operator error may result in inconsistent urine collections, especially during the preanalytic phase of urine culture.[6] Given this apparent and immediate issue with the integrity of the urine culture and the risk of overdiagnosis, antibiotic stewardship must be maintained in order to safeguard the patient. Furthermore, the risk of antibiotic resistance is always central in order to recognize how healthcare providers practice antibiotic stewardship, where overdiagnosis is eliminated, and proper antibiotic selection is achieved. The proper utilization of the urine culture ameliorates these concerns and helps combat this very common nosocomial infection. &quot;,&quot;container-title-short&quot;:&quot;&quot;},&quot;isTemporary&quot;:false}]},{&quot;citationID&quot;:&quot;MENDELEY_CITATION_de13957c-e1ae-4980-a178-94ec0728e220&quot;,&quot;properties&quot;:{&quot;noteIndex&quot;:0},&quot;isEdited&quot;:false,&quot;manualOverride&quot;:{&quot;isManuallyOverridden&quot;:false,&quot;citeprocText&quot;:&quot;[1]&quot;,&quot;manualOverrideText&quot;:&quot;&quot;},&quot;citationTag&quot;:&quot;MENDELEY_CITATION_v3_eyJjaXRhdGlvbklEIjoiTUVOREVMRVlfQ0lUQVRJT05fZGUxMzk1N2MtZTFhZS00OTgwLWExNzgtOTRlYzA3MjhlMjIw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citationID&quot;:&quot;MENDELEY_CITATION_26a8ebe3-1af2-41db-bdb0-2bc2834086ce&quot;,&quot;properties&quot;:{&quot;noteIndex&quot;:0},&quot;isEdited&quot;:false,&quot;manualOverride&quot;:{&quot;isManuallyOverridden&quot;:false,&quot;citeprocText&quot;:&quot;[4]&quot;,&quot;manualOverrideText&quot;:&quot;&quot;},&quot;citationTag&quot;:&quot;MENDELEY_CITATION_v3_eyJjaXRhdGlvbklEIjoiTUVOREVMRVlfQ0lUQVRJT05fMjZhOGViZTMtMWFmMi00MWRiLWJkYjAtMmJjMjgzNDA4NmNl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quot;,&quot;citationItems&quot;:[{&quot;id&quot;:&quot;3ce70a50-ffa5-3099-b45f-eed83331a89b&quot;,&quot;itemData&quot;:{&quot;type&quot;:&quot;report&quot;,&quot;id&quot;:&quot;3ce70a50-ffa5-3099-b45f-eed83331a89b&quot;,&quot;title&quot;:&quot;Bailey &amp; Scott's Diagnostic Microbiology&quot;,&quot;author&quot;:[{&quot;family&quot;:&quot;Taxonomy&quot;,&quot;given&quot;:&quot;Microbial&quot;,&quot;parse-names&quot;:false,&quot;dropping-particle&quot;:&quot;&quot;,&quot;non-dropping-particle&quot;:&quot;&quot;}],&quot;container-title&quot;:&quot;Basic Medical Microbiology&quot;,&quot;issued&quot;:{&quot;date-parts&quot;:[[2014]]},&quot;number-of-pages&quot;:&quot;1&quot;,&quot;container-title-short&quot;:&quot;&quot;},&quot;isTemporary&quot;:false}]},{&quot;citationID&quot;:&quot;MENDELEY_CITATION_25ecd4aa-ef09-4978-9fc2-9fad1538c977&quot;,&quot;properties&quot;:{&quot;noteIndex&quot;:0},&quot;isEdited&quot;:false,&quot;manualOverride&quot;:{&quot;isManuallyOverridden&quot;:false,&quot;citeprocText&quot;:&quot;[5]&quot;,&quot;manualOverrideText&quot;:&quot;&quot;},&quot;citationTag&quot;:&quot;MENDELEY_CITATION_v3_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&quot;,&quot;citationItems&quot;:[{&quot;id&quot;:&quot;86f38516-a1d8-32f6-a072-f714e28219fd&quot;,&quot;itemData&quot;:{&quot;type&quot;:&quot;article-journal&quot;,&quot;id&quot;:&quot;86f38516-a1d8-32f6-a072-f714e28219fd&quot;,&quot;title&quot;:&quot;Gram-Positive Uropathogens, Polymicrobial Urinary Tract Infection, and the Emerging Microbiota of the Urinary Tract.&quot;,&quot;author&quot;:[{&quot;family&quot;:&quot;Kline&quot;,&quot;given&quot;:&quot;Kimberly A&quot;,&quot;parse-names&quot;:false,&quot;dropping-particle&quot;:&quot;&quot;,&quot;non-dropping-particle&quot;:&quot;&quot;},{&quot;family&quot;:&quot;Lewis&quot;,&quot;given&quot;:&quot;Amanda L&quot;,&quot;parse-names&quot;:false,&quot;dropping-particle&quot;:&quot;&quot;,&quot;non-dropping-particle&quot;:&quot;&quot;}],&quot;container-title&quot;:&quot;Microbiology spectrum&quot;,&quot;container-title-short&quot;:&quot;Microbiol Spectr&quot;,&quot;DOI&quot;:&quot;10.1128/microbiolspec.UTI-0012-2012&quot;,&quot;ISSN&quot;:&quot;2165-0497&quot;,&quot;PMID&quot;:&quot;27227294&quot;,&quot;issued&quot;:{&quot;date-parts&quot;:[[2016]]},&quot;abstract&quot;:&quot;Gram-positive bacteria are a common cause of urinary-tract infection (UTI), particularly among individuals who are elderly, pregnant, or who have other risk factors for UTI. Here we review the epidemiology, virulence mechanisms, and host response to the most frequently isolated Gram-positive uropathogens: Staphylococcus saprophyticus, Enterococcus faecalis, and Streptococcus agalactiae. We also review several emerging, rare, misclassified, and otherwise underreported Gram-positive pathogens of the urinary tract including Aerococcus, Corynebacterium, Actinobaculum, and Gardnerella. The literature strongly suggests that urologic diseases involving Gram-positive bacteria may be easily overlooked due to limited culture-based assays typically utilized for urine in hospital microbiology laboratories. Some UTIs are polymicrobial in nature, often involving one or more Gram-positive bacteria. We herein review the risk factors and recent evidence for mechanisms of bacterial synergy in experimental models of polymicrobial UTI. Recent experimental data has demonstrated that, despite being cleared quickly from the bladder, some Gram-positive bacteria can impact pathogenic outcomes of co-infecting organisms. When taken together, the available evidence argues that Gram-positive bacteria are important uropathogens in their own right, but that some can be easily overlooked because they are missed by routine diagnostic methods. Finally, a growing body of evidence demonstrates that a surprising variety of fastidious Gram-positive bacteria may either reside in or be regularly exposed to the urinary tract and further suggests that their presence is widespread among women, as well as men. Experimental studies in this area are needed; however, there is a growing appreciation that the composition of bacteria found in the bladder could be a potentially important determinant in urologic disease, including susceptibility to UTI.&quot;,&quot;issue&quot;:&quot;2&quot;,&quot;volume&quot;:&quot;4&quot;},&quot;isTemporary&quot;:false}]},{&quot;citationID&quot;:&quot;MENDELEY_CITATION_4f1798db-c4de-4369-89d8-a0dfc6906615&quot;,&quot;properties&quot;:{&quot;noteIndex&quot;:0},&quot;isEdited&quot;:false,&quot;manualOverride&quot;:{&quot;isManuallyOverridden&quot;:false,&quot;citeprocText&quot;:&quot;[1]&quot;,&quot;manualOverrideText&quot;:&quot;&quot;},&quot;citationTag&quot;:&quot;MENDELEY_CITATION_v3_eyJjaXRhdGlvbklEIjoiTUVOREVMRVlfQ0lUQVRJT05fNGYxNzk4ZGItYzRkZS00MzY5LTg5ZDgtYTBkZmM2OTA2NjE1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citationID&quot;:&quot;MENDELEY_CITATION_30ed7f42-a4b6-4114-ac68-9956339d2147&quot;,&quot;properties&quot;:{&quot;noteIndex&quot;:0},&quot;isEdited&quot;:false,&quot;manualOverride&quot;:{&quot;isManuallyOverridden&quot;:false,&quot;citeprocText&quot;:&quot;[1]&quot;,&quot;manualOverrideText&quot;:&quot;&quot;},&quot;citationTag&quot;:&quot;MENDELEY_CITATION_v3_eyJjaXRhdGlvbklEIjoiTUVOREVMRVlfQ0lUQVRJT05fMzBlZDdmNDItYTRiNi00MTE0LWFjNjgtOTk1NjMzOWQyMTQ3IiwicHJvcGVydGllcyI6eyJub3RlSW5kZXgiOjB9LCJpc0VkaXRlZCI6ZmFsc2UsIm1hbnVhbE92ZXJyaWRlIjp7ImlzTWFudWFsbHlPdmVycmlkZGVuIjpmYWxzZSwiY2l0ZXByb2NUZXh0IjoiWzFd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citationID&quot;:&quot;MENDELEY_CITATION_12cc9bc4-196b-44e4-a6da-ba8f659baef1&quot;,&quot;properties&quot;:{&quot;noteIndex&quot;:0},&quot;isEdited&quot;:false,&quot;manualOverride&quot;:{&quot;isManuallyOverridden&quot;:false,&quot;citeprocText&quot;:&quot;[4]&quot;,&quot;manualOverrideText&quot;:&quot;&quot;},&quot;citationTag&quot;:&quot;MENDELEY_CITATION_v3_eyJjaXRhdGlvbklEIjoiTUVOREVMRVlfQ0lUQVRJT05fMTJjYzliYzQtMTk2Yi00NGU0LWE2ZGEtYmE4ZjY1OWJhZWYx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quot;,&quot;citationItems&quot;:[{&quot;id&quot;:&quot;3ce70a50-ffa5-3099-b45f-eed83331a89b&quot;,&quot;itemData&quot;:{&quot;type&quot;:&quot;report&quot;,&quot;id&quot;:&quot;3ce70a50-ffa5-3099-b45f-eed83331a89b&quot;,&quot;title&quot;:&quot;Bailey &amp; Scott's Diagnostic Microbiology&quot;,&quot;author&quot;:[{&quot;family&quot;:&quot;Taxonomy&quot;,&quot;given&quot;:&quot;Microbial&quot;,&quot;parse-names&quot;:false,&quot;dropping-particle&quot;:&quot;&quot;,&quot;non-dropping-particle&quot;:&quot;&quot;}],&quot;container-title&quot;:&quot;Basic Medical Microbiology&quot;,&quot;issued&quot;:{&quot;date-parts&quot;:[[2014]]},&quot;number-of-pages&quot;:&quot;1&quot;,&quot;container-title-short&quot;:&quot;&quot;},&quot;isTemporary&quot;:false}]},{&quot;citationID&quot;:&quot;MENDELEY_CITATION_4c6dd9ba-28f1-429d-815d-75d4141e6eef&quot;,&quot;properties&quot;:{&quot;noteIndex&quot;:0},&quot;isEdited&quot;:false,&quot;manualOverride&quot;:{&quot;isManuallyOverridden&quot;:false,&quot;citeprocText&quot;:&quot;[4]&quot;,&quot;manualOverrideText&quot;:&quot;&quot;},&quot;citationTag&quot;:&quot;MENDELEY_CITATION_v3_eyJjaXRhdGlvbklEIjoiTUVOREVMRVlfQ0lUQVRJT05fNGM2ZGQ5YmEtMjhmMS00MjlkLTgxNWQtNzVkNDE0MWU2ZWVm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quot;,&quot;citationItems&quot;:[{&quot;id&quot;:&quot;3ce70a50-ffa5-3099-b45f-eed83331a89b&quot;,&quot;itemData&quot;:{&quot;type&quot;:&quot;report&quot;,&quot;id&quot;:&quot;3ce70a50-ffa5-3099-b45f-eed83331a89b&quot;,&quot;title&quot;:&quot;Bailey &amp; Scott's Diagnostic Microbiology&quot;,&quot;author&quot;:[{&quot;family&quot;:&quot;Taxonomy&quot;,&quot;given&quot;:&quot;Microbial&quot;,&quot;parse-names&quot;:false,&quot;dropping-particle&quot;:&quot;&quot;,&quot;non-dropping-particle&quot;:&quot;&quot;}],&quot;container-title&quot;:&quot;Basic Medical Microbiology&quot;,&quot;issued&quot;:{&quot;date-parts&quot;:[[2014]]},&quot;number-of-pages&quot;:&quot;1&quot;,&quot;container-title-short&quot;:&quot;&quot;},&quot;isTemporary&quot;:false}]},{&quot;citationID&quot;:&quot;MENDELEY_CITATION_22ff2d10-5930-45e1-aea3-7a9c1c9d5525&quot;,&quot;properties&quot;:{&quot;noteIndex&quot;:0},&quot;isEdited&quot;:false,&quot;manualOverride&quot;:{&quot;isManuallyOverridden&quot;:false,&quot;citeprocText&quot;:&quot;[3]&quot;,&quot;manualOverrideText&quot;:&quot;&quot;},&quot;citationTag&quot;:&quot;MENDELEY_CITATION_v3_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&quot;,&quot;citationItems&quot;:[{&quot;id&quot;:&quot;7e421520-35ce-351f-804b-3cb8c1217c43&quot;,&quot;itemData&quot;:{&quot;type&quot;:&quot;report&quot;,&quot;id&quot;:&quot;7e421520-35ce-351f-804b-3cb8c1217c43&quot;,&quot;title&quot;:&quot;Gray's Anatomy for Students Flash Cards: with STUDENT CONSULT Online Access&quot;,&quot;author&quot;:[{&quot;family&quot;:&quot;Drake FAAA&quot;,&quot;given&quot;:&quot;Richard L&quot;,&quot;parse-names&quot;:false,&quot;dropping-particle&quot;:&quot;&quot;,&quot;non-dropping-particle&quot;:&quot;&quot;},{&quot;family&quot;:&quot;Wayne Vogl FAAA&quot;,&quot;given&quot;:&quot;A&quot;,&quot;parse-names&quot;:false,&quot;dropping-particle&quot;:&quot;&quot;,&quot;non-dropping-particle&quot;:&quot;&quot;},{&quot;family&quot;:&quot;Mitchell MB BS FRCS FRCR&quot;,&quot;given&quot;:&quot;Adam WM&quot;,&quot;parse-names&quot;:false,&quot;dropping-particle&quot;:&quot;&quot;,&quot;non-dropping-particle&quot;:&quot;&quot;}],&quot;issued&quot;:{&quot;date-parts&quot;:[[2015]]},&quot;container-title-short&quot;:&quot;&quot;},&quot;isTemporary&quot;:false}]},{&quot;citationID&quot;:&quot;MENDELEY_CITATION_05d890b7-063a-4a9c-b92e-58520ef983b4&quot;,&quot;properties&quot;:{&quot;noteIndex&quot;:0},&quot;isEdited&quot;:false,&quot;manualOverride&quot;:{&quot;isManuallyOverridden&quot;:false,&quot;citeprocText&quot;:&quot;[4]&quot;,&quot;manualOverrideText&quot;:&quot;&quot;},&quot;citationTag&quot;:&quot;MENDELEY_CITATION_v3_eyJjaXRhdGlvbklEIjoiTUVOREVMRVlfQ0lUQVRJT05fMDVkODkwYjctMDYzYS00YTljLWI5MmUtNTg1MjBlZjk4M2I0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quot;,&quot;citationItems&quot;:[{&quot;id&quot;:&quot;3ce70a50-ffa5-3099-b45f-eed83331a89b&quot;,&quot;itemData&quot;:{&quot;type&quot;:&quot;report&quot;,&quot;id&quot;:&quot;3ce70a50-ffa5-3099-b45f-eed83331a89b&quot;,&quot;title&quot;:&quot;Bailey &amp; Scott's Diagnostic Microbiology&quot;,&quot;author&quot;:[{&quot;family&quot;:&quot;Taxonomy&quot;,&quot;given&quot;:&quot;Microbial&quot;,&quot;parse-names&quot;:false,&quot;dropping-particle&quot;:&quot;&quot;,&quot;non-dropping-particle&quot;:&quot;&quot;}],&quot;container-title&quot;:&quot;Basic Medical Microbiology&quot;,&quot;issued&quot;:{&quot;date-parts&quot;:[[2014]]},&quot;number-of-pages&quot;:&quot;1&quot;,&quot;container-title-short&quot;:&quot;&quot;},&quot;isTemporary&quot;:false}]},{&quot;citationID&quot;:&quot;MENDELEY_CITATION_e9460158-f9c8-46a7-b3ba-865cdfe594ac&quot;,&quot;properties&quot;:{&quot;noteIndex&quot;:0},&quot;isEdited&quot;:false,&quot;manualOverride&quot;:{&quot;isManuallyOverridden&quot;:false,&quot;citeprocText&quot;:&quot;[4]&quot;,&quot;manualOverrideText&quot;:&quot;&quot;},&quot;citationTag&quot;:&quot;MENDELEY_CITATION_v3_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&quot;,&quot;citationItems&quot;:[{&quot;id&quot;:&quot;3ce70a50-ffa5-3099-b45f-eed83331a89b&quot;,&quot;itemData&quot;:{&quot;type&quot;:&quot;report&quot;,&quot;id&quot;:&quot;3ce70a50-ffa5-3099-b45f-eed83331a89b&quot;,&quot;title&quot;:&quot;Bailey &amp; Scott's Diagnostic Microbiology&quot;,&quot;author&quot;:[{&quot;family&quot;:&quot;Taxonomy&quot;,&quot;given&quot;:&quot;Microbial&quot;,&quot;parse-names&quot;:false,&quot;dropping-particle&quot;:&quot;&quot;,&quot;non-dropping-particle&quot;:&quot;&quot;}],&quot;container-title&quot;:&quot;Basic Medical Microbiology&quot;,&quot;issued&quot;:{&quot;date-parts&quot;:[[2014]]},&quot;number-of-pages&quot;:&quot;1&quot;,&quot;container-title-short&quot;:&quot;&quot;},&quot;isTemporary&quot;:false}]}]"/>
    <we:property name="MENDELEY_CITATIONS_STYLE" value="{&quot;id&quot;:&quot;https://www.zotero.org/styles/elsevier-vancouver&quot;,&quot;title&quot;:&quot;Elsevier - Vancouver&quot;,&quot;format&quot;:&quot;numeric&quot;}"/>
  </we:properties>
  <we:bindings/>
  <we:snapshot xmlns:r="http://schemas.openxmlformats.org/officeDocument/2006/relationships"/>
</we:webextension>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Guest User</dc:creator>
  <keywords/>
  <dc:description/>
  <lastModifiedBy>Guest User</lastModifiedBy>
  <revision>19</revision>
  <dcterms:created xsi:type="dcterms:W3CDTF">2022-06-01T08:37:00.0000000Z</dcterms:created>
  <dcterms:modified xsi:type="dcterms:W3CDTF">2022-06-20T19:46:42.9908848Z</dcterms:modified>
</coreProperties>
</file>