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001490" w14:textId="6918A095" w:rsidR="00F83B1E" w:rsidRDefault="003E1F9B" w:rsidP="00F83B1E">
      <w:pPr>
        <w:jc w:val="center"/>
        <w:rPr>
          <w:rFonts w:asciiTheme="majorBidi" w:hAnsiTheme="majorBidi" w:cstheme="majorBidi"/>
          <w:sz w:val="32"/>
          <w:szCs w:val="32"/>
        </w:rPr>
      </w:pPr>
      <w:r>
        <w:rPr>
          <w:rFonts w:asciiTheme="majorBidi" w:hAnsiTheme="majorBidi" w:cstheme="majorBidi"/>
          <w:noProof/>
        </w:rPr>
        <w:drawing>
          <wp:anchor distT="0" distB="0" distL="114300" distR="114300" simplePos="0" relativeHeight="251659264" behindDoc="0" locked="0" layoutInCell="1" allowOverlap="1" wp14:anchorId="70D55F93" wp14:editId="41F2BF6E">
            <wp:simplePos x="1200150" y="914400"/>
            <wp:positionH relativeFrom="margin">
              <wp:align>left</wp:align>
            </wp:positionH>
            <wp:positionV relativeFrom="margin">
              <wp:align>top</wp:align>
            </wp:positionV>
            <wp:extent cx="1314450" cy="1322705"/>
            <wp:effectExtent l="0" t="0" r="0" b="0"/>
            <wp:wrapSquare wrapText="bothSides"/>
            <wp:docPr id="2" name="صورة 2"/>
            <wp:cNvGraphicFramePr/>
            <a:graphic xmlns:a="http://schemas.openxmlformats.org/drawingml/2006/main">
              <a:graphicData uri="http://schemas.openxmlformats.org/drawingml/2006/picture">
                <pic:pic xmlns:pic="http://schemas.openxmlformats.org/drawingml/2006/picture">
                  <pic:nvPicPr>
                    <pic:cNvPr id="2" name="صورة 2"/>
                    <pic:cNvPicPr>
                      <a:picLocks noChangeAspect="1"/>
                    </pic:cNvPicPr>
                  </pic:nvPicPr>
                  <pic:blipFill rotWithShape="1">
                    <a:blip r:embed="rId5" cstate="print">
                      <a:extLst>
                        <a:ext uri="{28A0092B-C50C-407E-A947-70E740481C1C}">
                          <a14:useLocalDpi xmlns:a14="http://schemas.microsoft.com/office/drawing/2010/main" val="0"/>
                        </a:ext>
                      </a:extLst>
                    </a:blip>
                    <a:srcRect l="14923" t="14151" r="25348" b="23585"/>
                    <a:stretch/>
                  </pic:blipFill>
                  <pic:spPr bwMode="auto">
                    <a:xfrm>
                      <a:off x="0" y="0"/>
                      <a:ext cx="1314450" cy="1322705"/>
                    </a:xfrm>
                    <a:prstGeom prst="ellipse">
                      <a:avLst/>
                    </a:prstGeom>
                    <a:ln>
                      <a:noFill/>
                    </a:ln>
                    <a:effectLst>
                      <a:softEdge rad="112500"/>
                    </a:effectLst>
                    <a:extLst>
                      <a:ext uri="{53640926-AAD7-44D8-BBD7-CCE9431645EC}">
                        <a14:shadowObscured xmlns:a14="http://schemas.microsoft.com/office/drawing/2010/main"/>
                      </a:ext>
                    </a:extLst>
                  </pic:spPr>
                </pic:pic>
              </a:graphicData>
            </a:graphic>
          </wp:anchor>
        </w:drawing>
      </w:r>
      <w:r w:rsidR="00F83B1E">
        <w:rPr>
          <w:noProof/>
        </w:rPr>
        <w:drawing>
          <wp:anchor distT="0" distB="0" distL="114300" distR="114300" simplePos="0" relativeHeight="251658240" behindDoc="1" locked="0" layoutInCell="1" allowOverlap="1" wp14:anchorId="4CF8FB31" wp14:editId="53AB1E2F">
            <wp:simplePos x="6276975" y="914400"/>
            <wp:positionH relativeFrom="margin">
              <wp:align>right</wp:align>
            </wp:positionH>
            <wp:positionV relativeFrom="margin">
              <wp:align>top</wp:align>
            </wp:positionV>
            <wp:extent cx="1162050" cy="941705"/>
            <wp:effectExtent l="0" t="0" r="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62050" cy="941705"/>
                    </a:xfrm>
                    <a:prstGeom prst="rect">
                      <a:avLst/>
                    </a:prstGeom>
                    <a:noFill/>
                  </pic:spPr>
                </pic:pic>
              </a:graphicData>
            </a:graphic>
            <wp14:sizeRelH relativeFrom="margin">
              <wp14:pctWidth>0</wp14:pctWidth>
            </wp14:sizeRelH>
            <wp14:sizeRelV relativeFrom="margin">
              <wp14:pctHeight>0</wp14:pctHeight>
            </wp14:sizeRelV>
          </wp:anchor>
        </w:drawing>
      </w:r>
      <w:r w:rsidR="00F83B1E">
        <w:rPr>
          <w:rFonts w:asciiTheme="majorBidi" w:hAnsiTheme="majorBidi" w:cstheme="majorBidi"/>
          <w:b/>
          <w:bCs/>
          <w:sz w:val="32"/>
          <w:szCs w:val="32"/>
        </w:rPr>
        <w:t>Libyan International Medical University</w:t>
      </w:r>
    </w:p>
    <w:p w14:paraId="3621DD89" w14:textId="77777777" w:rsidR="00F83B1E" w:rsidRDefault="00F83B1E" w:rsidP="00F83B1E">
      <w:pPr>
        <w:jc w:val="center"/>
        <w:rPr>
          <w:rFonts w:asciiTheme="majorBidi" w:hAnsiTheme="majorBidi" w:cstheme="majorBidi"/>
          <w:b/>
          <w:bCs/>
          <w:sz w:val="32"/>
          <w:szCs w:val="32"/>
        </w:rPr>
      </w:pPr>
      <w:r>
        <w:rPr>
          <w:rFonts w:asciiTheme="majorBidi" w:hAnsiTheme="majorBidi" w:cstheme="majorBidi"/>
          <w:b/>
          <w:bCs/>
          <w:sz w:val="28"/>
          <w:szCs w:val="28"/>
        </w:rPr>
        <w:t xml:space="preserve">      Faculty of Basic Medical Science</w:t>
      </w:r>
    </w:p>
    <w:p w14:paraId="4A7F3713" w14:textId="20D1E9FB" w:rsidR="009A26EF" w:rsidRDefault="009A26EF" w:rsidP="009A26EF">
      <w:pPr>
        <w:bidi/>
        <w:rPr>
          <w:rtl/>
          <w:lang w:bidi="ar-LY"/>
        </w:rPr>
      </w:pPr>
    </w:p>
    <w:p w14:paraId="300A03AC" w14:textId="1783CBE4" w:rsidR="00F83B1E" w:rsidRDefault="00F83B1E" w:rsidP="00F83B1E">
      <w:pPr>
        <w:bidi/>
        <w:rPr>
          <w:rtl/>
          <w:lang w:bidi="ar-LY"/>
        </w:rPr>
      </w:pPr>
      <w:r>
        <w:rPr>
          <w:rFonts w:asciiTheme="majorBidi" w:eastAsia="Times New Roman" w:hAnsiTheme="majorBidi" w:cstheme="majorBidi"/>
          <w:b/>
          <w:bCs/>
          <w:color w:val="333333"/>
          <w:sz w:val="36"/>
          <w:szCs w:val="32"/>
        </w:rPr>
        <w:t>Asymptomatic Bacteriuria among LIMU students</w:t>
      </w:r>
    </w:p>
    <w:p w14:paraId="3631B7E8" w14:textId="2C68FD19" w:rsidR="00F83B1E" w:rsidRDefault="00F83B1E" w:rsidP="00F83B1E">
      <w:pPr>
        <w:bidi/>
        <w:rPr>
          <w:rtl/>
          <w:lang w:bidi="ar-LY"/>
        </w:rPr>
      </w:pPr>
    </w:p>
    <w:p w14:paraId="26EAC55F" w14:textId="49D82F41" w:rsidR="00F83B1E" w:rsidRPr="00FB2F2D" w:rsidRDefault="00F83B1E" w:rsidP="00FB2F2D">
      <w:pPr>
        <w:bidi/>
        <w:jc w:val="right"/>
        <w:rPr>
          <w:rFonts w:asciiTheme="majorBidi" w:eastAsia="Times New Roman" w:hAnsiTheme="majorBidi" w:cstheme="majorBidi"/>
          <w:b/>
          <w:bCs/>
          <w:color w:val="333333"/>
          <w:sz w:val="32"/>
          <w:szCs w:val="28"/>
          <w:lang w:bidi="ar-LY"/>
        </w:rPr>
      </w:pPr>
      <w:r w:rsidRPr="00FB2F2D">
        <w:rPr>
          <w:rFonts w:asciiTheme="majorBidi" w:eastAsia="Times New Roman" w:hAnsiTheme="majorBidi" w:cstheme="majorBidi"/>
          <w:b/>
          <w:bCs/>
          <w:color w:val="333333"/>
          <w:sz w:val="32"/>
          <w:szCs w:val="28"/>
          <w:lang w:bidi="ar-LY"/>
        </w:rPr>
        <w:t>STUDENT NAME:</w:t>
      </w:r>
      <w:r w:rsidR="00B36462">
        <w:rPr>
          <w:rFonts w:asciiTheme="majorBidi" w:eastAsia="Times New Roman" w:hAnsiTheme="majorBidi" w:cstheme="majorBidi"/>
          <w:b/>
          <w:bCs/>
          <w:color w:val="333333"/>
          <w:sz w:val="32"/>
          <w:szCs w:val="28"/>
          <w:lang w:bidi="ar-LY"/>
        </w:rPr>
        <w:t xml:space="preserve"> </w:t>
      </w:r>
      <w:r w:rsidRPr="00FB2F2D">
        <w:rPr>
          <w:rFonts w:asciiTheme="majorBidi" w:eastAsia="Times New Roman" w:hAnsiTheme="majorBidi" w:cstheme="majorBidi"/>
          <w:b/>
          <w:bCs/>
          <w:color w:val="333333"/>
          <w:sz w:val="32"/>
          <w:szCs w:val="28"/>
          <w:lang w:bidi="ar-LY"/>
        </w:rPr>
        <w:t>MOATH FARAJ ALSARAH</w:t>
      </w:r>
    </w:p>
    <w:p w14:paraId="40B36F4E" w14:textId="77777777" w:rsidR="00852039" w:rsidRDefault="00F83B1E" w:rsidP="00FB2F2D">
      <w:pPr>
        <w:bidi/>
        <w:jc w:val="right"/>
        <w:rPr>
          <w:rFonts w:asciiTheme="majorBidi" w:eastAsia="Times New Roman" w:hAnsiTheme="majorBidi" w:cstheme="majorBidi"/>
          <w:b/>
          <w:bCs/>
          <w:color w:val="333333"/>
          <w:sz w:val="32"/>
          <w:szCs w:val="28"/>
          <w:lang w:bidi="ar-LY"/>
        </w:rPr>
      </w:pPr>
      <w:r w:rsidRPr="00FB2F2D">
        <w:rPr>
          <w:rFonts w:asciiTheme="majorBidi" w:eastAsia="Times New Roman" w:hAnsiTheme="majorBidi" w:cstheme="majorBidi"/>
          <w:b/>
          <w:bCs/>
          <w:color w:val="333333"/>
          <w:sz w:val="32"/>
          <w:szCs w:val="28"/>
          <w:lang w:bidi="ar-LY"/>
        </w:rPr>
        <w:t>STUDENT NUMBER:2988</w:t>
      </w:r>
    </w:p>
    <w:p w14:paraId="1273137C" w14:textId="77777777" w:rsidR="00852039" w:rsidRPr="00B36462" w:rsidRDefault="00852039" w:rsidP="00852039">
      <w:pPr>
        <w:tabs>
          <w:tab w:val="left" w:pos="3540"/>
        </w:tabs>
        <w:rPr>
          <w:rFonts w:asciiTheme="majorBidi" w:hAnsiTheme="majorBidi" w:cstheme="majorBidi"/>
          <w:b/>
          <w:bCs/>
          <w:color w:val="262626" w:themeColor="text1" w:themeTint="D9"/>
          <w:sz w:val="32"/>
          <w:szCs w:val="32"/>
          <w:rtl/>
        </w:rPr>
      </w:pPr>
      <w:r w:rsidRPr="00B36462">
        <w:rPr>
          <w:rFonts w:asciiTheme="majorBidi" w:hAnsiTheme="majorBidi" w:cstheme="majorBidi"/>
          <w:b/>
          <w:bCs/>
          <w:color w:val="262626" w:themeColor="text1" w:themeTint="D9"/>
          <w:sz w:val="32"/>
          <w:szCs w:val="32"/>
        </w:rPr>
        <w:t xml:space="preserve">Supervisor: </w:t>
      </w:r>
      <w:r w:rsidRPr="00B36462">
        <w:rPr>
          <w:rFonts w:asciiTheme="majorBidi" w:hAnsiTheme="majorBidi" w:cstheme="majorBidi"/>
          <w:b/>
          <w:bCs/>
          <w:color w:val="262626" w:themeColor="text1" w:themeTint="D9"/>
          <w:sz w:val="32"/>
          <w:szCs w:val="32"/>
          <w:rtl/>
        </w:rPr>
        <w:t>د. انتصار الناجي</w:t>
      </w:r>
    </w:p>
    <w:p w14:paraId="3F78251E" w14:textId="70FE5324" w:rsidR="0067482F" w:rsidRPr="00B36462" w:rsidRDefault="00852039" w:rsidP="00852039">
      <w:pPr>
        <w:tabs>
          <w:tab w:val="left" w:pos="3540"/>
        </w:tabs>
        <w:rPr>
          <w:rFonts w:asciiTheme="majorBidi" w:hAnsiTheme="majorBidi" w:cstheme="majorBidi"/>
          <w:b/>
          <w:bCs/>
          <w:color w:val="262626" w:themeColor="text1" w:themeTint="D9"/>
          <w:sz w:val="32"/>
          <w:szCs w:val="32"/>
        </w:rPr>
      </w:pPr>
      <w:r w:rsidRPr="00B36462">
        <w:rPr>
          <w:rFonts w:asciiTheme="majorBidi" w:hAnsiTheme="majorBidi" w:cstheme="majorBidi"/>
          <w:b/>
          <w:bCs/>
          <w:color w:val="262626" w:themeColor="text1" w:themeTint="D9"/>
          <w:sz w:val="32"/>
          <w:szCs w:val="32"/>
        </w:rPr>
        <w:t>Assisted by:</w:t>
      </w:r>
      <w:r w:rsidRPr="00B36462">
        <w:rPr>
          <w:rFonts w:asciiTheme="majorBidi" w:hAnsiTheme="majorBidi" w:cstheme="majorBidi"/>
          <w:b/>
          <w:bCs/>
          <w:color w:val="262626" w:themeColor="text1" w:themeTint="D9"/>
          <w:sz w:val="32"/>
          <w:szCs w:val="32"/>
          <w:rtl/>
        </w:rPr>
        <w:t xml:space="preserve"> أ. ناجي الحمري</w:t>
      </w:r>
      <w:r w:rsidR="00F83B1E" w:rsidRPr="00B36462">
        <w:rPr>
          <w:rFonts w:asciiTheme="majorBidi" w:eastAsia="Times New Roman" w:hAnsiTheme="majorBidi" w:cstheme="majorBidi"/>
          <w:b/>
          <w:bCs/>
          <w:color w:val="262626" w:themeColor="text1" w:themeTint="D9"/>
          <w:sz w:val="32"/>
          <w:szCs w:val="28"/>
          <w:lang w:bidi="ar-LY"/>
        </w:rPr>
        <w:t xml:space="preserve">   </w:t>
      </w:r>
    </w:p>
    <w:p w14:paraId="67C87473" w14:textId="50F89CE1" w:rsidR="00852039" w:rsidRPr="00B36462" w:rsidRDefault="00852039" w:rsidP="00852039">
      <w:pPr>
        <w:tabs>
          <w:tab w:val="left" w:pos="3540"/>
        </w:tabs>
        <w:rPr>
          <w:rFonts w:asciiTheme="majorBidi" w:hAnsiTheme="majorBidi" w:cstheme="majorBidi"/>
          <w:b/>
          <w:bCs/>
          <w:color w:val="262626" w:themeColor="text1" w:themeTint="D9"/>
          <w:sz w:val="32"/>
          <w:szCs w:val="32"/>
        </w:rPr>
      </w:pPr>
      <w:proofErr w:type="gramStart"/>
      <w:r w:rsidRPr="00B36462">
        <w:rPr>
          <w:rFonts w:asciiTheme="majorBidi" w:hAnsiTheme="majorBidi" w:cstheme="majorBidi"/>
          <w:b/>
          <w:bCs/>
          <w:color w:val="262626" w:themeColor="text1" w:themeTint="D9"/>
          <w:sz w:val="32"/>
          <w:szCs w:val="32"/>
        </w:rPr>
        <w:t>Year :</w:t>
      </w:r>
      <w:proofErr w:type="gramEnd"/>
      <w:r w:rsidRPr="00B36462">
        <w:rPr>
          <w:rFonts w:asciiTheme="majorBidi" w:hAnsiTheme="majorBidi" w:cstheme="majorBidi"/>
          <w:b/>
          <w:bCs/>
          <w:color w:val="262626" w:themeColor="text1" w:themeTint="D9"/>
          <w:sz w:val="32"/>
          <w:szCs w:val="32"/>
        </w:rPr>
        <w:t xml:space="preserve"> 2</w:t>
      </w:r>
    </w:p>
    <w:p w14:paraId="27C7625A" w14:textId="77777777" w:rsidR="0067482F" w:rsidRDefault="0067482F" w:rsidP="0067482F">
      <w:pPr>
        <w:bidi/>
        <w:rPr>
          <w:rFonts w:asciiTheme="majorBidi" w:eastAsia="Times New Roman" w:hAnsiTheme="majorBidi" w:cstheme="majorBidi"/>
          <w:b/>
          <w:bCs/>
          <w:color w:val="333333"/>
          <w:sz w:val="36"/>
          <w:szCs w:val="32"/>
          <w:lang w:bidi="ar-LY"/>
        </w:rPr>
      </w:pPr>
    </w:p>
    <w:p w14:paraId="64B0BF3D" w14:textId="77777777" w:rsidR="0067482F" w:rsidRDefault="0067482F" w:rsidP="0067482F">
      <w:pPr>
        <w:bidi/>
        <w:rPr>
          <w:rFonts w:asciiTheme="majorBidi" w:eastAsia="Times New Roman" w:hAnsiTheme="majorBidi" w:cstheme="majorBidi"/>
          <w:b/>
          <w:bCs/>
          <w:color w:val="333333"/>
          <w:sz w:val="36"/>
          <w:szCs w:val="32"/>
          <w:lang w:bidi="ar-LY"/>
        </w:rPr>
      </w:pPr>
    </w:p>
    <w:p w14:paraId="4669A1ED" w14:textId="77777777" w:rsidR="0067482F" w:rsidRDefault="0067482F" w:rsidP="0067482F">
      <w:pPr>
        <w:bidi/>
        <w:rPr>
          <w:rFonts w:asciiTheme="majorBidi" w:eastAsia="Times New Roman" w:hAnsiTheme="majorBidi" w:cstheme="majorBidi"/>
          <w:b/>
          <w:bCs/>
          <w:color w:val="333333"/>
          <w:sz w:val="36"/>
          <w:szCs w:val="32"/>
          <w:lang w:bidi="ar-LY"/>
        </w:rPr>
      </w:pPr>
    </w:p>
    <w:p w14:paraId="0C5486C3" w14:textId="77777777" w:rsidR="0067482F" w:rsidRDefault="0067482F" w:rsidP="0067482F">
      <w:pPr>
        <w:bidi/>
        <w:rPr>
          <w:rFonts w:asciiTheme="majorBidi" w:eastAsia="Times New Roman" w:hAnsiTheme="majorBidi" w:cstheme="majorBidi" w:hint="cs"/>
          <w:b/>
          <w:bCs/>
          <w:color w:val="333333"/>
          <w:sz w:val="36"/>
          <w:szCs w:val="32"/>
          <w:lang w:bidi="ar-LY"/>
        </w:rPr>
      </w:pPr>
    </w:p>
    <w:p w14:paraId="49C7B58D" w14:textId="2270325B" w:rsidR="0013635F" w:rsidRDefault="0013635F" w:rsidP="0013635F">
      <w:pPr>
        <w:bidi/>
        <w:jc w:val="right"/>
        <w:rPr>
          <w:rFonts w:asciiTheme="majorBidi" w:eastAsia="Times New Roman" w:hAnsiTheme="majorBidi" w:cstheme="majorBidi"/>
          <w:b/>
          <w:bCs/>
          <w:color w:val="333333"/>
          <w:sz w:val="36"/>
          <w:szCs w:val="32"/>
          <w:lang w:bidi="ar-LY"/>
        </w:rPr>
      </w:pPr>
      <w:r>
        <w:rPr>
          <w:rFonts w:asciiTheme="majorBidi" w:eastAsia="Times New Roman" w:hAnsiTheme="majorBidi" w:cstheme="majorBidi"/>
          <w:b/>
          <w:bCs/>
          <w:color w:val="333333"/>
          <w:sz w:val="36"/>
          <w:szCs w:val="32"/>
          <w:lang w:bidi="ar-LY"/>
        </w:rPr>
        <w:t>Abstract</w:t>
      </w:r>
    </w:p>
    <w:p w14:paraId="1A37EAFF" w14:textId="0BE1DDA4" w:rsidR="0067482F" w:rsidRPr="00B3179C" w:rsidRDefault="0013635F" w:rsidP="0013635F">
      <w:pPr>
        <w:bidi/>
        <w:jc w:val="right"/>
        <w:rPr>
          <w:rFonts w:asciiTheme="majorBidi" w:eastAsia="Times New Roman" w:hAnsiTheme="majorBidi" w:cstheme="majorBidi" w:hint="cs"/>
          <w:b/>
          <w:bCs/>
          <w:color w:val="0D0D0D" w:themeColor="text1" w:themeTint="F2"/>
          <w:sz w:val="28"/>
          <w:szCs w:val="28"/>
          <w:lang w:bidi="ar-LY"/>
        </w:rPr>
      </w:pPr>
      <w:r w:rsidRPr="00B3179C">
        <w:rPr>
          <w:rFonts w:asciiTheme="majorBidi" w:eastAsia="Times New Roman" w:hAnsiTheme="majorBidi" w:cstheme="majorBidi"/>
          <w:color w:val="0D0D0D" w:themeColor="text1" w:themeTint="F2"/>
          <w:sz w:val="28"/>
          <w:szCs w:val="28"/>
          <w:lang w:bidi="ar-LY"/>
        </w:rPr>
        <w:t>Investigating the prevalence of asymptomatic bacteriuria among students at Libyan International Medical University is the goal of the current study. 24 students are taking part in this study. Urine samples from men and women were obtained. Asymptomatic bacteriuria, which affects 54.2 percent of LIMU students, is defined as a substantial bacterial count in the urine. In this study, a chi-squared test was utilized, and the results suggest that there were significant differences in asymptomatic bacteriuria by gender (X2, P=0.004). ASBU was much more common in females than in males. A most frequent mechanism of bacteriuria, E. coli, was discovered</w:t>
      </w:r>
    </w:p>
    <w:p w14:paraId="7F82E385" w14:textId="77777777" w:rsidR="0067482F" w:rsidRDefault="0067482F" w:rsidP="0067482F">
      <w:pPr>
        <w:bidi/>
        <w:rPr>
          <w:rFonts w:asciiTheme="majorBidi" w:eastAsia="Times New Roman" w:hAnsiTheme="majorBidi" w:cstheme="majorBidi" w:hint="cs"/>
          <w:b/>
          <w:bCs/>
          <w:color w:val="333333"/>
          <w:sz w:val="36"/>
          <w:szCs w:val="32"/>
          <w:lang w:bidi="ar-LY"/>
        </w:rPr>
      </w:pPr>
    </w:p>
    <w:p w14:paraId="416A742F" w14:textId="77777777" w:rsidR="00B3179C" w:rsidRDefault="00B3179C" w:rsidP="00FB56C3">
      <w:pPr>
        <w:tabs>
          <w:tab w:val="left" w:pos="4020"/>
        </w:tabs>
        <w:rPr>
          <w:b/>
          <w:bCs/>
          <w:sz w:val="36"/>
          <w:szCs w:val="36"/>
        </w:rPr>
      </w:pPr>
    </w:p>
    <w:p w14:paraId="65134F55" w14:textId="77777777" w:rsidR="00B3179C" w:rsidRDefault="00B3179C" w:rsidP="00FB56C3">
      <w:pPr>
        <w:tabs>
          <w:tab w:val="left" w:pos="4020"/>
        </w:tabs>
        <w:rPr>
          <w:b/>
          <w:bCs/>
          <w:sz w:val="36"/>
          <w:szCs w:val="36"/>
        </w:rPr>
      </w:pPr>
    </w:p>
    <w:p w14:paraId="351E89C1" w14:textId="2BF80638" w:rsidR="00FB56C3" w:rsidRPr="0013635F" w:rsidRDefault="00FB56C3" w:rsidP="00FB56C3">
      <w:pPr>
        <w:tabs>
          <w:tab w:val="left" w:pos="4020"/>
        </w:tabs>
        <w:rPr>
          <w:b/>
          <w:bCs/>
          <w:sz w:val="36"/>
          <w:szCs w:val="36"/>
        </w:rPr>
      </w:pPr>
      <w:r w:rsidRPr="0013635F">
        <w:rPr>
          <w:b/>
          <w:bCs/>
          <w:sz w:val="36"/>
          <w:szCs w:val="36"/>
        </w:rPr>
        <w:t xml:space="preserve">Introduction </w:t>
      </w:r>
    </w:p>
    <w:p w14:paraId="6605757D" w14:textId="04FDDE44" w:rsidR="00EB3C1D" w:rsidRDefault="00FB56C3" w:rsidP="00DF5DDB">
      <w:pPr>
        <w:tabs>
          <w:tab w:val="left" w:pos="4020"/>
        </w:tabs>
        <w:rPr>
          <w:rFonts w:cs="Arial"/>
          <w:sz w:val="28"/>
          <w:szCs w:val="28"/>
          <w:lang w:bidi="ar-LY"/>
        </w:rPr>
      </w:pPr>
      <w:r w:rsidRPr="00DF5DDB">
        <w:rPr>
          <w:sz w:val="28"/>
          <w:szCs w:val="28"/>
        </w:rPr>
        <w:t>A sample is deemed positive for asymptomatic bacteriuria (ABU) if the growth of the organism exceeds a certain amount. Colony forming units (CFU) are used to measure the growth of the bacteria on the culture media, but the method of collection must be taken into consideration. If a midstream void is used, 105 CFU/ml is sufficient, while urethral catheterization is used, 102 CFU/ml is sufficient</w:t>
      </w:r>
      <w:r w:rsidR="00B36462">
        <w:rPr>
          <w:sz w:val="28"/>
          <w:szCs w:val="28"/>
        </w:rPr>
        <w:t xml:space="preserve">, </w:t>
      </w:r>
      <w:r w:rsidRPr="00DF5DDB">
        <w:rPr>
          <w:sz w:val="28"/>
          <w:szCs w:val="28"/>
        </w:rPr>
        <w:t>Asymptomatic bacteriuria is thought to be a fairly self-limited condition, and only people at increased risk of getting an infection,</w:t>
      </w:r>
      <w:r w:rsidR="00DF5DDB" w:rsidRPr="00DF5DDB">
        <w:rPr>
          <w:sz w:val="28"/>
          <w:szCs w:val="28"/>
        </w:rPr>
        <w:t xml:space="preserve"> </w:t>
      </w:r>
      <w:r w:rsidR="00DF5DDB" w:rsidRPr="00DF5DDB">
        <w:rPr>
          <w:rFonts w:cs="Arial"/>
          <w:sz w:val="28"/>
          <w:szCs w:val="28"/>
          <w:lang w:bidi="ar-LY"/>
        </w:rPr>
        <w:t xml:space="preserve">Pregnant women and those undergoing invasive treatments to the urinary tract risk creating a urinary tract infection, which might affect the unborn child. People receiving invasive procedures also face the risk of the organism reaching their </w:t>
      </w:r>
      <w:r w:rsidR="00DF5DDB" w:rsidRPr="00DF5DDB">
        <w:rPr>
          <w:rFonts w:cs="Arial"/>
          <w:sz w:val="28"/>
          <w:szCs w:val="28"/>
          <w:lang w:bidi="ar-LY"/>
        </w:rPr>
        <w:t>bloodstream. Asymptomatic</w:t>
      </w:r>
      <w:r w:rsidR="00DF5DDB" w:rsidRPr="00DF5DDB">
        <w:rPr>
          <w:rFonts w:cs="Arial"/>
          <w:sz w:val="28"/>
          <w:szCs w:val="28"/>
          <w:lang w:bidi="ar-LY"/>
        </w:rPr>
        <w:t xml:space="preserve"> bacteriuria is more prevalent in certain groups, such as diabetics, people with urinary tract abnormalities, people using indwelling catheters, and the older adults. And it is more likely to be an ascending infection than a descending infection, coming from the external urethra rather than the blood.</w:t>
      </w:r>
      <w:r w:rsidR="00DF5DDB">
        <w:rPr>
          <w:sz w:val="28"/>
          <w:szCs w:val="28"/>
        </w:rPr>
        <w:t xml:space="preserve"> </w:t>
      </w:r>
      <w:r w:rsidR="00DF5DDB" w:rsidRPr="00DF5DDB">
        <w:rPr>
          <w:rFonts w:cs="Arial"/>
          <w:sz w:val="28"/>
          <w:szCs w:val="28"/>
          <w:lang w:bidi="ar-LY"/>
        </w:rPr>
        <w:t>With the aid of statistical tests, this research will examine the incidence of (ABU) between the two sexes among a group of students at the Libyan International Medical University (LIMU).</w:t>
      </w:r>
    </w:p>
    <w:p w14:paraId="3CE8FB93" w14:textId="5107FE68" w:rsidR="004A099C" w:rsidRDefault="004A099C" w:rsidP="00DF5DDB">
      <w:pPr>
        <w:tabs>
          <w:tab w:val="left" w:pos="4020"/>
        </w:tabs>
        <w:rPr>
          <w:rFonts w:cs="Arial"/>
          <w:sz w:val="28"/>
          <w:szCs w:val="28"/>
          <w:lang w:bidi="ar-LY"/>
        </w:rPr>
      </w:pPr>
    </w:p>
    <w:p w14:paraId="7EF07A0F" w14:textId="77777777" w:rsidR="004A099C" w:rsidRPr="003E1F9B" w:rsidRDefault="004A099C" w:rsidP="00DF5DDB">
      <w:pPr>
        <w:tabs>
          <w:tab w:val="left" w:pos="4020"/>
        </w:tabs>
        <w:rPr>
          <w:b/>
          <w:bCs/>
          <w:sz w:val="28"/>
          <w:szCs w:val="28"/>
        </w:rPr>
      </w:pPr>
      <w:r w:rsidRPr="003E1F9B">
        <w:rPr>
          <w:rFonts w:cs="Arial"/>
          <w:b/>
          <w:bCs/>
          <w:sz w:val="36"/>
          <w:szCs w:val="36"/>
          <w:lang w:bidi="ar-LY"/>
        </w:rPr>
        <w:t xml:space="preserve">Material </w:t>
      </w:r>
      <w:r w:rsidRPr="003E1F9B">
        <w:rPr>
          <w:rFonts w:cs="Arial"/>
          <w:b/>
          <w:bCs/>
          <w:sz w:val="36"/>
          <w:szCs w:val="36"/>
          <w:lang w:bidi="ar-LY"/>
        </w:rPr>
        <w:t>and Method</w:t>
      </w:r>
      <w:r w:rsidRPr="003E1F9B">
        <w:rPr>
          <w:b/>
          <w:bCs/>
          <w:sz w:val="28"/>
          <w:szCs w:val="28"/>
        </w:rPr>
        <w:t xml:space="preserve"> </w:t>
      </w:r>
    </w:p>
    <w:p w14:paraId="231E09BB" w14:textId="77777777" w:rsidR="006454AF" w:rsidRPr="006454AF" w:rsidRDefault="006454AF" w:rsidP="006454AF">
      <w:pPr>
        <w:tabs>
          <w:tab w:val="left" w:pos="4020"/>
        </w:tabs>
        <w:rPr>
          <w:sz w:val="28"/>
          <w:szCs w:val="28"/>
        </w:rPr>
      </w:pPr>
      <w:r w:rsidRPr="006454AF">
        <w:rPr>
          <w:sz w:val="28"/>
          <w:szCs w:val="28"/>
        </w:rPr>
        <w:t>The procedure is divided into three steps: sample collection, culture preparation, and finally leads evaluation and statistical analysis.</w:t>
      </w:r>
    </w:p>
    <w:p w14:paraId="6BD49A08" w14:textId="77777777" w:rsidR="006454AF" w:rsidRDefault="006454AF" w:rsidP="006454AF">
      <w:pPr>
        <w:tabs>
          <w:tab w:val="left" w:pos="4020"/>
        </w:tabs>
        <w:rPr>
          <w:sz w:val="28"/>
          <w:szCs w:val="28"/>
        </w:rPr>
      </w:pPr>
      <w:r w:rsidRPr="006454AF">
        <w:rPr>
          <w:sz w:val="28"/>
          <w:szCs w:val="28"/>
        </w:rPr>
        <w:t xml:space="preserve">There are several methods used to collect urine, and the most common is voiding into a clean test tube. This technique is less invasive than </w:t>
      </w:r>
      <w:r w:rsidRPr="006454AF">
        <w:rPr>
          <w:sz w:val="28"/>
          <w:szCs w:val="28"/>
        </w:rPr>
        <w:lastRenderedPageBreak/>
        <w:t>others such as suprapubic ambitions and urinary catheters and has excellent patient compliance.</w:t>
      </w:r>
    </w:p>
    <w:p w14:paraId="68BC031C" w14:textId="77777777" w:rsidR="006454AF" w:rsidRPr="006454AF" w:rsidRDefault="006454AF" w:rsidP="006454AF">
      <w:pPr>
        <w:tabs>
          <w:tab w:val="left" w:pos="4020"/>
        </w:tabs>
        <w:rPr>
          <w:sz w:val="28"/>
          <w:szCs w:val="28"/>
        </w:rPr>
      </w:pPr>
      <w:r w:rsidRPr="006454AF">
        <w:rPr>
          <w:sz w:val="28"/>
          <w:szCs w:val="28"/>
        </w:rPr>
        <w:t>The culture media, MacConkey agar and 5% sheep blood, should support the growth of the majority of bacteria that causes asymptomatic bacteriuria. Wire loops of different sized (0.01 and 0.001) are used for inoculation. The wire loop is introduced into the urine and then into the center of the plate, creating many lines in the plate, before being incubated overnight at 37 degrees Celsius; if expansion happens, the quantity of colony forming units is counted.</w:t>
      </w:r>
    </w:p>
    <w:p w14:paraId="135FB7D0" w14:textId="0FD03692" w:rsidR="00E73D94" w:rsidRDefault="006454AF" w:rsidP="006454AF">
      <w:pPr>
        <w:tabs>
          <w:tab w:val="left" w:pos="4020"/>
        </w:tabs>
        <w:rPr>
          <w:sz w:val="28"/>
          <w:szCs w:val="28"/>
        </w:rPr>
      </w:pPr>
      <w:r w:rsidRPr="006454AF">
        <w:rPr>
          <w:sz w:val="28"/>
          <w:szCs w:val="28"/>
        </w:rPr>
        <w:t xml:space="preserve">The previous methods were used on 24 students (12 males and 12 females), and the findings were used in the </w:t>
      </w:r>
      <w:proofErr w:type="spellStart"/>
      <w:r w:rsidRPr="006454AF">
        <w:rPr>
          <w:sz w:val="28"/>
          <w:szCs w:val="28"/>
        </w:rPr>
        <w:t>spss</w:t>
      </w:r>
      <w:proofErr w:type="spellEnd"/>
      <w:r w:rsidRPr="006454AF">
        <w:rPr>
          <w:sz w:val="28"/>
          <w:szCs w:val="28"/>
        </w:rPr>
        <w:t xml:space="preserve"> program to see if there is a relationship between perceived and the presence of asymptotic bacteriuria.</w:t>
      </w:r>
    </w:p>
    <w:p w14:paraId="7687505F" w14:textId="77777777" w:rsidR="00E73D94" w:rsidRDefault="00E73D94" w:rsidP="00E73D94">
      <w:pPr>
        <w:tabs>
          <w:tab w:val="left" w:pos="4020"/>
        </w:tabs>
        <w:rPr>
          <w:sz w:val="24"/>
          <w:szCs w:val="24"/>
        </w:rPr>
      </w:pPr>
    </w:p>
    <w:p w14:paraId="258D96DE" w14:textId="77777777" w:rsidR="00E73D94" w:rsidRPr="006B72AB" w:rsidRDefault="00E73D94" w:rsidP="00E73D94">
      <w:pPr>
        <w:autoSpaceDE w:val="0"/>
        <w:autoSpaceDN w:val="0"/>
        <w:adjustRightInd w:val="0"/>
        <w:spacing w:after="0" w:line="320" w:lineRule="atLeast"/>
        <w:ind w:right="60"/>
        <w:rPr>
          <w:rFonts w:ascii="Arial" w:hAnsi="Arial" w:cs="Arial"/>
          <w:color w:val="010205"/>
        </w:rPr>
      </w:pPr>
      <w:r>
        <w:rPr>
          <w:rFonts w:ascii="Arial" w:hAnsi="Arial" w:cs="Arial"/>
          <w:b/>
          <w:bCs/>
          <w:color w:val="010205"/>
        </w:rPr>
        <w:t xml:space="preserve">                                             </w:t>
      </w:r>
      <w:r w:rsidRPr="006B72AB">
        <w:rPr>
          <w:rFonts w:ascii="Arial" w:hAnsi="Arial" w:cs="Arial"/>
          <w:b/>
          <w:bCs/>
          <w:color w:val="010205"/>
        </w:rPr>
        <w:t>Gender * UTICATS Crosstabulation</w:t>
      </w:r>
    </w:p>
    <w:p w14:paraId="43E18496" w14:textId="77777777" w:rsidR="00E73D94" w:rsidRDefault="00E73D94" w:rsidP="00E73D94">
      <w:pPr>
        <w:tabs>
          <w:tab w:val="left" w:pos="4020"/>
        </w:tabs>
        <w:rPr>
          <w:sz w:val="24"/>
          <w:szCs w:val="24"/>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E73D94" w:rsidRPr="006B72AB" w14:paraId="152EFD1E" w14:textId="77777777" w:rsidTr="007102E1">
        <w:trPr>
          <w:cantSplit/>
        </w:trPr>
        <w:tc>
          <w:tcPr>
            <w:tcW w:w="3673" w:type="dxa"/>
            <w:gridSpan w:val="3"/>
            <w:vMerge w:val="restart"/>
            <w:tcBorders>
              <w:top w:val="nil"/>
              <w:left w:val="nil"/>
              <w:bottom w:val="nil"/>
              <w:right w:val="nil"/>
            </w:tcBorders>
            <w:shd w:val="clear" w:color="auto" w:fill="FFFFFF"/>
            <w:vAlign w:val="bottom"/>
          </w:tcPr>
          <w:p w14:paraId="3DA84256"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4105" w:type="dxa"/>
            <w:gridSpan w:val="3"/>
            <w:tcBorders>
              <w:top w:val="nil"/>
              <w:left w:val="nil"/>
              <w:bottom w:val="nil"/>
              <w:right w:val="single" w:sz="8" w:space="0" w:color="E0E0E0"/>
            </w:tcBorders>
            <w:shd w:val="clear" w:color="auto" w:fill="FFFFFF"/>
            <w:vAlign w:val="bottom"/>
          </w:tcPr>
          <w:p w14:paraId="7B05C0E5"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30" w:type="dxa"/>
            <w:vMerge w:val="restart"/>
            <w:tcBorders>
              <w:top w:val="nil"/>
              <w:left w:val="single" w:sz="8" w:space="0" w:color="E0E0E0"/>
              <w:bottom w:val="nil"/>
              <w:right w:val="nil"/>
            </w:tcBorders>
            <w:shd w:val="clear" w:color="auto" w:fill="FFFFFF"/>
            <w:vAlign w:val="bottom"/>
          </w:tcPr>
          <w:p w14:paraId="26C6015C"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E73D94" w:rsidRPr="006B72AB" w14:paraId="4307F84D" w14:textId="77777777" w:rsidTr="007102E1">
        <w:trPr>
          <w:cantSplit/>
        </w:trPr>
        <w:tc>
          <w:tcPr>
            <w:tcW w:w="3673" w:type="dxa"/>
            <w:gridSpan w:val="3"/>
            <w:vMerge/>
            <w:tcBorders>
              <w:top w:val="nil"/>
              <w:left w:val="nil"/>
              <w:bottom w:val="nil"/>
              <w:right w:val="nil"/>
            </w:tcBorders>
            <w:shd w:val="clear" w:color="auto" w:fill="FFFFFF"/>
            <w:vAlign w:val="bottom"/>
          </w:tcPr>
          <w:p w14:paraId="46B12171"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1153" w:type="dxa"/>
            <w:tcBorders>
              <w:top w:val="nil"/>
              <w:left w:val="nil"/>
              <w:bottom w:val="single" w:sz="8" w:space="0" w:color="152935"/>
              <w:right w:val="single" w:sz="8" w:space="0" w:color="E0E0E0"/>
            </w:tcBorders>
            <w:shd w:val="clear" w:color="auto" w:fill="FFFFFF"/>
            <w:vAlign w:val="bottom"/>
          </w:tcPr>
          <w:p w14:paraId="145CD913"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49006C64"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304B24E7"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30" w:type="dxa"/>
            <w:vMerge/>
            <w:tcBorders>
              <w:top w:val="nil"/>
              <w:left w:val="single" w:sz="8" w:space="0" w:color="E0E0E0"/>
              <w:bottom w:val="nil"/>
              <w:right w:val="nil"/>
            </w:tcBorders>
            <w:shd w:val="clear" w:color="auto" w:fill="FFFFFF"/>
            <w:vAlign w:val="bottom"/>
          </w:tcPr>
          <w:p w14:paraId="4DD36CF6"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r>
      <w:tr w:rsidR="00E73D94" w:rsidRPr="006B72AB" w14:paraId="3C597B02" w14:textId="77777777" w:rsidTr="007102E1">
        <w:trPr>
          <w:cantSplit/>
        </w:trPr>
        <w:tc>
          <w:tcPr>
            <w:tcW w:w="922" w:type="dxa"/>
            <w:vMerge w:val="restart"/>
            <w:tcBorders>
              <w:top w:val="single" w:sz="8" w:space="0" w:color="152935"/>
              <w:left w:val="nil"/>
              <w:bottom w:val="nil"/>
              <w:right w:val="nil"/>
            </w:tcBorders>
            <w:shd w:val="clear" w:color="auto" w:fill="E0E0E0"/>
          </w:tcPr>
          <w:p w14:paraId="23CD8122"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14:paraId="1DDFC30E"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4" w:type="dxa"/>
            <w:tcBorders>
              <w:top w:val="single" w:sz="8" w:space="0" w:color="152935"/>
              <w:left w:val="nil"/>
              <w:bottom w:val="single" w:sz="8" w:space="0" w:color="AEAEAE"/>
              <w:right w:val="nil"/>
            </w:tcBorders>
            <w:shd w:val="clear" w:color="auto" w:fill="E0E0E0"/>
          </w:tcPr>
          <w:p w14:paraId="2C4AB16D"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Pr>
          <w:p w14:paraId="4885650F"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14:paraId="4082CEB6"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14:paraId="7540E2EC"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Pr>
          <w:p w14:paraId="554E6A86"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E73D94" w:rsidRPr="006B72AB" w14:paraId="65456BC3" w14:textId="77777777" w:rsidTr="007102E1">
        <w:trPr>
          <w:cantSplit/>
        </w:trPr>
        <w:tc>
          <w:tcPr>
            <w:tcW w:w="922" w:type="dxa"/>
            <w:vMerge/>
            <w:tcBorders>
              <w:top w:val="single" w:sz="8" w:space="0" w:color="152935"/>
              <w:left w:val="nil"/>
              <w:bottom w:val="nil"/>
              <w:right w:val="nil"/>
            </w:tcBorders>
            <w:shd w:val="clear" w:color="auto" w:fill="E0E0E0"/>
          </w:tcPr>
          <w:p w14:paraId="4FD0DDE2"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1ADCFEFF"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2B2F3296"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4CB475F0"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421D6309"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7C6D2ADB"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14:paraId="0312048E"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E73D94" w:rsidRPr="006B72AB" w14:paraId="2AE60DCD" w14:textId="77777777" w:rsidTr="007102E1">
        <w:trPr>
          <w:cantSplit/>
        </w:trPr>
        <w:tc>
          <w:tcPr>
            <w:tcW w:w="922" w:type="dxa"/>
            <w:vMerge/>
            <w:tcBorders>
              <w:top w:val="single" w:sz="8" w:space="0" w:color="152935"/>
              <w:left w:val="nil"/>
              <w:bottom w:val="nil"/>
              <w:right w:val="nil"/>
            </w:tcBorders>
            <w:shd w:val="clear" w:color="auto" w:fill="E0E0E0"/>
          </w:tcPr>
          <w:p w14:paraId="3344102E"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552D7440"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4BD1964A"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Gender</w:t>
            </w:r>
          </w:p>
        </w:tc>
        <w:tc>
          <w:tcPr>
            <w:tcW w:w="1153" w:type="dxa"/>
            <w:tcBorders>
              <w:top w:val="single" w:sz="8" w:space="0" w:color="AEAEAE"/>
              <w:left w:val="nil"/>
              <w:bottom w:val="single" w:sz="8" w:space="0" w:color="AEAEAE"/>
              <w:right w:val="single" w:sz="8" w:space="0" w:color="E0E0E0"/>
            </w:tcBorders>
            <w:shd w:val="clear" w:color="auto" w:fill="FFFFFF"/>
          </w:tcPr>
          <w:p w14:paraId="427F62F5"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C04352F"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3879204B"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Pr>
          <w:p w14:paraId="19D8BD62"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E73D94" w:rsidRPr="006B72AB" w14:paraId="5235E25A" w14:textId="77777777" w:rsidTr="007102E1">
        <w:trPr>
          <w:cantSplit/>
        </w:trPr>
        <w:tc>
          <w:tcPr>
            <w:tcW w:w="922" w:type="dxa"/>
            <w:vMerge/>
            <w:tcBorders>
              <w:top w:val="single" w:sz="8" w:space="0" w:color="152935"/>
              <w:left w:val="nil"/>
              <w:bottom w:val="nil"/>
              <w:right w:val="nil"/>
            </w:tcBorders>
            <w:shd w:val="clear" w:color="auto" w:fill="E0E0E0"/>
          </w:tcPr>
          <w:p w14:paraId="56AC49F6"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2A9E5010"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14:paraId="16724CA8"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UTICATS</w:t>
            </w:r>
          </w:p>
        </w:tc>
        <w:tc>
          <w:tcPr>
            <w:tcW w:w="1153" w:type="dxa"/>
            <w:tcBorders>
              <w:top w:val="single" w:sz="8" w:space="0" w:color="AEAEAE"/>
              <w:left w:val="nil"/>
              <w:bottom w:val="nil"/>
              <w:right w:val="single" w:sz="8" w:space="0" w:color="E0E0E0"/>
            </w:tcBorders>
            <w:shd w:val="clear" w:color="auto" w:fill="FFFFFF"/>
          </w:tcPr>
          <w:p w14:paraId="39F39083"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Pr>
          <w:p w14:paraId="4FFBD65E"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Pr>
          <w:p w14:paraId="0B5BB9C1"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nil"/>
              <w:right w:val="nil"/>
            </w:tcBorders>
            <w:shd w:val="clear" w:color="auto" w:fill="FFFFFF"/>
          </w:tcPr>
          <w:p w14:paraId="58F1E047"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E73D94" w:rsidRPr="006B72AB" w14:paraId="3F1A64A5" w14:textId="77777777" w:rsidTr="007102E1">
        <w:trPr>
          <w:cantSplit/>
        </w:trPr>
        <w:tc>
          <w:tcPr>
            <w:tcW w:w="922" w:type="dxa"/>
            <w:vMerge/>
            <w:tcBorders>
              <w:top w:val="single" w:sz="8" w:space="0" w:color="152935"/>
              <w:left w:val="nil"/>
              <w:bottom w:val="nil"/>
              <w:right w:val="nil"/>
            </w:tcBorders>
            <w:shd w:val="clear" w:color="auto" w:fill="E0E0E0"/>
          </w:tcPr>
          <w:p w14:paraId="7839795F"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14:paraId="4FF23A2E"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4" w:type="dxa"/>
            <w:tcBorders>
              <w:top w:val="single" w:sz="8" w:space="0" w:color="AEAEAE"/>
              <w:left w:val="nil"/>
              <w:bottom w:val="single" w:sz="8" w:space="0" w:color="AEAEAE"/>
              <w:right w:val="nil"/>
            </w:tcBorders>
            <w:shd w:val="clear" w:color="auto" w:fill="E0E0E0"/>
          </w:tcPr>
          <w:p w14:paraId="1AAEDC8B"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14:paraId="414F6E34"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F439317"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7E6E96CB"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739BE7D9"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E73D94" w:rsidRPr="006B72AB" w14:paraId="61A03407" w14:textId="77777777" w:rsidTr="007102E1">
        <w:trPr>
          <w:cantSplit/>
        </w:trPr>
        <w:tc>
          <w:tcPr>
            <w:tcW w:w="922" w:type="dxa"/>
            <w:vMerge/>
            <w:tcBorders>
              <w:top w:val="single" w:sz="8" w:space="0" w:color="152935"/>
              <w:left w:val="nil"/>
              <w:bottom w:val="nil"/>
              <w:right w:val="nil"/>
            </w:tcBorders>
            <w:shd w:val="clear" w:color="auto" w:fill="E0E0E0"/>
          </w:tcPr>
          <w:p w14:paraId="7293EEAC"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3038296E"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759A3EFE"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396F94E7"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08B03ADD"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BCED4B3"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14:paraId="78C2BB81"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E73D94" w:rsidRPr="006B72AB" w14:paraId="21DAE932" w14:textId="77777777" w:rsidTr="007102E1">
        <w:trPr>
          <w:cantSplit/>
        </w:trPr>
        <w:tc>
          <w:tcPr>
            <w:tcW w:w="922" w:type="dxa"/>
            <w:vMerge/>
            <w:tcBorders>
              <w:top w:val="single" w:sz="8" w:space="0" w:color="152935"/>
              <w:left w:val="nil"/>
              <w:bottom w:val="nil"/>
              <w:right w:val="nil"/>
            </w:tcBorders>
            <w:shd w:val="clear" w:color="auto" w:fill="E0E0E0"/>
          </w:tcPr>
          <w:p w14:paraId="59F8ED99"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3DBFE67E"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05FA366F"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Gender</w:t>
            </w:r>
          </w:p>
        </w:tc>
        <w:tc>
          <w:tcPr>
            <w:tcW w:w="1153" w:type="dxa"/>
            <w:tcBorders>
              <w:top w:val="single" w:sz="8" w:space="0" w:color="AEAEAE"/>
              <w:left w:val="nil"/>
              <w:bottom w:val="single" w:sz="8" w:space="0" w:color="AEAEAE"/>
              <w:right w:val="single" w:sz="8" w:space="0" w:color="E0E0E0"/>
            </w:tcBorders>
            <w:shd w:val="clear" w:color="auto" w:fill="FFFFFF"/>
          </w:tcPr>
          <w:p w14:paraId="6B06FED0"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066A5E23"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39AA1FD5"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Pr>
          <w:p w14:paraId="4E941448"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E73D94" w:rsidRPr="006B72AB" w14:paraId="7AEE106E" w14:textId="77777777" w:rsidTr="007102E1">
        <w:trPr>
          <w:cantSplit/>
        </w:trPr>
        <w:tc>
          <w:tcPr>
            <w:tcW w:w="922" w:type="dxa"/>
            <w:vMerge/>
            <w:tcBorders>
              <w:top w:val="single" w:sz="8" w:space="0" w:color="152935"/>
              <w:left w:val="nil"/>
              <w:bottom w:val="nil"/>
              <w:right w:val="nil"/>
            </w:tcBorders>
            <w:shd w:val="clear" w:color="auto" w:fill="E0E0E0"/>
          </w:tcPr>
          <w:p w14:paraId="6630F13D"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7EA39556"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14:paraId="64A4FED3"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UTICATS</w:t>
            </w:r>
          </w:p>
        </w:tc>
        <w:tc>
          <w:tcPr>
            <w:tcW w:w="1153" w:type="dxa"/>
            <w:tcBorders>
              <w:top w:val="single" w:sz="8" w:space="0" w:color="AEAEAE"/>
              <w:left w:val="nil"/>
              <w:bottom w:val="nil"/>
              <w:right w:val="single" w:sz="8" w:space="0" w:color="E0E0E0"/>
            </w:tcBorders>
            <w:shd w:val="clear" w:color="auto" w:fill="FFFFFF"/>
          </w:tcPr>
          <w:p w14:paraId="28D0C4C9"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Pr>
          <w:p w14:paraId="6C1A2E94"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Pr>
          <w:p w14:paraId="4379E29F"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nil"/>
              <w:right w:val="nil"/>
            </w:tcBorders>
            <w:shd w:val="clear" w:color="auto" w:fill="FFFFFF"/>
          </w:tcPr>
          <w:p w14:paraId="35F7B52B"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E73D94" w:rsidRPr="006B72AB" w14:paraId="58F4ACFD" w14:textId="77777777" w:rsidTr="007102E1">
        <w:trPr>
          <w:cantSplit/>
        </w:trPr>
        <w:tc>
          <w:tcPr>
            <w:tcW w:w="1859" w:type="dxa"/>
            <w:gridSpan w:val="2"/>
            <w:vMerge w:val="restart"/>
            <w:tcBorders>
              <w:top w:val="single" w:sz="8" w:space="0" w:color="AEAEAE"/>
              <w:left w:val="nil"/>
              <w:bottom w:val="single" w:sz="8" w:space="0" w:color="152935"/>
              <w:right w:val="nil"/>
            </w:tcBorders>
            <w:shd w:val="clear" w:color="auto" w:fill="E0E0E0"/>
          </w:tcPr>
          <w:p w14:paraId="19F935B0"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4" w:type="dxa"/>
            <w:tcBorders>
              <w:top w:val="single" w:sz="8" w:space="0" w:color="AEAEAE"/>
              <w:left w:val="nil"/>
              <w:bottom w:val="single" w:sz="8" w:space="0" w:color="AEAEAE"/>
              <w:right w:val="nil"/>
            </w:tcBorders>
            <w:shd w:val="clear" w:color="auto" w:fill="E0E0E0"/>
          </w:tcPr>
          <w:p w14:paraId="088D5FCE"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14:paraId="32A12486"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B02F57B"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B90507D"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1A6CBF54"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E73D94" w:rsidRPr="006B72AB" w14:paraId="5464C051" w14:textId="77777777" w:rsidTr="007102E1">
        <w:trPr>
          <w:cantSplit/>
        </w:trPr>
        <w:tc>
          <w:tcPr>
            <w:tcW w:w="1859" w:type="dxa"/>
            <w:gridSpan w:val="2"/>
            <w:vMerge/>
            <w:tcBorders>
              <w:top w:val="single" w:sz="8" w:space="0" w:color="AEAEAE"/>
              <w:left w:val="nil"/>
              <w:bottom w:val="single" w:sz="8" w:space="0" w:color="152935"/>
              <w:right w:val="nil"/>
            </w:tcBorders>
            <w:shd w:val="clear" w:color="auto" w:fill="E0E0E0"/>
          </w:tcPr>
          <w:p w14:paraId="3D9D5DF2"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5929E64D"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37750C90"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06FBC11"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798EA426"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Pr>
          <w:p w14:paraId="703C4D0C"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E73D94" w:rsidRPr="006B72AB" w14:paraId="2BF749C2" w14:textId="77777777" w:rsidTr="007102E1">
        <w:trPr>
          <w:cantSplit/>
        </w:trPr>
        <w:tc>
          <w:tcPr>
            <w:tcW w:w="1859" w:type="dxa"/>
            <w:gridSpan w:val="2"/>
            <w:vMerge/>
            <w:tcBorders>
              <w:top w:val="single" w:sz="8" w:space="0" w:color="AEAEAE"/>
              <w:left w:val="nil"/>
              <w:bottom w:val="single" w:sz="8" w:space="0" w:color="152935"/>
              <w:right w:val="nil"/>
            </w:tcBorders>
            <w:shd w:val="clear" w:color="auto" w:fill="E0E0E0"/>
          </w:tcPr>
          <w:p w14:paraId="3832C01D"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0E00E677"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Gender</w:t>
            </w:r>
          </w:p>
        </w:tc>
        <w:tc>
          <w:tcPr>
            <w:tcW w:w="1153" w:type="dxa"/>
            <w:tcBorders>
              <w:top w:val="single" w:sz="8" w:space="0" w:color="AEAEAE"/>
              <w:left w:val="nil"/>
              <w:bottom w:val="single" w:sz="8" w:space="0" w:color="AEAEAE"/>
              <w:right w:val="single" w:sz="8" w:space="0" w:color="E0E0E0"/>
            </w:tcBorders>
            <w:shd w:val="clear" w:color="auto" w:fill="FFFFFF"/>
          </w:tcPr>
          <w:p w14:paraId="5396131C"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3F67F5A2"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247273D"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Pr>
          <w:p w14:paraId="4EB90B67"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E73D94" w:rsidRPr="006B72AB" w14:paraId="54BEFB48" w14:textId="77777777" w:rsidTr="007102E1">
        <w:trPr>
          <w:cantSplit/>
        </w:trPr>
        <w:tc>
          <w:tcPr>
            <w:tcW w:w="1859" w:type="dxa"/>
            <w:gridSpan w:val="2"/>
            <w:vMerge/>
            <w:tcBorders>
              <w:top w:val="single" w:sz="8" w:space="0" w:color="AEAEAE"/>
              <w:left w:val="nil"/>
              <w:bottom w:val="single" w:sz="8" w:space="0" w:color="152935"/>
              <w:right w:val="nil"/>
            </w:tcBorders>
            <w:shd w:val="clear" w:color="auto" w:fill="E0E0E0"/>
          </w:tcPr>
          <w:p w14:paraId="48D55B10" w14:textId="77777777" w:rsidR="00E73D94" w:rsidRPr="006B72AB" w:rsidRDefault="00E73D94" w:rsidP="007102E1">
            <w:pPr>
              <w:autoSpaceDE w:val="0"/>
              <w:autoSpaceDN w:val="0"/>
              <w:adjustRightInd w:val="0"/>
              <w:spacing w:after="0" w:line="240" w:lineRule="auto"/>
              <w:rPr>
                <w:rFonts w:ascii="Arial" w:hAnsi="Arial" w:cs="Arial"/>
                <w:color w:val="010205"/>
                <w:sz w:val="18"/>
                <w:szCs w:val="18"/>
              </w:rPr>
            </w:pPr>
          </w:p>
        </w:tc>
        <w:tc>
          <w:tcPr>
            <w:tcW w:w="1814" w:type="dxa"/>
            <w:tcBorders>
              <w:top w:val="single" w:sz="8" w:space="0" w:color="AEAEAE"/>
              <w:left w:val="nil"/>
              <w:bottom w:val="single" w:sz="8" w:space="0" w:color="152935"/>
              <w:right w:val="nil"/>
            </w:tcBorders>
            <w:shd w:val="clear" w:color="auto" w:fill="E0E0E0"/>
          </w:tcPr>
          <w:p w14:paraId="3C134882"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UTICATS</w:t>
            </w:r>
          </w:p>
        </w:tc>
        <w:tc>
          <w:tcPr>
            <w:tcW w:w="1153" w:type="dxa"/>
            <w:tcBorders>
              <w:top w:val="single" w:sz="8" w:space="0" w:color="AEAEAE"/>
              <w:left w:val="nil"/>
              <w:bottom w:val="single" w:sz="8" w:space="0" w:color="152935"/>
              <w:right w:val="single" w:sz="8" w:space="0" w:color="E0E0E0"/>
            </w:tcBorders>
            <w:shd w:val="clear" w:color="auto" w:fill="FFFFFF"/>
          </w:tcPr>
          <w:p w14:paraId="4AD178F2"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14:paraId="6119ADF5"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14:paraId="31338C3C"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14:paraId="2197B9C8"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14:paraId="3DBAD9E4" w14:textId="77777777" w:rsidR="00E73D94" w:rsidRPr="00B05C59" w:rsidRDefault="00E73D94" w:rsidP="00E73D94">
      <w:pPr>
        <w:tabs>
          <w:tab w:val="left" w:pos="4020"/>
        </w:tabs>
        <w:rPr>
          <w:rFonts w:asciiTheme="majorBidi" w:hAnsiTheme="majorBidi" w:cstheme="majorBidi"/>
          <w:color w:val="595959" w:themeColor="text1" w:themeTint="A6"/>
          <w:sz w:val="24"/>
          <w:szCs w:val="24"/>
        </w:rPr>
      </w:pPr>
      <w:r w:rsidRPr="00B05C59">
        <w:rPr>
          <w:color w:val="595959" w:themeColor="text1" w:themeTint="A6"/>
          <w:sz w:val="24"/>
          <w:szCs w:val="24"/>
        </w:rPr>
        <w:t xml:space="preserve">Figure 1.1 </w:t>
      </w:r>
    </w:p>
    <w:tbl>
      <w:tblPr>
        <w:tblpPr w:leftFromText="180" w:rightFromText="180" w:vertAnchor="page" w:horzAnchor="margin" w:tblpY="1321"/>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2"/>
        <w:gridCol w:w="1330"/>
        <w:gridCol w:w="910"/>
        <w:gridCol w:w="567"/>
        <w:gridCol w:w="850"/>
        <w:gridCol w:w="709"/>
        <w:gridCol w:w="851"/>
        <w:gridCol w:w="992"/>
        <w:gridCol w:w="709"/>
        <w:gridCol w:w="708"/>
        <w:gridCol w:w="851"/>
      </w:tblGrid>
      <w:tr w:rsidR="00E73D94" w:rsidRPr="006B72AB" w14:paraId="43D98808" w14:textId="77777777" w:rsidTr="007102E1">
        <w:trPr>
          <w:cantSplit/>
          <w:trHeight w:val="278"/>
        </w:trPr>
        <w:tc>
          <w:tcPr>
            <w:tcW w:w="8789" w:type="dxa"/>
            <w:gridSpan w:val="11"/>
            <w:tcBorders>
              <w:top w:val="nil"/>
              <w:left w:val="nil"/>
              <w:bottom w:val="nil"/>
              <w:right w:val="nil"/>
            </w:tcBorders>
            <w:shd w:val="clear" w:color="auto" w:fill="FFFFFF"/>
            <w:vAlign w:val="center"/>
          </w:tcPr>
          <w:p w14:paraId="4445C669"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lastRenderedPageBreak/>
              <w:t>Chi-Square Tests</w:t>
            </w:r>
          </w:p>
        </w:tc>
      </w:tr>
      <w:tr w:rsidR="00E73D94" w:rsidRPr="006B72AB" w14:paraId="39D13EED" w14:textId="77777777" w:rsidTr="007102E1">
        <w:trPr>
          <w:cantSplit/>
          <w:trHeight w:val="278"/>
        </w:trPr>
        <w:tc>
          <w:tcPr>
            <w:tcW w:w="1642" w:type="dxa"/>
            <w:gridSpan w:val="2"/>
            <w:vMerge w:val="restart"/>
            <w:tcBorders>
              <w:top w:val="nil"/>
              <w:left w:val="nil"/>
              <w:bottom w:val="nil"/>
              <w:right w:val="nil"/>
            </w:tcBorders>
            <w:shd w:val="clear" w:color="auto" w:fill="FFFFFF"/>
            <w:vAlign w:val="bottom"/>
          </w:tcPr>
          <w:p w14:paraId="0B44653D"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910" w:type="dxa"/>
            <w:vMerge w:val="restart"/>
            <w:tcBorders>
              <w:top w:val="nil"/>
              <w:left w:val="nil"/>
              <w:bottom w:val="nil"/>
              <w:right w:val="single" w:sz="8" w:space="0" w:color="E0E0E0"/>
            </w:tcBorders>
            <w:shd w:val="clear" w:color="auto" w:fill="FFFFFF"/>
            <w:vAlign w:val="bottom"/>
          </w:tcPr>
          <w:p w14:paraId="59EC8FD4"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Value</w:t>
            </w:r>
          </w:p>
        </w:tc>
        <w:tc>
          <w:tcPr>
            <w:tcW w:w="567" w:type="dxa"/>
            <w:vMerge w:val="restart"/>
            <w:tcBorders>
              <w:top w:val="nil"/>
              <w:left w:val="single" w:sz="8" w:space="0" w:color="E0E0E0"/>
              <w:bottom w:val="nil"/>
              <w:right w:val="single" w:sz="8" w:space="0" w:color="E0E0E0"/>
            </w:tcBorders>
            <w:shd w:val="clear" w:color="auto" w:fill="FFFFFF"/>
            <w:vAlign w:val="bottom"/>
          </w:tcPr>
          <w:p w14:paraId="63569A78"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6B72AB">
              <w:rPr>
                <w:rFonts w:ascii="Arial" w:hAnsi="Arial" w:cs="Arial"/>
                <w:color w:val="264A60"/>
                <w:sz w:val="18"/>
                <w:szCs w:val="18"/>
              </w:rPr>
              <w:t>df</w:t>
            </w:r>
            <w:proofErr w:type="spellEnd"/>
          </w:p>
        </w:tc>
        <w:tc>
          <w:tcPr>
            <w:tcW w:w="850" w:type="dxa"/>
            <w:vMerge w:val="restart"/>
            <w:tcBorders>
              <w:top w:val="nil"/>
              <w:left w:val="single" w:sz="8" w:space="0" w:color="E0E0E0"/>
              <w:bottom w:val="nil"/>
              <w:right w:val="single" w:sz="8" w:space="0" w:color="E0E0E0"/>
            </w:tcBorders>
            <w:shd w:val="clear" w:color="auto" w:fill="FFFFFF"/>
            <w:vAlign w:val="bottom"/>
          </w:tcPr>
          <w:p w14:paraId="0C70E15D"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Asymptotic Significance (2-sided)</w:t>
            </w:r>
          </w:p>
        </w:tc>
        <w:tc>
          <w:tcPr>
            <w:tcW w:w="2552" w:type="dxa"/>
            <w:gridSpan w:val="3"/>
            <w:tcBorders>
              <w:top w:val="nil"/>
              <w:left w:val="single" w:sz="8" w:space="0" w:color="E0E0E0"/>
              <w:bottom w:val="nil"/>
              <w:right w:val="single" w:sz="8" w:space="0" w:color="E0E0E0"/>
            </w:tcBorders>
            <w:shd w:val="clear" w:color="auto" w:fill="FFFFFF"/>
            <w:vAlign w:val="bottom"/>
          </w:tcPr>
          <w:p w14:paraId="6182523F"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(2-sided)</w:t>
            </w:r>
          </w:p>
        </w:tc>
        <w:tc>
          <w:tcPr>
            <w:tcW w:w="2268" w:type="dxa"/>
            <w:gridSpan w:val="3"/>
            <w:tcBorders>
              <w:top w:val="nil"/>
              <w:left w:val="single" w:sz="8" w:space="0" w:color="E0E0E0"/>
              <w:bottom w:val="nil"/>
              <w:right w:val="nil"/>
            </w:tcBorders>
            <w:shd w:val="clear" w:color="auto" w:fill="FFFFFF"/>
            <w:vAlign w:val="bottom"/>
          </w:tcPr>
          <w:p w14:paraId="5F9A3432"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(1-sided)</w:t>
            </w:r>
          </w:p>
        </w:tc>
      </w:tr>
      <w:tr w:rsidR="00E73D94" w:rsidRPr="006B72AB" w14:paraId="76720E71" w14:textId="77777777" w:rsidTr="007102E1">
        <w:trPr>
          <w:cantSplit/>
          <w:trHeight w:val="278"/>
        </w:trPr>
        <w:tc>
          <w:tcPr>
            <w:tcW w:w="1642" w:type="dxa"/>
            <w:gridSpan w:val="2"/>
            <w:vMerge/>
            <w:tcBorders>
              <w:top w:val="nil"/>
              <w:left w:val="nil"/>
              <w:bottom w:val="nil"/>
              <w:right w:val="nil"/>
            </w:tcBorders>
            <w:shd w:val="clear" w:color="auto" w:fill="FFFFFF"/>
            <w:vAlign w:val="bottom"/>
          </w:tcPr>
          <w:p w14:paraId="2B67DEFE"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910" w:type="dxa"/>
            <w:vMerge/>
            <w:tcBorders>
              <w:top w:val="nil"/>
              <w:left w:val="nil"/>
              <w:bottom w:val="nil"/>
              <w:right w:val="single" w:sz="8" w:space="0" w:color="E0E0E0"/>
            </w:tcBorders>
            <w:shd w:val="clear" w:color="auto" w:fill="FFFFFF"/>
            <w:vAlign w:val="bottom"/>
          </w:tcPr>
          <w:p w14:paraId="4AE28865"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14:paraId="6F976786"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1E6B81E8"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709" w:type="dxa"/>
            <w:vMerge w:val="restart"/>
            <w:tcBorders>
              <w:top w:val="nil"/>
              <w:left w:val="single" w:sz="8" w:space="0" w:color="E0E0E0"/>
              <w:bottom w:val="nil"/>
              <w:right w:val="single" w:sz="8" w:space="0" w:color="E0E0E0"/>
            </w:tcBorders>
            <w:shd w:val="clear" w:color="auto" w:fill="FFFFFF"/>
            <w:vAlign w:val="bottom"/>
          </w:tcPr>
          <w:p w14:paraId="1D636F6F"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1843" w:type="dxa"/>
            <w:gridSpan w:val="2"/>
            <w:tcBorders>
              <w:top w:val="nil"/>
              <w:left w:val="single" w:sz="8" w:space="0" w:color="E0E0E0"/>
              <w:bottom w:val="nil"/>
              <w:right w:val="single" w:sz="8" w:space="0" w:color="E0E0E0"/>
            </w:tcBorders>
            <w:shd w:val="clear" w:color="auto" w:fill="FFFFFF"/>
            <w:vAlign w:val="bottom"/>
          </w:tcPr>
          <w:p w14:paraId="0AB6BA1D"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c>
          <w:tcPr>
            <w:tcW w:w="709" w:type="dxa"/>
            <w:vMerge w:val="restart"/>
            <w:tcBorders>
              <w:top w:val="nil"/>
              <w:left w:val="single" w:sz="8" w:space="0" w:color="E0E0E0"/>
              <w:bottom w:val="nil"/>
              <w:right w:val="single" w:sz="8" w:space="0" w:color="E0E0E0"/>
            </w:tcBorders>
            <w:shd w:val="clear" w:color="auto" w:fill="FFFFFF"/>
            <w:vAlign w:val="bottom"/>
          </w:tcPr>
          <w:p w14:paraId="1F0E9446"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tcPr>
          <w:p w14:paraId="0D5AFB94"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r>
      <w:tr w:rsidR="00E73D94" w:rsidRPr="006B72AB" w14:paraId="0635DFA7" w14:textId="77777777" w:rsidTr="007102E1">
        <w:trPr>
          <w:cantSplit/>
          <w:trHeight w:val="278"/>
        </w:trPr>
        <w:tc>
          <w:tcPr>
            <w:tcW w:w="1642" w:type="dxa"/>
            <w:gridSpan w:val="2"/>
            <w:vMerge/>
            <w:tcBorders>
              <w:top w:val="nil"/>
              <w:left w:val="nil"/>
              <w:bottom w:val="nil"/>
              <w:right w:val="nil"/>
            </w:tcBorders>
            <w:shd w:val="clear" w:color="auto" w:fill="FFFFFF"/>
            <w:vAlign w:val="bottom"/>
          </w:tcPr>
          <w:p w14:paraId="10A0EF4D"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910" w:type="dxa"/>
            <w:vMerge/>
            <w:tcBorders>
              <w:top w:val="nil"/>
              <w:left w:val="nil"/>
              <w:bottom w:val="nil"/>
              <w:right w:val="single" w:sz="8" w:space="0" w:color="E0E0E0"/>
            </w:tcBorders>
            <w:shd w:val="clear" w:color="auto" w:fill="FFFFFF"/>
            <w:vAlign w:val="bottom"/>
          </w:tcPr>
          <w:p w14:paraId="09092655"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14:paraId="3F1037B0"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6C35263D"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709" w:type="dxa"/>
            <w:vMerge/>
            <w:tcBorders>
              <w:top w:val="nil"/>
              <w:left w:val="single" w:sz="8" w:space="0" w:color="E0E0E0"/>
              <w:bottom w:val="nil"/>
              <w:right w:val="single" w:sz="8" w:space="0" w:color="E0E0E0"/>
            </w:tcBorders>
            <w:shd w:val="clear" w:color="auto" w:fill="FFFFFF"/>
            <w:vAlign w:val="bottom"/>
          </w:tcPr>
          <w:p w14:paraId="4E08E10E"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851" w:type="dxa"/>
            <w:tcBorders>
              <w:top w:val="nil"/>
              <w:left w:val="single" w:sz="8" w:space="0" w:color="E0E0E0"/>
              <w:bottom w:val="single" w:sz="8" w:space="0" w:color="152935"/>
              <w:right w:val="single" w:sz="8" w:space="0" w:color="E0E0E0"/>
            </w:tcBorders>
            <w:shd w:val="clear" w:color="auto" w:fill="FFFFFF"/>
            <w:vAlign w:val="bottom"/>
          </w:tcPr>
          <w:p w14:paraId="45AEA955"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992" w:type="dxa"/>
            <w:tcBorders>
              <w:top w:val="nil"/>
              <w:left w:val="single" w:sz="8" w:space="0" w:color="E0E0E0"/>
              <w:bottom w:val="single" w:sz="8" w:space="0" w:color="152935"/>
              <w:right w:val="single" w:sz="8" w:space="0" w:color="E0E0E0"/>
            </w:tcBorders>
            <w:shd w:val="clear" w:color="auto" w:fill="FFFFFF"/>
            <w:vAlign w:val="bottom"/>
          </w:tcPr>
          <w:p w14:paraId="58A2F426"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c>
          <w:tcPr>
            <w:tcW w:w="709" w:type="dxa"/>
            <w:vMerge/>
            <w:tcBorders>
              <w:top w:val="nil"/>
              <w:left w:val="single" w:sz="8" w:space="0" w:color="E0E0E0"/>
              <w:bottom w:val="nil"/>
              <w:right w:val="single" w:sz="8" w:space="0" w:color="E0E0E0"/>
            </w:tcBorders>
            <w:shd w:val="clear" w:color="auto" w:fill="FFFFFF"/>
            <w:vAlign w:val="bottom"/>
          </w:tcPr>
          <w:p w14:paraId="7E7D4093" w14:textId="77777777" w:rsidR="00E73D94" w:rsidRPr="006B72AB" w:rsidRDefault="00E73D94" w:rsidP="007102E1">
            <w:pPr>
              <w:autoSpaceDE w:val="0"/>
              <w:autoSpaceDN w:val="0"/>
              <w:adjustRightInd w:val="0"/>
              <w:spacing w:after="0" w:line="240" w:lineRule="auto"/>
              <w:rPr>
                <w:rFonts w:ascii="Arial" w:hAnsi="Arial" w:cs="Arial"/>
                <w:color w:val="264A60"/>
                <w:sz w:val="18"/>
                <w:szCs w:val="18"/>
              </w:rPr>
            </w:pPr>
          </w:p>
        </w:tc>
        <w:tc>
          <w:tcPr>
            <w:tcW w:w="708" w:type="dxa"/>
            <w:tcBorders>
              <w:top w:val="nil"/>
              <w:left w:val="single" w:sz="8" w:space="0" w:color="E0E0E0"/>
              <w:bottom w:val="single" w:sz="8" w:space="0" w:color="152935"/>
              <w:right w:val="single" w:sz="8" w:space="0" w:color="E0E0E0"/>
            </w:tcBorders>
            <w:shd w:val="clear" w:color="auto" w:fill="FFFFFF"/>
            <w:vAlign w:val="bottom"/>
          </w:tcPr>
          <w:p w14:paraId="26234163"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851" w:type="dxa"/>
            <w:tcBorders>
              <w:top w:val="nil"/>
              <w:left w:val="single" w:sz="8" w:space="0" w:color="E0E0E0"/>
              <w:bottom w:val="single" w:sz="8" w:space="0" w:color="152935"/>
              <w:right w:val="nil"/>
            </w:tcBorders>
            <w:shd w:val="clear" w:color="auto" w:fill="FFFFFF"/>
            <w:vAlign w:val="bottom"/>
          </w:tcPr>
          <w:p w14:paraId="319041B7" w14:textId="77777777" w:rsidR="00E73D94" w:rsidRPr="006B72AB" w:rsidRDefault="00E73D94" w:rsidP="007102E1">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r>
      <w:tr w:rsidR="00E73D94" w:rsidRPr="006B72AB" w14:paraId="7ED623DB" w14:textId="77777777" w:rsidTr="007102E1">
        <w:trPr>
          <w:gridBefore w:val="1"/>
          <w:wBefore w:w="312" w:type="dxa"/>
          <w:cantSplit/>
          <w:trHeight w:val="294"/>
        </w:trPr>
        <w:tc>
          <w:tcPr>
            <w:tcW w:w="1330" w:type="dxa"/>
            <w:tcBorders>
              <w:top w:val="single" w:sz="8" w:space="0" w:color="152935"/>
              <w:left w:val="nil"/>
              <w:bottom w:val="single" w:sz="8" w:space="0" w:color="AEAEAE"/>
              <w:right w:val="nil"/>
            </w:tcBorders>
            <w:shd w:val="clear" w:color="auto" w:fill="E0E0E0"/>
          </w:tcPr>
          <w:p w14:paraId="5BD1B8CC"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Pearson Chi-Square</w:t>
            </w:r>
          </w:p>
        </w:tc>
        <w:tc>
          <w:tcPr>
            <w:tcW w:w="910" w:type="dxa"/>
            <w:tcBorders>
              <w:top w:val="single" w:sz="8" w:space="0" w:color="152935"/>
              <w:left w:val="nil"/>
              <w:bottom w:val="single" w:sz="8" w:space="0" w:color="AEAEAE"/>
              <w:right w:val="single" w:sz="8" w:space="0" w:color="E0E0E0"/>
            </w:tcBorders>
            <w:shd w:val="clear" w:color="auto" w:fill="FFFFFF"/>
          </w:tcPr>
          <w:p w14:paraId="17AB4D9E"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8.727</w:t>
            </w:r>
            <w:r w:rsidRPr="006B72AB">
              <w:rPr>
                <w:rFonts w:ascii="Arial" w:hAnsi="Arial" w:cs="Arial"/>
                <w:color w:val="010205"/>
                <w:sz w:val="18"/>
                <w:szCs w:val="18"/>
                <w:vertAlign w:val="superscript"/>
              </w:rPr>
              <w:t>a</w:t>
            </w:r>
          </w:p>
        </w:tc>
        <w:tc>
          <w:tcPr>
            <w:tcW w:w="567" w:type="dxa"/>
            <w:tcBorders>
              <w:top w:val="single" w:sz="8" w:space="0" w:color="152935"/>
              <w:left w:val="single" w:sz="8" w:space="0" w:color="E0E0E0"/>
              <w:bottom w:val="single" w:sz="8" w:space="0" w:color="AEAEAE"/>
              <w:right w:val="single" w:sz="8" w:space="0" w:color="E0E0E0"/>
            </w:tcBorders>
            <w:shd w:val="clear" w:color="auto" w:fill="FFFFFF"/>
          </w:tcPr>
          <w:p w14:paraId="21CD6245"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5F3FA990"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.013</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14:paraId="2858D181"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851" w:type="dxa"/>
            <w:tcBorders>
              <w:top w:val="single" w:sz="8" w:space="0" w:color="152935"/>
              <w:left w:val="single" w:sz="8" w:space="0" w:color="E0E0E0"/>
              <w:bottom w:val="single" w:sz="8" w:space="0" w:color="AEAEAE"/>
              <w:right w:val="single" w:sz="8" w:space="0" w:color="E0E0E0"/>
            </w:tcBorders>
            <w:shd w:val="clear" w:color="auto" w:fill="FFFFFF"/>
          </w:tcPr>
          <w:p w14:paraId="726A13AF"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14:paraId="6A8207E6"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975EEFB"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5C5DC04A"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152935"/>
              <w:left w:val="single" w:sz="8" w:space="0" w:color="E0E0E0"/>
              <w:bottom w:val="single" w:sz="8" w:space="0" w:color="AEAEAE"/>
              <w:right w:val="nil"/>
            </w:tcBorders>
            <w:shd w:val="clear" w:color="auto" w:fill="FFFFFF"/>
            <w:vAlign w:val="center"/>
          </w:tcPr>
          <w:p w14:paraId="13A6BE10"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r>
      <w:tr w:rsidR="00E73D94" w:rsidRPr="006B72AB" w14:paraId="714389AC" w14:textId="77777777" w:rsidTr="007102E1">
        <w:trPr>
          <w:gridBefore w:val="1"/>
          <w:wBefore w:w="312" w:type="dxa"/>
          <w:cantSplit/>
          <w:trHeight w:val="278"/>
        </w:trPr>
        <w:tc>
          <w:tcPr>
            <w:tcW w:w="1330" w:type="dxa"/>
            <w:tcBorders>
              <w:top w:val="single" w:sz="8" w:space="0" w:color="AEAEAE"/>
              <w:left w:val="nil"/>
              <w:bottom w:val="single" w:sz="8" w:space="0" w:color="AEAEAE"/>
              <w:right w:val="nil"/>
            </w:tcBorders>
            <w:shd w:val="clear" w:color="auto" w:fill="E0E0E0"/>
          </w:tcPr>
          <w:p w14:paraId="782A83AA"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Likelihood Ratio</w:t>
            </w:r>
          </w:p>
        </w:tc>
        <w:tc>
          <w:tcPr>
            <w:tcW w:w="910" w:type="dxa"/>
            <w:tcBorders>
              <w:top w:val="single" w:sz="8" w:space="0" w:color="AEAEAE"/>
              <w:left w:val="nil"/>
              <w:bottom w:val="single" w:sz="8" w:space="0" w:color="AEAEAE"/>
              <w:right w:val="single" w:sz="8" w:space="0" w:color="E0E0E0"/>
            </w:tcBorders>
            <w:shd w:val="clear" w:color="auto" w:fill="FFFFFF"/>
          </w:tcPr>
          <w:p w14:paraId="1209FB62"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9.949</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14:paraId="23FDA45D"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54973B62"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.007</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48CDEFE6"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.012</w:t>
            </w:r>
            <w:r w:rsidRPr="006B72AB">
              <w:rPr>
                <w:rFonts w:ascii="Arial"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1F792778"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.009</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05EBE311"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.015</w:t>
            </w: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572A6B1"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A71B1E3"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AEAEAE"/>
              <w:right w:val="nil"/>
            </w:tcBorders>
            <w:shd w:val="clear" w:color="auto" w:fill="FFFFFF"/>
            <w:vAlign w:val="center"/>
          </w:tcPr>
          <w:p w14:paraId="56C22648"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r>
      <w:tr w:rsidR="00E73D94" w:rsidRPr="006B72AB" w14:paraId="79205C1D" w14:textId="77777777" w:rsidTr="007102E1">
        <w:trPr>
          <w:gridBefore w:val="1"/>
          <w:wBefore w:w="312" w:type="dxa"/>
          <w:cantSplit/>
          <w:trHeight w:val="278"/>
        </w:trPr>
        <w:tc>
          <w:tcPr>
            <w:tcW w:w="1330" w:type="dxa"/>
            <w:tcBorders>
              <w:top w:val="single" w:sz="8" w:space="0" w:color="AEAEAE"/>
              <w:left w:val="nil"/>
              <w:bottom w:val="single" w:sz="8" w:space="0" w:color="AEAEAE"/>
              <w:right w:val="nil"/>
            </w:tcBorders>
            <w:shd w:val="clear" w:color="auto" w:fill="E0E0E0"/>
          </w:tcPr>
          <w:p w14:paraId="47056C71"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Fisher's Exact Test</w:t>
            </w:r>
          </w:p>
        </w:tc>
        <w:tc>
          <w:tcPr>
            <w:tcW w:w="910" w:type="dxa"/>
            <w:tcBorders>
              <w:top w:val="single" w:sz="8" w:space="0" w:color="AEAEAE"/>
              <w:left w:val="nil"/>
              <w:bottom w:val="single" w:sz="8" w:space="0" w:color="AEAEAE"/>
              <w:right w:val="single" w:sz="8" w:space="0" w:color="E0E0E0"/>
            </w:tcBorders>
            <w:shd w:val="clear" w:color="auto" w:fill="FFFFFF"/>
          </w:tcPr>
          <w:p w14:paraId="361E06B0"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8.180</w:t>
            </w:r>
          </w:p>
        </w:tc>
        <w:tc>
          <w:tcPr>
            <w:tcW w:w="567"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8F36D66"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DB8A543"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5FA8F8EB"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706239B1"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034C31D7"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D20C65F"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D66E603"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AEAEAE"/>
              <w:right w:val="nil"/>
            </w:tcBorders>
            <w:shd w:val="clear" w:color="auto" w:fill="FFFFFF"/>
            <w:vAlign w:val="center"/>
          </w:tcPr>
          <w:p w14:paraId="3F92ADBF"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r>
      <w:tr w:rsidR="00E73D94" w:rsidRPr="006B72AB" w14:paraId="42AE6B75" w14:textId="77777777" w:rsidTr="007102E1">
        <w:trPr>
          <w:gridBefore w:val="1"/>
          <w:wBefore w:w="312" w:type="dxa"/>
          <w:cantSplit/>
          <w:trHeight w:val="294"/>
        </w:trPr>
        <w:tc>
          <w:tcPr>
            <w:tcW w:w="1330" w:type="dxa"/>
            <w:tcBorders>
              <w:top w:val="single" w:sz="8" w:space="0" w:color="AEAEAE"/>
              <w:left w:val="nil"/>
              <w:bottom w:val="single" w:sz="8" w:space="0" w:color="AEAEAE"/>
              <w:right w:val="nil"/>
            </w:tcBorders>
            <w:shd w:val="clear" w:color="auto" w:fill="E0E0E0"/>
          </w:tcPr>
          <w:p w14:paraId="697ABBAB"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Linear-by-Linear Association</w:t>
            </w:r>
          </w:p>
        </w:tc>
        <w:tc>
          <w:tcPr>
            <w:tcW w:w="910" w:type="dxa"/>
            <w:tcBorders>
              <w:top w:val="single" w:sz="8" w:space="0" w:color="AEAEAE"/>
              <w:left w:val="nil"/>
              <w:bottom w:val="single" w:sz="8" w:space="0" w:color="AEAEAE"/>
              <w:right w:val="single" w:sz="8" w:space="0" w:color="E0E0E0"/>
            </w:tcBorders>
            <w:shd w:val="clear" w:color="auto" w:fill="FFFFFF"/>
          </w:tcPr>
          <w:p w14:paraId="247E8822"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8.065</w:t>
            </w:r>
            <w:r w:rsidRPr="006B72AB">
              <w:rPr>
                <w:rFonts w:ascii="Arial" w:hAnsi="Arial" w:cs="Arial"/>
                <w:color w:val="010205"/>
                <w:sz w:val="18"/>
                <w:szCs w:val="18"/>
                <w:vertAlign w:val="superscript"/>
              </w:rPr>
              <w:t>c</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14:paraId="2539413E"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2088A68A"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.005</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3569CCC2"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.006</w:t>
            </w:r>
            <w:r w:rsidRPr="006B72AB">
              <w:rPr>
                <w:rFonts w:ascii="Arial"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36E0F309"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6ED881D3"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.008</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02F96887"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.002</w:t>
            </w:r>
            <w:r w:rsidRPr="006B72AB">
              <w:rPr>
                <w:rFonts w:ascii="Arial" w:hAnsi="Arial" w:cs="Arial"/>
                <w:color w:val="010205"/>
                <w:sz w:val="18"/>
                <w:szCs w:val="18"/>
                <w:vertAlign w:val="superscript"/>
              </w:rPr>
              <w:t>b</w:t>
            </w:r>
          </w:p>
        </w:tc>
        <w:tc>
          <w:tcPr>
            <w:tcW w:w="708" w:type="dxa"/>
            <w:tcBorders>
              <w:top w:val="single" w:sz="8" w:space="0" w:color="AEAEAE"/>
              <w:left w:val="single" w:sz="8" w:space="0" w:color="E0E0E0"/>
              <w:bottom w:val="single" w:sz="8" w:space="0" w:color="AEAEAE"/>
              <w:right w:val="single" w:sz="8" w:space="0" w:color="E0E0E0"/>
            </w:tcBorders>
            <w:shd w:val="clear" w:color="auto" w:fill="FFFFFF"/>
          </w:tcPr>
          <w:p w14:paraId="352BB3AC"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.001</w:t>
            </w:r>
          </w:p>
        </w:tc>
        <w:tc>
          <w:tcPr>
            <w:tcW w:w="851" w:type="dxa"/>
            <w:tcBorders>
              <w:top w:val="single" w:sz="8" w:space="0" w:color="AEAEAE"/>
              <w:left w:val="single" w:sz="8" w:space="0" w:color="E0E0E0"/>
              <w:bottom w:val="single" w:sz="8" w:space="0" w:color="AEAEAE"/>
              <w:right w:val="nil"/>
            </w:tcBorders>
            <w:shd w:val="clear" w:color="auto" w:fill="FFFFFF"/>
          </w:tcPr>
          <w:p w14:paraId="6898A2E7"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.003</w:t>
            </w:r>
          </w:p>
        </w:tc>
      </w:tr>
      <w:tr w:rsidR="00E73D94" w:rsidRPr="006B72AB" w14:paraId="11142282" w14:textId="77777777" w:rsidTr="007102E1">
        <w:trPr>
          <w:gridBefore w:val="1"/>
          <w:wBefore w:w="312" w:type="dxa"/>
          <w:cantSplit/>
          <w:trHeight w:val="278"/>
        </w:trPr>
        <w:tc>
          <w:tcPr>
            <w:tcW w:w="1330" w:type="dxa"/>
            <w:tcBorders>
              <w:top w:val="single" w:sz="8" w:space="0" w:color="AEAEAE"/>
              <w:left w:val="nil"/>
              <w:bottom w:val="single" w:sz="8" w:space="0" w:color="152935"/>
              <w:right w:val="nil"/>
            </w:tcBorders>
            <w:shd w:val="clear" w:color="auto" w:fill="E0E0E0"/>
          </w:tcPr>
          <w:p w14:paraId="385D44CA" w14:textId="77777777" w:rsidR="00E73D94" w:rsidRPr="006B72AB" w:rsidRDefault="00E73D94" w:rsidP="007102E1">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N of Valid Cases</w:t>
            </w:r>
          </w:p>
        </w:tc>
        <w:tc>
          <w:tcPr>
            <w:tcW w:w="910" w:type="dxa"/>
            <w:tcBorders>
              <w:top w:val="single" w:sz="8" w:space="0" w:color="AEAEAE"/>
              <w:left w:val="nil"/>
              <w:bottom w:val="single" w:sz="8" w:space="0" w:color="152935"/>
              <w:right w:val="single" w:sz="8" w:space="0" w:color="E0E0E0"/>
            </w:tcBorders>
            <w:shd w:val="clear" w:color="auto" w:fill="FFFFFF"/>
          </w:tcPr>
          <w:p w14:paraId="6D24D8B0" w14:textId="77777777" w:rsidR="00E73D94" w:rsidRPr="006B72AB" w:rsidRDefault="00E73D94" w:rsidP="007102E1">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5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999D9F0"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E4AABB8"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1AAA262"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A248310"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5C4C139"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8357B55"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6C91445"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152935"/>
              <w:right w:val="nil"/>
            </w:tcBorders>
            <w:shd w:val="clear" w:color="auto" w:fill="FFFFFF"/>
            <w:vAlign w:val="center"/>
          </w:tcPr>
          <w:p w14:paraId="6B1B4ADE" w14:textId="77777777" w:rsidR="00E73D94" w:rsidRPr="006B72AB" w:rsidRDefault="00E73D94" w:rsidP="007102E1">
            <w:pPr>
              <w:autoSpaceDE w:val="0"/>
              <w:autoSpaceDN w:val="0"/>
              <w:adjustRightInd w:val="0"/>
              <w:spacing w:after="0" w:line="240" w:lineRule="auto"/>
              <w:rPr>
                <w:rFonts w:ascii="Times New Roman" w:hAnsi="Times New Roman" w:cs="Times New Roman"/>
                <w:sz w:val="24"/>
                <w:szCs w:val="24"/>
              </w:rPr>
            </w:pPr>
          </w:p>
        </w:tc>
      </w:tr>
    </w:tbl>
    <w:p w14:paraId="4C7C9271" w14:textId="77777777" w:rsidR="00E73D94" w:rsidRPr="00B05C59" w:rsidRDefault="00E73D94" w:rsidP="00E73D94">
      <w:pPr>
        <w:tabs>
          <w:tab w:val="left" w:pos="4020"/>
        </w:tabs>
        <w:rPr>
          <w:color w:val="595959" w:themeColor="text1" w:themeTint="A6"/>
          <w:sz w:val="24"/>
          <w:szCs w:val="24"/>
        </w:rPr>
      </w:pPr>
      <w:r w:rsidRPr="00B05C59">
        <w:rPr>
          <w:color w:val="595959" w:themeColor="text1" w:themeTint="A6"/>
          <w:sz w:val="24"/>
          <w:szCs w:val="24"/>
        </w:rPr>
        <w:t>Figure 1.2</w:t>
      </w:r>
    </w:p>
    <w:p w14:paraId="620AE240" w14:textId="77777777" w:rsidR="00E73D94" w:rsidRDefault="00E73D94" w:rsidP="00E73D94">
      <w:pPr>
        <w:tabs>
          <w:tab w:val="left" w:pos="4020"/>
        </w:tabs>
        <w:rPr>
          <w:sz w:val="24"/>
          <w:szCs w:val="24"/>
        </w:rPr>
      </w:pPr>
      <w:r w:rsidRPr="00B254CC">
        <w:rPr>
          <w:rFonts w:cstheme="minorHAnsi"/>
          <w:sz w:val="24"/>
          <w:szCs w:val="24"/>
        </w:rPr>
        <w:t xml:space="preserve">As we can see in figure 1.2 the p-value is less </w:t>
      </w:r>
      <w:proofErr w:type="spellStart"/>
      <w:r w:rsidRPr="00B254CC">
        <w:rPr>
          <w:rFonts w:cstheme="minorHAnsi"/>
          <w:sz w:val="24"/>
          <w:szCs w:val="24"/>
        </w:rPr>
        <w:t>then</w:t>
      </w:r>
      <w:proofErr w:type="spellEnd"/>
      <w:r w:rsidRPr="00B254CC">
        <w:rPr>
          <w:rFonts w:cstheme="minorHAnsi"/>
          <w:sz w:val="24"/>
          <w:szCs w:val="24"/>
        </w:rPr>
        <w:t xml:space="preserve"> 0.05 but in figure 1.1 there are</w:t>
      </w:r>
      <w:r w:rsidRPr="00B254CC">
        <w:rPr>
          <w:sz w:val="24"/>
          <w:szCs w:val="24"/>
        </w:rPr>
        <w:t xml:space="preserve"> 2 cells (33.3%) have expected count less than 5. The minimum expected count is 1.00 which</w:t>
      </w:r>
      <w:r>
        <w:rPr>
          <w:sz w:val="24"/>
          <w:szCs w:val="24"/>
        </w:rPr>
        <w:t xml:space="preserve"> means the assumption for the chi-square test is not met, the fisher’s exact test will be used instead</w:t>
      </w:r>
    </w:p>
    <w:p w14:paraId="56968BFD" w14:textId="77777777" w:rsidR="00E73D94" w:rsidRPr="00CC5B93" w:rsidRDefault="00E73D94" w:rsidP="00E73D94">
      <w:pPr>
        <w:autoSpaceDE w:val="0"/>
        <w:autoSpaceDN w:val="0"/>
        <w:adjustRightInd w:val="0"/>
        <w:spacing w:after="0" w:line="400" w:lineRule="atLeast"/>
        <w:rPr>
          <w:rFonts w:cstheme="minorHAnsi"/>
          <w:sz w:val="24"/>
          <w:szCs w:val="24"/>
        </w:rPr>
      </w:pPr>
      <w:r w:rsidRPr="00CC5B93">
        <w:rPr>
          <w:rFonts w:cstheme="minorHAnsi"/>
          <w:sz w:val="24"/>
          <w:szCs w:val="24"/>
        </w:rPr>
        <w:t>Summary table of fisher’s exact test</w:t>
      </w:r>
    </w:p>
    <w:p w14:paraId="68854179" w14:textId="77777777" w:rsidR="00E73D94" w:rsidRDefault="00E73D94" w:rsidP="00E73D94">
      <w:pPr>
        <w:tabs>
          <w:tab w:val="left" w:pos="4020"/>
        </w:tabs>
        <w:rPr>
          <w:sz w:val="24"/>
          <w:szCs w:val="24"/>
        </w:rPr>
      </w:pPr>
    </w:p>
    <w:tbl>
      <w:tblPr>
        <w:tblStyle w:val="a4"/>
        <w:tblW w:w="0" w:type="auto"/>
        <w:tblLook w:val="04A0" w:firstRow="1" w:lastRow="0" w:firstColumn="1" w:lastColumn="0" w:noHBand="0" w:noVBand="1"/>
      </w:tblPr>
      <w:tblGrid>
        <w:gridCol w:w="1384"/>
        <w:gridCol w:w="1369"/>
        <w:gridCol w:w="1347"/>
        <w:gridCol w:w="1426"/>
        <w:gridCol w:w="1435"/>
        <w:gridCol w:w="1335"/>
      </w:tblGrid>
      <w:tr w:rsidR="00E73D94" w14:paraId="4D756659" w14:textId="77777777" w:rsidTr="007102E1">
        <w:trPr>
          <w:trHeight w:val="765"/>
        </w:trPr>
        <w:tc>
          <w:tcPr>
            <w:tcW w:w="1604" w:type="dxa"/>
          </w:tcPr>
          <w:p w14:paraId="5B2DB39E" w14:textId="77777777" w:rsidR="00E73D94" w:rsidRDefault="00E73D94" w:rsidP="007102E1"/>
        </w:tc>
        <w:tc>
          <w:tcPr>
            <w:tcW w:w="1604" w:type="dxa"/>
          </w:tcPr>
          <w:p w14:paraId="0350AD7D" w14:textId="77777777" w:rsidR="00E73D94" w:rsidRDefault="00E73D94" w:rsidP="007102E1"/>
        </w:tc>
        <w:tc>
          <w:tcPr>
            <w:tcW w:w="4812" w:type="dxa"/>
            <w:gridSpan w:val="3"/>
          </w:tcPr>
          <w:p w14:paraId="491C35E7" w14:textId="77777777" w:rsidR="00E73D94" w:rsidRDefault="00E73D94" w:rsidP="007102E1">
            <w:r>
              <w:t>UTI colony forming units</w:t>
            </w:r>
          </w:p>
        </w:tc>
        <w:tc>
          <w:tcPr>
            <w:tcW w:w="1604" w:type="dxa"/>
          </w:tcPr>
          <w:p w14:paraId="5A4CC02D" w14:textId="77777777" w:rsidR="00E73D94" w:rsidRDefault="00E73D94" w:rsidP="007102E1">
            <w:r>
              <w:t>p-value</w:t>
            </w:r>
          </w:p>
        </w:tc>
      </w:tr>
      <w:tr w:rsidR="00E73D94" w14:paraId="20A63404" w14:textId="77777777" w:rsidTr="007102E1">
        <w:trPr>
          <w:trHeight w:val="642"/>
        </w:trPr>
        <w:tc>
          <w:tcPr>
            <w:tcW w:w="1604" w:type="dxa"/>
          </w:tcPr>
          <w:p w14:paraId="2BE442AB" w14:textId="77777777" w:rsidR="00E73D94" w:rsidRDefault="00E73D94" w:rsidP="007102E1"/>
        </w:tc>
        <w:tc>
          <w:tcPr>
            <w:tcW w:w="1604" w:type="dxa"/>
          </w:tcPr>
          <w:p w14:paraId="6EDE67E5" w14:textId="77777777" w:rsidR="00E73D94" w:rsidRDefault="00E73D94" w:rsidP="007102E1"/>
        </w:tc>
        <w:tc>
          <w:tcPr>
            <w:tcW w:w="1604" w:type="dxa"/>
          </w:tcPr>
          <w:p w14:paraId="6544AADC" w14:textId="77777777" w:rsidR="00E73D94" w:rsidRDefault="00E73D94" w:rsidP="007102E1">
            <w:r w:rsidRPr="006B72AB">
              <w:rPr>
                <w:rFonts w:ascii="Arial" w:hAnsi="Arial" w:cs="Arial"/>
                <w:color w:val="264A60"/>
                <w:sz w:val="18"/>
                <w:szCs w:val="18"/>
              </w:rPr>
              <w:t>No growth</w:t>
            </w:r>
          </w:p>
        </w:tc>
        <w:tc>
          <w:tcPr>
            <w:tcW w:w="1604" w:type="dxa"/>
          </w:tcPr>
          <w:p w14:paraId="165B9EB4" w14:textId="77777777" w:rsidR="00E73D94" w:rsidRDefault="00E73D94" w:rsidP="007102E1">
            <w:r w:rsidRPr="006B72AB">
              <w:rPr>
                <w:rFonts w:ascii="Arial" w:hAnsi="Arial" w:cs="Arial"/>
                <w:color w:val="264A60"/>
                <w:sz w:val="18"/>
                <w:szCs w:val="18"/>
              </w:rPr>
              <w:t>No significant growth</w:t>
            </w:r>
          </w:p>
        </w:tc>
        <w:tc>
          <w:tcPr>
            <w:tcW w:w="1604" w:type="dxa"/>
          </w:tcPr>
          <w:p w14:paraId="53E41EA1" w14:textId="77777777" w:rsidR="00E73D94" w:rsidRDefault="00E73D94" w:rsidP="007102E1">
            <w:r w:rsidRPr="006B72AB">
              <w:rPr>
                <w:rFonts w:ascii="Arial" w:hAnsi="Arial" w:cs="Arial"/>
                <w:color w:val="264A60"/>
                <w:sz w:val="18"/>
                <w:szCs w:val="18"/>
              </w:rPr>
              <w:t>Significant growth</w:t>
            </w:r>
          </w:p>
        </w:tc>
        <w:tc>
          <w:tcPr>
            <w:tcW w:w="1604" w:type="dxa"/>
            <w:vMerge w:val="restart"/>
          </w:tcPr>
          <w:p w14:paraId="7177EC03" w14:textId="77777777" w:rsidR="00E73D94" w:rsidRDefault="00E73D94" w:rsidP="007102E1">
            <w:r>
              <w:t>0.018</w:t>
            </w:r>
          </w:p>
        </w:tc>
      </w:tr>
      <w:tr w:rsidR="00E73D94" w14:paraId="67AF4205" w14:textId="77777777" w:rsidTr="007102E1">
        <w:trPr>
          <w:trHeight w:val="1181"/>
        </w:trPr>
        <w:tc>
          <w:tcPr>
            <w:tcW w:w="1604" w:type="dxa"/>
            <w:vMerge w:val="restart"/>
          </w:tcPr>
          <w:p w14:paraId="232639EC" w14:textId="77777777" w:rsidR="00E73D94" w:rsidRDefault="00E73D94" w:rsidP="007102E1">
            <w:r>
              <w:t>Gender</w:t>
            </w:r>
          </w:p>
        </w:tc>
        <w:tc>
          <w:tcPr>
            <w:tcW w:w="1604" w:type="dxa"/>
          </w:tcPr>
          <w:p w14:paraId="0C88DC9E" w14:textId="77777777" w:rsidR="00E73D94" w:rsidRDefault="00E73D94" w:rsidP="007102E1">
            <w:r>
              <w:t>Male</w:t>
            </w:r>
          </w:p>
        </w:tc>
        <w:tc>
          <w:tcPr>
            <w:tcW w:w="1604" w:type="dxa"/>
          </w:tcPr>
          <w:p w14:paraId="7984509E" w14:textId="77777777" w:rsidR="00E73D94" w:rsidRDefault="00E73D94" w:rsidP="007102E1">
            <w:r>
              <w:t>9</w:t>
            </w:r>
          </w:p>
        </w:tc>
        <w:tc>
          <w:tcPr>
            <w:tcW w:w="1604" w:type="dxa"/>
          </w:tcPr>
          <w:p w14:paraId="6415B894" w14:textId="77777777" w:rsidR="00E73D94" w:rsidRDefault="00E73D94" w:rsidP="007102E1">
            <w:r>
              <w:t>3</w:t>
            </w:r>
          </w:p>
        </w:tc>
        <w:tc>
          <w:tcPr>
            <w:tcW w:w="1604" w:type="dxa"/>
          </w:tcPr>
          <w:p w14:paraId="3056F749" w14:textId="77777777" w:rsidR="00E73D94" w:rsidRDefault="00E73D94" w:rsidP="007102E1">
            <w:r>
              <w:t>0</w:t>
            </w:r>
          </w:p>
        </w:tc>
        <w:tc>
          <w:tcPr>
            <w:tcW w:w="1604" w:type="dxa"/>
            <w:vMerge/>
          </w:tcPr>
          <w:p w14:paraId="1359661E" w14:textId="77777777" w:rsidR="00E73D94" w:rsidRDefault="00E73D94" w:rsidP="007102E1"/>
        </w:tc>
      </w:tr>
      <w:tr w:rsidR="00E73D94" w14:paraId="31F7EE06" w14:textId="77777777" w:rsidTr="007102E1">
        <w:trPr>
          <w:trHeight w:val="937"/>
        </w:trPr>
        <w:tc>
          <w:tcPr>
            <w:tcW w:w="1604" w:type="dxa"/>
            <w:vMerge/>
          </w:tcPr>
          <w:p w14:paraId="4984B1B4" w14:textId="77777777" w:rsidR="00E73D94" w:rsidRDefault="00E73D94" w:rsidP="007102E1"/>
        </w:tc>
        <w:tc>
          <w:tcPr>
            <w:tcW w:w="1604" w:type="dxa"/>
          </w:tcPr>
          <w:p w14:paraId="02A211D9" w14:textId="77777777" w:rsidR="00E73D94" w:rsidRDefault="00E73D94" w:rsidP="007102E1">
            <w:r>
              <w:t>female</w:t>
            </w:r>
          </w:p>
        </w:tc>
        <w:tc>
          <w:tcPr>
            <w:tcW w:w="1604" w:type="dxa"/>
          </w:tcPr>
          <w:p w14:paraId="1E9361F0" w14:textId="77777777" w:rsidR="00E73D94" w:rsidRDefault="00E73D94" w:rsidP="007102E1">
            <w:r>
              <w:t>2</w:t>
            </w:r>
          </w:p>
        </w:tc>
        <w:tc>
          <w:tcPr>
            <w:tcW w:w="1604" w:type="dxa"/>
          </w:tcPr>
          <w:p w14:paraId="1720FF32" w14:textId="77777777" w:rsidR="00E73D94" w:rsidRDefault="00E73D94" w:rsidP="007102E1">
            <w:r>
              <w:t>8</w:t>
            </w:r>
          </w:p>
        </w:tc>
        <w:tc>
          <w:tcPr>
            <w:tcW w:w="1604" w:type="dxa"/>
          </w:tcPr>
          <w:p w14:paraId="67EAE4D2" w14:textId="77777777" w:rsidR="00E73D94" w:rsidRDefault="00E73D94" w:rsidP="007102E1">
            <w:r>
              <w:t>2</w:t>
            </w:r>
          </w:p>
        </w:tc>
        <w:tc>
          <w:tcPr>
            <w:tcW w:w="1604" w:type="dxa"/>
            <w:vMerge/>
          </w:tcPr>
          <w:p w14:paraId="39594D51" w14:textId="77777777" w:rsidR="00E73D94" w:rsidRDefault="00E73D94" w:rsidP="007102E1"/>
        </w:tc>
      </w:tr>
    </w:tbl>
    <w:p w14:paraId="0F732E9B" w14:textId="77777777" w:rsidR="00E73D94" w:rsidRDefault="00E73D94" w:rsidP="00E73D94">
      <w:pPr>
        <w:tabs>
          <w:tab w:val="left" w:pos="4020"/>
        </w:tabs>
        <w:rPr>
          <w:color w:val="595959" w:themeColor="text1" w:themeTint="A6"/>
          <w:sz w:val="24"/>
          <w:szCs w:val="24"/>
        </w:rPr>
      </w:pPr>
      <w:r>
        <w:rPr>
          <w:sz w:val="24"/>
          <w:szCs w:val="24"/>
        </w:rPr>
        <w:t xml:space="preserve">  </w:t>
      </w:r>
      <w:r w:rsidRPr="00B05C59">
        <w:rPr>
          <w:color w:val="595959" w:themeColor="text1" w:themeTint="A6"/>
          <w:sz w:val="24"/>
          <w:szCs w:val="24"/>
        </w:rPr>
        <w:t xml:space="preserve">Figure </w:t>
      </w:r>
      <w:r>
        <w:rPr>
          <w:color w:val="595959" w:themeColor="text1" w:themeTint="A6"/>
          <w:sz w:val="24"/>
          <w:szCs w:val="24"/>
        </w:rPr>
        <w:t>2</w:t>
      </w:r>
    </w:p>
    <w:p w14:paraId="50CF9C4A" w14:textId="77777777" w:rsidR="00E73D94" w:rsidRPr="000C6415" w:rsidRDefault="00E73D94" w:rsidP="00E73D94">
      <w:pPr>
        <w:tabs>
          <w:tab w:val="left" w:pos="4020"/>
        </w:tabs>
        <w:rPr>
          <w:rFonts w:cstheme="minorHAnsi"/>
          <w:color w:val="595959" w:themeColor="text1" w:themeTint="A6"/>
          <w:sz w:val="24"/>
          <w:szCs w:val="24"/>
        </w:rPr>
      </w:pPr>
    </w:p>
    <w:p w14:paraId="47ABB4A0" w14:textId="77777777" w:rsidR="00E73D94" w:rsidRDefault="00E73D94" w:rsidP="00E73D94">
      <w:pPr>
        <w:tabs>
          <w:tab w:val="left" w:pos="4020"/>
        </w:tabs>
        <w:rPr>
          <w:sz w:val="24"/>
          <w:szCs w:val="24"/>
        </w:rPr>
      </w:pPr>
      <w:r>
        <w:rPr>
          <w:rFonts w:cstheme="minorHAnsi"/>
          <w:sz w:val="24"/>
          <w:szCs w:val="24"/>
        </w:rPr>
        <w:t xml:space="preserve">The p-value is less than 0.05 there is a strong </w:t>
      </w:r>
      <w:r>
        <w:rPr>
          <w:sz w:val="24"/>
          <w:szCs w:val="24"/>
        </w:rPr>
        <w:t xml:space="preserve">association between gender and the incidence of asymptotic bacteriuria  </w:t>
      </w:r>
    </w:p>
    <w:p w14:paraId="213D2DA0" w14:textId="77777777" w:rsidR="00E73D94" w:rsidRDefault="00E73D94" w:rsidP="00E73D94">
      <w:pPr>
        <w:tabs>
          <w:tab w:val="left" w:pos="4020"/>
        </w:tabs>
        <w:rPr>
          <w:rFonts w:cstheme="minorHAnsi"/>
          <w:sz w:val="24"/>
          <w:szCs w:val="24"/>
        </w:rPr>
      </w:pPr>
      <w:r>
        <w:rPr>
          <w:sz w:val="24"/>
          <w:szCs w:val="24"/>
        </w:rPr>
        <w:lastRenderedPageBreak/>
        <w:t xml:space="preserve">And you can also see in figure 2 that females had much more bacterial growth than males which is expected </w:t>
      </w:r>
    </w:p>
    <w:p w14:paraId="690EC423" w14:textId="472361B0" w:rsidR="00E73D94" w:rsidRDefault="00E73D94" w:rsidP="004A099C">
      <w:pPr>
        <w:tabs>
          <w:tab w:val="left" w:pos="4020"/>
        </w:tabs>
        <w:rPr>
          <w:sz w:val="28"/>
          <w:szCs w:val="28"/>
        </w:rPr>
      </w:pPr>
    </w:p>
    <w:p w14:paraId="2643FF70" w14:textId="77777777" w:rsidR="00E73D94" w:rsidRPr="00303374" w:rsidRDefault="00E73D94" w:rsidP="00E73D94">
      <w:pPr>
        <w:pStyle w:val="a3"/>
        <w:spacing w:line="360" w:lineRule="auto"/>
        <w:jc w:val="both"/>
        <w:rPr>
          <w:rFonts w:asciiTheme="majorBidi" w:hAnsiTheme="majorBidi" w:cstheme="majorBidi"/>
          <w:sz w:val="36"/>
          <w:szCs w:val="36"/>
        </w:rPr>
      </w:pPr>
      <w:r w:rsidRPr="00303374">
        <w:rPr>
          <w:rFonts w:asciiTheme="majorBidi" w:hAnsiTheme="majorBidi" w:cstheme="majorBidi"/>
          <w:b/>
          <w:bCs/>
          <w:sz w:val="36"/>
          <w:szCs w:val="36"/>
        </w:rPr>
        <w:t>Discussion</w:t>
      </w:r>
    </w:p>
    <w:p w14:paraId="19AB2AEE" w14:textId="3CDFFB87" w:rsidR="00E73D94" w:rsidRPr="00303374" w:rsidRDefault="00F35EA5" w:rsidP="00F35EA5">
      <w:pPr>
        <w:tabs>
          <w:tab w:val="left" w:pos="4020"/>
        </w:tabs>
        <w:rPr>
          <w:sz w:val="28"/>
          <w:szCs w:val="28"/>
        </w:rPr>
      </w:pPr>
      <w:r w:rsidRPr="00F35EA5">
        <w:rPr>
          <w:sz w:val="28"/>
          <w:szCs w:val="28"/>
        </w:rPr>
        <w:t xml:space="preserve">The effect of two successive urine specimens of positive cultures (&gt;105 CFU/mL) with the same infective organism in a person with no infectious symptoms is defined as ASB. It is unclear why some people with ASB do not experience symptoms, especially given that the organisms found in their urine are commonly the same as those occur in patients with symptomatic UTIs. In fact, E. coli is the most common bacterium separated from these ASB patients. According to one plausible theory, the organisms infecting these asymptomatic people are much less virulent, likely to result in colonization rather than infection. Some argue that the term "asymptomatic bacteriuria" is misleading; study results have shown that when compared to other diseases, ASB is not always </w:t>
      </w:r>
      <w:proofErr w:type="gramStart"/>
      <w:r w:rsidRPr="00F35EA5">
        <w:rPr>
          <w:sz w:val="28"/>
          <w:szCs w:val="28"/>
        </w:rPr>
        <w:t>asymptomatic</w:t>
      </w:r>
      <w:r>
        <w:rPr>
          <w:sz w:val="28"/>
          <w:szCs w:val="28"/>
        </w:rPr>
        <w:t xml:space="preserve"> ,</w:t>
      </w:r>
      <w:r w:rsidR="00E73D94" w:rsidRPr="00303374">
        <w:rPr>
          <w:sz w:val="28"/>
          <w:szCs w:val="28"/>
        </w:rPr>
        <w:t>The</w:t>
      </w:r>
      <w:proofErr w:type="gramEnd"/>
      <w:r w:rsidR="00E73D94" w:rsidRPr="00303374">
        <w:rPr>
          <w:sz w:val="28"/>
          <w:szCs w:val="28"/>
        </w:rPr>
        <w:t xml:space="preserve"> presence of bacteria in the urine validated the criteria for detecting a severe urinary tract infection (UTI), the most common cause of UTI. The presence of leukocytes in urine, as well as the possibility that pyuria is not a perfect predictor of infection presence because it can be absent in some cases.</w:t>
      </w:r>
    </w:p>
    <w:p w14:paraId="569AABA0" w14:textId="77777777" w:rsidR="00E73D94" w:rsidRPr="00303374" w:rsidRDefault="00E73D94" w:rsidP="00E73D94">
      <w:pPr>
        <w:tabs>
          <w:tab w:val="left" w:pos="4020"/>
        </w:tabs>
        <w:rPr>
          <w:sz w:val="28"/>
          <w:szCs w:val="28"/>
        </w:rPr>
      </w:pPr>
      <w:proofErr w:type="spellStart"/>
      <w:r w:rsidRPr="00303374">
        <w:rPr>
          <w:sz w:val="28"/>
          <w:szCs w:val="28"/>
        </w:rPr>
        <w:t>Gaymans</w:t>
      </w:r>
      <w:proofErr w:type="spellEnd"/>
      <w:r w:rsidRPr="00303374">
        <w:rPr>
          <w:sz w:val="28"/>
          <w:szCs w:val="28"/>
        </w:rPr>
        <w:t xml:space="preserve"> et al. (1976) discovered that 30% of the women in their study who were initially diagnosed with ASB became symptomatic and required antibiotic therapy.</w:t>
      </w:r>
    </w:p>
    <w:p w14:paraId="06B6F7B0" w14:textId="77777777" w:rsidR="00E73D94" w:rsidRPr="00E73D94" w:rsidRDefault="00E73D94" w:rsidP="00E73D94">
      <w:pPr>
        <w:tabs>
          <w:tab w:val="left" w:pos="4020"/>
        </w:tabs>
      </w:pPr>
      <w:r w:rsidRPr="00303374">
        <w:rPr>
          <w:sz w:val="28"/>
          <w:szCs w:val="28"/>
        </w:rPr>
        <w:t xml:space="preserve">Asymptomatic bacteriuria is common, and the frequency varies according to age, gender, sexual activity, and the presence </w:t>
      </w:r>
      <w:proofErr w:type="gramStart"/>
      <w:r w:rsidRPr="00303374">
        <w:rPr>
          <w:sz w:val="28"/>
          <w:szCs w:val="28"/>
        </w:rPr>
        <w:t>of</w:t>
      </w:r>
      <w:r w:rsidRPr="00E73D94">
        <w:t xml:space="preserve"> </w:t>
      </w:r>
      <w:r w:rsidRPr="00E73D94">
        <w:rPr>
          <w:sz w:val="28"/>
          <w:szCs w:val="28"/>
        </w:rPr>
        <w:t>.</w:t>
      </w:r>
      <w:proofErr w:type="gramEnd"/>
      <w:r w:rsidRPr="00E73D94">
        <w:rPr>
          <w:sz w:val="28"/>
          <w:szCs w:val="28"/>
        </w:rPr>
        <w:t xml:space="preserve"> There According to one study, the prevalence of asymptomatic bacteriuria is 2 to 3 times higher in women with diabetes than in women without diabetes. (5) The most common bacterium found in patients with asymptomatic bacteriuria is Escherichia coli. Healthy people are more likely to have E. coli, whereas nursing home residents with catheters are more likely to have multidrug–resistant </w:t>
      </w:r>
      <w:proofErr w:type="spellStart"/>
      <w:r w:rsidRPr="00E73D94">
        <w:rPr>
          <w:sz w:val="28"/>
          <w:szCs w:val="28"/>
        </w:rPr>
        <w:t>polymicrobic</w:t>
      </w:r>
      <w:proofErr w:type="spellEnd"/>
      <w:r w:rsidRPr="00E73D94">
        <w:rPr>
          <w:sz w:val="28"/>
          <w:szCs w:val="28"/>
        </w:rPr>
        <w:t xml:space="preserve"> flora. Enterococcus species and gram-negative bacilli are more common in men. According to one study, the exact pathogenesis of this problem has not been </w:t>
      </w:r>
      <w:r w:rsidRPr="00E73D94">
        <w:rPr>
          <w:sz w:val="28"/>
          <w:szCs w:val="28"/>
        </w:rPr>
        <w:lastRenderedPageBreak/>
        <w:t>clearly defined. The most common organism isolated from patients with asymptomatic bacteriuria is Escherichia coli. (6) Opinions differ on whether or not to screen for asymptomatic bacteriuria</w:t>
      </w:r>
      <w:r w:rsidRPr="00303374">
        <w:rPr>
          <w:sz w:val="28"/>
          <w:szCs w:val="28"/>
        </w:rPr>
        <w:t xml:space="preserve"> genitourinary diseases. Bacteriuria is more common in girls than in healthy women in the community</w:t>
      </w:r>
      <w:r>
        <w:rPr>
          <w:sz w:val="28"/>
          <w:szCs w:val="28"/>
        </w:rPr>
        <w:t xml:space="preserve"> </w:t>
      </w:r>
      <w:r w:rsidRPr="00E73D94">
        <w:rPr>
          <w:sz w:val="28"/>
          <w:szCs w:val="28"/>
        </w:rPr>
        <w:t>Because they may be incubating asymptomatic infection, we believe that asymptomatic bacteriuria investigation should be included as part of the health requirements. The presence of bacteria in samples confirmed the diagnostic criteria for a severe urinary tract infection (UTI), the most common cause of UTI. Some bacterial isolates are more sensitive to antibiotic treatment than others, according to this study. If asymptomatic bacteria are found, they should be evaluated and appropriate antibiotic treatment should be administered. Urinary tract disorders can be prevented if they are detected and treated early.</w:t>
      </w:r>
    </w:p>
    <w:p w14:paraId="33678AC9" w14:textId="1722BDAD" w:rsidR="00E73D94" w:rsidRDefault="00E73D94" w:rsidP="004A099C">
      <w:pPr>
        <w:tabs>
          <w:tab w:val="left" w:pos="4020"/>
        </w:tabs>
        <w:rPr>
          <w:sz w:val="28"/>
          <w:szCs w:val="28"/>
        </w:rPr>
      </w:pPr>
    </w:p>
    <w:p w14:paraId="2AD35490" w14:textId="74C0955E" w:rsidR="007127DD" w:rsidRPr="003E1F9B" w:rsidRDefault="007127DD" w:rsidP="004A099C">
      <w:pPr>
        <w:tabs>
          <w:tab w:val="left" w:pos="4020"/>
        </w:tabs>
        <w:rPr>
          <w:b/>
          <w:bCs/>
          <w:sz w:val="36"/>
          <w:szCs w:val="36"/>
        </w:rPr>
      </w:pPr>
      <w:r w:rsidRPr="003E1F9B">
        <w:rPr>
          <w:b/>
          <w:bCs/>
          <w:sz w:val="36"/>
          <w:szCs w:val="36"/>
        </w:rPr>
        <w:t>Conclusion</w:t>
      </w:r>
    </w:p>
    <w:p w14:paraId="63A95488" w14:textId="77777777" w:rsidR="00F028F2" w:rsidRDefault="00F028F2" w:rsidP="007A0741">
      <w:pPr>
        <w:tabs>
          <w:tab w:val="left" w:pos="4020"/>
        </w:tabs>
        <w:rPr>
          <w:b/>
          <w:bCs/>
          <w:sz w:val="28"/>
          <w:szCs w:val="28"/>
        </w:rPr>
      </w:pPr>
      <w:r w:rsidRPr="00F028F2">
        <w:rPr>
          <w:sz w:val="28"/>
          <w:szCs w:val="28"/>
        </w:rPr>
        <w:t>During the last 50 years, the scientific process for asymptomatic bacteriuria has shifted from a potentially dangerous clinical finding that requires diagnosis and management to a benign observation that requires no management in the majority of cases. The most common etiological agent that affects female students more than males. Proper hygiene should be encouraged, but personality traits that may result to antibiotic resistance should be avoided.</w:t>
      </w:r>
    </w:p>
    <w:p w14:paraId="75D42A7C" w14:textId="63A59DF3" w:rsidR="007A0741" w:rsidRPr="007A0741" w:rsidRDefault="007A0741" w:rsidP="007A0741">
      <w:pPr>
        <w:tabs>
          <w:tab w:val="left" w:pos="4020"/>
        </w:tabs>
        <w:rPr>
          <w:b/>
          <w:bCs/>
          <w:sz w:val="28"/>
          <w:szCs w:val="28"/>
        </w:rPr>
      </w:pPr>
      <w:r w:rsidRPr="003E1F9B">
        <w:rPr>
          <w:b/>
          <w:bCs/>
          <w:sz w:val="36"/>
          <w:szCs w:val="36"/>
        </w:rPr>
        <w:t>References</w:t>
      </w:r>
      <w:r w:rsidRPr="00C2257D">
        <w:rPr>
          <w:b/>
          <w:bCs/>
          <w:sz w:val="28"/>
          <w:szCs w:val="28"/>
        </w:rPr>
        <w:t xml:space="preserve"> </w:t>
      </w:r>
    </w:p>
    <w:p w14:paraId="593694E0" w14:textId="77777777" w:rsidR="007A0741" w:rsidRPr="00B72720" w:rsidRDefault="007A0741" w:rsidP="007A0741">
      <w:pPr>
        <w:pStyle w:val="a5"/>
        <w:numPr>
          <w:ilvl w:val="0"/>
          <w:numId w:val="2"/>
        </w:numPr>
        <w:tabs>
          <w:tab w:val="left" w:pos="4020"/>
        </w:tabs>
        <w:rPr>
          <w:sz w:val="24"/>
          <w:szCs w:val="24"/>
        </w:rPr>
      </w:pPr>
      <w:r w:rsidRPr="00B72720">
        <w:rPr>
          <w:sz w:val="24"/>
          <w:szCs w:val="24"/>
        </w:rPr>
        <w:t>LEVINSON W. REVIEW OF MEDICAL MICROBIOLOGY AND IMMUNOLOGY. 14th ed. [</w:t>
      </w:r>
      <w:proofErr w:type="spellStart"/>
      <w:r w:rsidRPr="00B72720">
        <w:rPr>
          <w:sz w:val="24"/>
          <w:szCs w:val="24"/>
        </w:rPr>
        <w:t>S.l.</w:t>
      </w:r>
      <w:proofErr w:type="spellEnd"/>
      <w:r w:rsidRPr="00B72720">
        <w:rPr>
          <w:sz w:val="24"/>
          <w:szCs w:val="24"/>
        </w:rPr>
        <w:t>]: MCGRAW-HILL EDUCATION; 2022.</w:t>
      </w:r>
    </w:p>
    <w:p w14:paraId="1DFA3463" w14:textId="77777777" w:rsidR="007A0741" w:rsidRDefault="007A0741" w:rsidP="007A0741">
      <w:pPr>
        <w:pStyle w:val="a5"/>
        <w:numPr>
          <w:ilvl w:val="0"/>
          <w:numId w:val="2"/>
        </w:numPr>
        <w:tabs>
          <w:tab w:val="left" w:pos="4020"/>
        </w:tabs>
        <w:rPr>
          <w:sz w:val="24"/>
          <w:szCs w:val="24"/>
        </w:rPr>
      </w:pPr>
      <w:r w:rsidRPr="00B72720">
        <w:rPr>
          <w:sz w:val="24"/>
          <w:szCs w:val="24"/>
        </w:rPr>
        <w:t xml:space="preserve">Forbes B, </w:t>
      </w:r>
      <w:proofErr w:type="spellStart"/>
      <w:r w:rsidRPr="00B72720">
        <w:rPr>
          <w:sz w:val="24"/>
          <w:szCs w:val="24"/>
        </w:rPr>
        <w:t>Sahm</w:t>
      </w:r>
      <w:proofErr w:type="spellEnd"/>
      <w:r w:rsidRPr="00B72720">
        <w:rPr>
          <w:sz w:val="24"/>
          <w:szCs w:val="24"/>
        </w:rPr>
        <w:t xml:space="preserve"> D, Trevino E, </w:t>
      </w:r>
      <w:proofErr w:type="spellStart"/>
      <w:r w:rsidRPr="00B72720">
        <w:rPr>
          <w:sz w:val="24"/>
          <w:szCs w:val="24"/>
        </w:rPr>
        <w:t>Weissfeld</w:t>
      </w:r>
      <w:proofErr w:type="spellEnd"/>
      <w:r w:rsidRPr="00B72720">
        <w:rPr>
          <w:sz w:val="24"/>
          <w:szCs w:val="24"/>
        </w:rPr>
        <w:t xml:space="preserve"> A. Bailey &amp; Scott's Diagnostic Microbiology. 12th ed. Buenos Aires: Medical </w:t>
      </w:r>
      <w:proofErr w:type="spellStart"/>
      <w:r w:rsidRPr="00B72720">
        <w:rPr>
          <w:sz w:val="24"/>
          <w:szCs w:val="24"/>
        </w:rPr>
        <w:t>Panamericana</w:t>
      </w:r>
      <w:proofErr w:type="spellEnd"/>
      <w:r w:rsidRPr="00B72720">
        <w:rPr>
          <w:sz w:val="24"/>
          <w:szCs w:val="24"/>
        </w:rPr>
        <w:t>; 2009.</w:t>
      </w:r>
    </w:p>
    <w:p w14:paraId="22B879BB" w14:textId="77777777" w:rsidR="007A0741" w:rsidRDefault="007A0741" w:rsidP="007A0741">
      <w:pPr>
        <w:pStyle w:val="a5"/>
        <w:numPr>
          <w:ilvl w:val="0"/>
          <w:numId w:val="2"/>
        </w:numPr>
        <w:tabs>
          <w:tab w:val="left" w:pos="4020"/>
        </w:tabs>
        <w:rPr>
          <w:sz w:val="24"/>
          <w:szCs w:val="24"/>
        </w:rPr>
      </w:pPr>
      <w:r w:rsidRPr="00B72720">
        <w:rPr>
          <w:sz w:val="24"/>
          <w:szCs w:val="24"/>
        </w:rPr>
        <w:t>Colgan R, Nicolle LE, McGlone A, Hooton TM. Asymptomatic bacteriuria in adults. American family physician. 2006 Sep 15;74(6):985-90.</w:t>
      </w:r>
    </w:p>
    <w:p w14:paraId="1A22C484" w14:textId="77777777" w:rsidR="007A0741" w:rsidRDefault="007A0741" w:rsidP="007A0741">
      <w:pPr>
        <w:pStyle w:val="a5"/>
        <w:numPr>
          <w:ilvl w:val="0"/>
          <w:numId w:val="2"/>
        </w:numPr>
        <w:tabs>
          <w:tab w:val="left" w:pos="4020"/>
        </w:tabs>
        <w:rPr>
          <w:sz w:val="24"/>
          <w:szCs w:val="24"/>
        </w:rPr>
      </w:pPr>
      <w:r w:rsidRPr="00B72720">
        <w:rPr>
          <w:sz w:val="24"/>
          <w:szCs w:val="24"/>
        </w:rPr>
        <w:t xml:space="preserve">Ipe DS, </w:t>
      </w:r>
      <w:proofErr w:type="spellStart"/>
      <w:r w:rsidRPr="00B72720">
        <w:rPr>
          <w:sz w:val="24"/>
          <w:szCs w:val="24"/>
        </w:rPr>
        <w:t>Sundac</w:t>
      </w:r>
      <w:proofErr w:type="spellEnd"/>
      <w:r w:rsidRPr="00B72720">
        <w:rPr>
          <w:sz w:val="24"/>
          <w:szCs w:val="24"/>
        </w:rPr>
        <w:t xml:space="preserve"> L, Benjamin Jr WH, Moore KH, </w:t>
      </w:r>
      <w:proofErr w:type="spellStart"/>
      <w:r w:rsidRPr="00B72720">
        <w:rPr>
          <w:sz w:val="24"/>
          <w:szCs w:val="24"/>
        </w:rPr>
        <w:t>Ulett</w:t>
      </w:r>
      <w:proofErr w:type="spellEnd"/>
      <w:r w:rsidRPr="00B72720">
        <w:rPr>
          <w:sz w:val="24"/>
          <w:szCs w:val="24"/>
        </w:rPr>
        <w:t xml:space="preserve"> GC. Asymptomatic bacteriuria: prevalence rates of causal microorganisms, </w:t>
      </w:r>
      <w:proofErr w:type="spellStart"/>
      <w:r w:rsidRPr="00B72720">
        <w:rPr>
          <w:sz w:val="24"/>
          <w:szCs w:val="24"/>
        </w:rPr>
        <w:t>etiology</w:t>
      </w:r>
      <w:proofErr w:type="spellEnd"/>
      <w:r w:rsidRPr="00B72720">
        <w:rPr>
          <w:sz w:val="24"/>
          <w:szCs w:val="24"/>
        </w:rPr>
        <w:t xml:space="preserve"> of infection in different patient populations, and recent advances in molecular detection. FEMS microbiology letters. 2013 Sep 1;346(1):1-0.</w:t>
      </w:r>
    </w:p>
    <w:p w14:paraId="42D9BDAA" w14:textId="77777777" w:rsidR="007A0741" w:rsidRPr="00B72720" w:rsidRDefault="007A0741" w:rsidP="007A0741">
      <w:pPr>
        <w:pStyle w:val="a5"/>
        <w:numPr>
          <w:ilvl w:val="0"/>
          <w:numId w:val="2"/>
        </w:numPr>
        <w:tabs>
          <w:tab w:val="left" w:pos="4020"/>
        </w:tabs>
        <w:rPr>
          <w:sz w:val="24"/>
          <w:szCs w:val="24"/>
        </w:rPr>
      </w:pPr>
      <w:r w:rsidRPr="00B72720">
        <w:rPr>
          <w:sz w:val="24"/>
          <w:szCs w:val="24"/>
        </w:rPr>
        <w:lastRenderedPageBreak/>
        <w:t>Nicolle LE. The Paradigm Shift to Non-Treatment of Asymptomatic Bacteriuria. Pathogens. 2016; 5(2):38.</w:t>
      </w:r>
    </w:p>
    <w:p w14:paraId="45794AC7" w14:textId="77777777" w:rsidR="007A0741" w:rsidRPr="007127DD" w:rsidRDefault="007A0741" w:rsidP="004A099C">
      <w:pPr>
        <w:tabs>
          <w:tab w:val="left" w:pos="4020"/>
        </w:tabs>
        <w:rPr>
          <w:rFonts w:hint="cs"/>
          <w:sz w:val="28"/>
          <w:szCs w:val="28"/>
          <w:rtl/>
        </w:rPr>
      </w:pPr>
    </w:p>
    <w:sectPr w:rsidR="007A0741" w:rsidRPr="007127DD" w:rsidSect="00E0199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155B76"/>
    <w:multiLevelType w:val="hybridMultilevel"/>
    <w:tmpl w:val="2E04BEDA"/>
    <w:lvl w:ilvl="0" w:tplc="C79420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31118112">
    <w:abstractNumId w:val="1"/>
  </w:num>
  <w:num w:numId="2" w16cid:durableId="12402884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6EF"/>
    <w:rsid w:val="0008783F"/>
    <w:rsid w:val="0013635F"/>
    <w:rsid w:val="00185129"/>
    <w:rsid w:val="00236361"/>
    <w:rsid w:val="00303374"/>
    <w:rsid w:val="003E1F9B"/>
    <w:rsid w:val="003F67FC"/>
    <w:rsid w:val="00494BE1"/>
    <w:rsid w:val="004A099C"/>
    <w:rsid w:val="006454AF"/>
    <w:rsid w:val="0067482F"/>
    <w:rsid w:val="007127DD"/>
    <w:rsid w:val="007A0741"/>
    <w:rsid w:val="00803256"/>
    <w:rsid w:val="00852039"/>
    <w:rsid w:val="009A26EF"/>
    <w:rsid w:val="00B3179C"/>
    <w:rsid w:val="00B36462"/>
    <w:rsid w:val="00C601A5"/>
    <w:rsid w:val="00DF5DDB"/>
    <w:rsid w:val="00E0199B"/>
    <w:rsid w:val="00E56728"/>
    <w:rsid w:val="00E73D94"/>
    <w:rsid w:val="00EB3C1D"/>
    <w:rsid w:val="00F028F2"/>
    <w:rsid w:val="00F35EA5"/>
    <w:rsid w:val="00F83B1E"/>
    <w:rsid w:val="00FB2F2D"/>
    <w:rsid w:val="00FB56C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8101E"/>
  <w15:chartTrackingRefBased/>
  <w15:docId w15:val="{2F627FB3-22B8-4EB5-AD53-F6D0673ED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83B1E"/>
    <w:pPr>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03374"/>
    <w:pPr>
      <w:spacing w:after="0" w:line="240" w:lineRule="auto"/>
    </w:pPr>
  </w:style>
  <w:style w:type="table" w:styleId="a4">
    <w:name w:val="Table Grid"/>
    <w:basedOn w:val="a1"/>
    <w:uiPriority w:val="59"/>
    <w:rsid w:val="00E73D94"/>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7A0741"/>
    <w:pPr>
      <w:spacing w:after="160" w:line="259" w:lineRule="auto"/>
      <w:ind w:left="720"/>
      <w:contextualSpacing/>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2162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1371</Words>
  <Characters>7817</Characters>
  <Application>Microsoft Office Word</Application>
  <DocSecurity>0</DocSecurity>
  <Lines>65</Lines>
  <Paragraphs>18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mody</dc:creator>
  <cp:keywords/>
  <dc:description/>
  <cp:lastModifiedBy>mody</cp:lastModifiedBy>
  <cp:revision>2</cp:revision>
  <dcterms:created xsi:type="dcterms:W3CDTF">2022-06-20T20:42:00Z</dcterms:created>
  <dcterms:modified xsi:type="dcterms:W3CDTF">2022-06-20T20:42:00Z</dcterms:modified>
</cp:coreProperties>
</file>