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0844" w:rsidRDefault="0010695E">
      <w:pPr>
        <w:spacing w:line="360" w:lineRule="auto"/>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 </w:t>
      </w:r>
      <w:r>
        <w:rPr>
          <w:noProof/>
          <w:lang w:val="en-GB"/>
        </w:rPr>
        <w:drawing>
          <wp:anchor distT="114300" distB="114300" distL="114300" distR="114300" simplePos="0" relativeHeight="251658240" behindDoc="0" locked="0" layoutInCell="1" hidden="0" allowOverlap="1">
            <wp:simplePos x="0" y="0"/>
            <wp:positionH relativeFrom="column">
              <wp:posOffset>4714875</wp:posOffset>
            </wp:positionH>
            <wp:positionV relativeFrom="paragraph">
              <wp:posOffset>114300</wp:posOffset>
            </wp:positionV>
            <wp:extent cx="1533525" cy="1314450"/>
            <wp:effectExtent l="0" t="0" r="0" b="0"/>
            <wp:wrapNone/>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alphaModFix amt="95000"/>
                    </a:blip>
                    <a:srcRect b="14000"/>
                    <a:stretch>
                      <a:fillRect/>
                    </a:stretch>
                  </pic:blipFill>
                  <pic:spPr>
                    <a:xfrm>
                      <a:off x="0" y="0"/>
                      <a:ext cx="1533525" cy="1314450"/>
                    </a:xfrm>
                    <a:prstGeom prst="rect">
                      <a:avLst/>
                    </a:prstGeom>
                    <a:ln/>
                  </pic:spPr>
                </pic:pic>
              </a:graphicData>
            </a:graphic>
          </wp:anchor>
        </w:drawing>
      </w:r>
      <w:r>
        <w:rPr>
          <w:noProof/>
          <w:lang w:val="en-GB"/>
        </w:rPr>
        <w:drawing>
          <wp:anchor distT="114300" distB="114300" distL="114300" distR="114300" simplePos="0" relativeHeight="251659264" behindDoc="0" locked="0" layoutInCell="1" hidden="0" allowOverlap="1">
            <wp:simplePos x="0" y="0"/>
            <wp:positionH relativeFrom="column">
              <wp:posOffset>-695324</wp:posOffset>
            </wp:positionH>
            <wp:positionV relativeFrom="paragraph">
              <wp:posOffset>114300</wp:posOffset>
            </wp:positionV>
            <wp:extent cx="823913" cy="1318260"/>
            <wp:effectExtent l="0" t="0" r="0" b="0"/>
            <wp:wrapNone/>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alphaModFix amt="57000"/>
                    </a:blip>
                    <a:srcRect/>
                    <a:stretch>
                      <a:fillRect/>
                    </a:stretch>
                  </pic:blipFill>
                  <pic:spPr>
                    <a:xfrm>
                      <a:off x="0" y="0"/>
                      <a:ext cx="823913" cy="1318260"/>
                    </a:xfrm>
                    <a:prstGeom prst="rect">
                      <a:avLst/>
                    </a:prstGeom>
                    <a:ln/>
                  </pic:spPr>
                </pic:pic>
              </a:graphicData>
            </a:graphic>
          </wp:anchor>
        </w:drawing>
      </w:r>
    </w:p>
    <w:p w:rsidR="003B0844" w:rsidRDefault="0010695E">
      <w:pPr>
        <w:spacing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  </w:t>
      </w:r>
    </w:p>
    <w:p w:rsidR="003B0844" w:rsidRDefault="003B0844">
      <w:pPr>
        <w:spacing w:line="360" w:lineRule="auto"/>
        <w:jc w:val="center"/>
        <w:rPr>
          <w:rFonts w:ascii="Times New Roman" w:eastAsia="Times New Roman" w:hAnsi="Times New Roman" w:cs="Times New Roman"/>
          <w:b/>
          <w:sz w:val="36"/>
          <w:szCs w:val="36"/>
        </w:rPr>
      </w:pPr>
    </w:p>
    <w:p w:rsidR="003B0844" w:rsidRDefault="003B0844">
      <w:pPr>
        <w:spacing w:line="360" w:lineRule="auto"/>
        <w:jc w:val="center"/>
        <w:rPr>
          <w:rFonts w:ascii="Times New Roman" w:eastAsia="Times New Roman" w:hAnsi="Times New Roman" w:cs="Times New Roman"/>
          <w:b/>
          <w:sz w:val="36"/>
          <w:szCs w:val="36"/>
        </w:rPr>
      </w:pPr>
    </w:p>
    <w:p w:rsidR="003B0844" w:rsidRDefault="0010695E">
      <w:pPr>
        <w:spacing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Incidence Rate of Asymptomatic Bacteriuria </w:t>
      </w:r>
      <w:proofErr w:type="gramStart"/>
      <w:r>
        <w:rPr>
          <w:rFonts w:ascii="Times New Roman" w:eastAsia="Times New Roman" w:hAnsi="Times New Roman" w:cs="Times New Roman"/>
          <w:b/>
          <w:sz w:val="36"/>
          <w:szCs w:val="36"/>
        </w:rPr>
        <w:t>Between</w:t>
      </w:r>
      <w:proofErr w:type="gramEnd"/>
      <w:r>
        <w:rPr>
          <w:rFonts w:ascii="Times New Roman" w:eastAsia="Times New Roman" w:hAnsi="Times New Roman" w:cs="Times New Roman"/>
          <w:b/>
          <w:sz w:val="36"/>
          <w:szCs w:val="36"/>
        </w:rPr>
        <w:t xml:space="preserve"> Libyan International Medical School Female and Male Students</w:t>
      </w:r>
    </w:p>
    <w:p w:rsidR="003B0844" w:rsidRDefault="003B0844">
      <w:pPr>
        <w:spacing w:line="360" w:lineRule="auto"/>
        <w:rPr>
          <w:rFonts w:ascii="Times New Roman" w:eastAsia="Times New Roman" w:hAnsi="Times New Roman" w:cs="Times New Roman"/>
          <w:b/>
          <w:sz w:val="28"/>
          <w:szCs w:val="28"/>
        </w:rPr>
      </w:pPr>
    </w:p>
    <w:p w:rsidR="003B0844" w:rsidRDefault="0010695E">
      <w:pPr>
        <w:spacing w:line="360" w:lineRule="auto"/>
        <w:jc w:val="center"/>
        <w:rPr>
          <w:rFonts w:ascii="Times New Roman" w:eastAsia="Times New Roman" w:hAnsi="Times New Roman" w:cs="Times New Roman"/>
          <w:sz w:val="32"/>
          <w:szCs w:val="32"/>
        </w:rPr>
      </w:pPr>
      <w:proofErr w:type="spellStart"/>
      <w:r>
        <w:rPr>
          <w:rFonts w:ascii="Times New Roman" w:eastAsia="Times New Roman" w:hAnsi="Times New Roman" w:cs="Times New Roman"/>
          <w:sz w:val="32"/>
          <w:szCs w:val="32"/>
        </w:rPr>
        <w:t>Ikram</w:t>
      </w:r>
      <w:proofErr w:type="spellEnd"/>
      <w:r>
        <w:rPr>
          <w:rFonts w:ascii="Times New Roman" w:eastAsia="Times New Roman" w:hAnsi="Times New Roman" w:cs="Times New Roman"/>
          <w:sz w:val="32"/>
          <w:szCs w:val="32"/>
        </w:rPr>
        <w:t xml:space="preserve"> Saad El Gaoud 3140</w:t>
      </w:r>
    </w:p>
    <w:p w:rsidR="003B0844" w:rsidRDefault="0010695E">
      <w:pPr>
        <w:spacing w:line="360" w:lineRule="auto"/>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Supervisor: Dr. Intisar </w:t>
      </w:r>
      <w:proofErr w:type="spellStart"/>
      <w:r>
        <w:rPr>
          <w:rFonts w:ascii="Times New Roman" w:eastAsia="Times New Roman" w:hAnsi="Times New Roman" w:cs="Times New Roman"/>
          <w:sz w:val="32"/>
          <w:szCs w:val="32"/>
        </w:rPr>
        <w:t>Alnaji</w:t>
      </w:r>
      <w:proofErr w:type="spellEnd"/>
    </w:p>
    <w:p w:rsidR="003B0844" w:rsidRDefault="0010695E">
      <w:pPr>
        <w:spacing w:line="360" w:lineRule="auto"/>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Writing Advisor: </w:t>
      </w:r>
      <w:proofErr w:type="spellStart"/>
      <w:r>
        <w:rPr>
          <w:rFonts w:ascii="Times New Roman" w:eastAsia="Times New Roman" w:hAnsi="Times New Roman" w:cs="Times New Roman"/>
          <w:sz w:val="32"/>
          <w:szCs w:val="32"/>
        </w:rPr>
        <w:t>Dr.Naji</w:t>
      </w:r>
      <w:proofErr w:type="spellEnd"/>
      <w:r>
        <w:rPr>
          <w:rFonts w:ascii="Times New Roman" w:eastAsia="Times New Roman" w:hAnsi="Times New Roman" w:cs="Times New Roman"/>
          <w:sz w:val="32"/>
          <w:szCs w:val="32"/>
        </w:rPr>
        <w:t xml:space="preserve"> </w:t>
      </w:r>
      <w:proofErr w:type="spellStart"/>
      <w:r>
        <w:rPr>
          <w:rFonts w:ascii="Times New Roman" w:eastAsia="Times New Roman" w:hAnsi="Times New Roman" w:cs="Times New Roman"/>
          <w:sz w:val="32"/>
          <w:szCs w:val="32"/>
        </w:rPr>
        <w:t>Alhomry</w:t>
      </w:r>
      <w:proofErr w:type="spellEnd"/>
    </w:p>
    <w:p w:rsidR="003B0844" w:rsidRDefault="0010695E">
      <w:pPr>
        <w:spacing w:line="360" w:lineRule="auto"/>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Faculty of Applied Medical Sciences</w:t>
      </w:r>
    </w:p>
    <w:p w:rsidR="003B0844" w:rsidRDefault="0010695E">
      <w:pPr>
        <w:spacing w:line="360" w:lineRule="auto"/>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Libyan International Medical University</w:t>
      </w:r>
    </w:p>
    <w:p w:rsidR="003B0844" w:rsidRDefault="003B0844">
      <w:pPr>
        <w:spacing w:line="360" w:lineRule="auto"/>
        <w:rPr>
          <w:rFonts w:ascii="Times New Roman" w:eastAsia="Times New Roman" w:hAnsi="Times New Roman" w:cs="Times New Roman"/>
          <w:b/>
          <w:sz w:val="28"/>
          <w:szCs w:val="28"/>
        </w:rPr>
      </w:pPr>
    </w:p>
    <w:p w:rsidR="003B0844" w:rsidRDefault="0010695E">
      <w:pPr>
        <w:spacing w:line="360" w:lineRule="auto"/>
        <w:rPr>
          <w:rFonts w:ascii="Times New Roman" w:eastAsia="Times New Roman" w:hAnsi="Times New Roman" w:cs="Times New Roman"/>
          <w:b/>
          <w:sz w:val="28"/>
          <w:szCs w:val="28"/>
        </w:rPr>
      </w:pPr>
      <w:r>
        <w:br w:type="page"/>
      </w:r>
    </w:p>
    <w:p w:rsidR="003B0844" w:rsidRDefault="003B0844">
      <w:pPr>
        <w:spacing w:line="360" w:lineRule="auto"/>
        <w:rPr>
          <w:rFonts w:ascii="Times New Roman" w:eastAsia="Times New Roman" w:hAnsi="Times New Roman" w:cs="Times New Roman"/>
          <w:b/>
          <w:sz w:val="28"/>
          <w:szCs w:val="28"/>
        </w:rPr>
      </w:pPr>
    </w:p>
    <w:p w:rsidR="003B0844" w:rsidRDefault="003B0844">
      <w:pPr>
        <w:spacing w:line="360" w:lineRule="auto"/>
        <w:rPr>
          <w:rFonts w:ascii="Times New Roman" w:eastAsia="Times New Roman" w:hAnsi="Times New Roman" w:cs="Times New Roman"/>
          <w:b/>
          <w:sz w:val="32"/>
          <w:szCs w:val="32"/>
        </w:rPr>
      </w:pPr>
    </w:p>
    <w:p w:rsidR="003B0844" w:rsidRDefault="0010695E">
      <w:pPr>
        <w:spacing w:line="360" w:lineRule="auto"/>
        <w:rPr>
          <w:rFonts w:ascii="Times New Roman" w:eastAsia="Times New Roman" w:hAnsi="Times New Roman" w:cs="Times New Roman"/>
          <w:b/>
          <w:sz w:val="36"/>
          <w:szCs w:val="36"/>
        </w:rPr>
      </w:pPr>
      <w:r>
        <w:rPr>
          <w:rFonts w:ascii="Times New Roman" w:eastAsia="Times New Roman" w:hAnsi="Times New Roman" w:cs="Times New Roman"/>
          <w:b/>
          <w:sz w:val="36"/>
          <w:szCs w:val="36"/>
        </w:rPr>
        <w:t>Table of Content:</w:t>
      </w:r>
    </w:p>
    <w:sdt>
      <w:sdtPr>
        <w:id w:val="391857720"/>
        <w:docPartObj>
          <w:docPartGallery w:val="Table of Contents"/>
          <w:docPartUnique/>
        </w:docPartObj>
      </w:sdtPr>
      <w:sdtEndPr/>
      <w:sdtContent>
        <w:p w:rsidR="00CD3119" w:rsidRPr="00CD3119" w:rsidRDefault="0010695E">
          <w:pPr>
            <w:pStyle w:val="10"/>
            <w:tabs>
              <w:tab w:val="right" w:pos="8630"/>
            </w:tabs>
            <w:rPr>
              <w:rFonts w:asciiTheme="majorBidi" w:hAnsiTheme="majorBidi" w:cstheme="majorBidi"/>
              <w:b/>
              <w:bCs/>
              <w:i/>
              <w:iCs/>
              <w:noProof/>
              <w:sz w:val="32"/>
              <w:szCs w:val="32"/>
            </w:rPr>
          </w:pPr>
          <w:r>
            <w:fldChar w:fldCharType="begin"/>
          </w:r>
          <w:r>
            <w:instrText xml:space="preserve"> TOC \h \u \z </w:instrText>
          </w:r>
          <w:r>
            <w:fldChar w:fldCharType="separate"/>
          </w:r>
          <w:hyperlink w:anchor="_Toc107700879" w:history="1">
            <w:r w:rsidR="00CD3119" w:rsidRPr="00CD3119">
              <w:rPr>
                <w:rStyle w:val="Hyperlink"/>
                <w:rFonts w:asciiTheme="majorBidi" w:hAnsiTheme="majorBidi" w:cstheme="majorBidi"/>
                <w:b/>
                <w:bCs/>
                <w:i/>
                <w:iCs/>
                <w:noProof/>
                <w:sz w:val="32"/>
                <w:szCs w:val="32"/>
              </w:rPr>
              <w:t>Abstract:</w:t>
            </w:r>
            <w:r w:rsidR="00CD3119" w:rsidRPr="00CD3119">
              <w:rPr>
                <w:rFonts w:asciiTheme="majorBidi" w:hAnsiTheme="majorBidi" w:cstheme="majorBidi"/>
                <w:b/>
                <w:bCs/>
                <w:i/>
                <w:iCs/>
                <w:noProof/>
                <w:webHidden/>
                <w:sz w:val="32"/>
                <w:szCs w:val="32"/>
              </w:rPr>
              <w:tab/>
            </w:r>
            <w:r w:rsidR="00CD3119" w:rsidRPr="00CD3119">
              <w:rPr>
                <w:rFonts w:asciiTheme="majorBidi" w:hAnsiTheme="majorBidi" w:cstheme="majorBidi"/>
                <w:b/>
                <w:bCs/>
                <w:i/>
                <w:iCs/>
                <w:noProof/>
                <w:webHidden/>
                <w:sz w:val="32"/>
                <w:szCs w:val="32"/>
              </w:rPr>
              <w:fldChar w:fldCharType="begin"/>
            </w:r>
            <w:r w:rsidR="00CD3119" w:rsidRPr="00CD3119">
              <w:rPr>
                <w:rFonts w:asciiTheme="majorBidi" w:hAnsiTheme="majorBidi" w:cstheme="majorBidi"/>
                <w:b/>
                <w:bCs/>
                <w:i/>
                <w:iCs/>
                <w:noProof/>
                <w:webHidden/>
                <w:sz w:val="32"/>
                <w:szCs w:val="32"/>
              </w:rPr>
              <w:instrText xml:space="preserve"> PAGEREF _Toc107700879 \h </w:instrText>
            </w:r>
            <w:r w:rsidR="00CD3119" w:rsidRPr="00CD3119">
              <w:rPr>
                <w:rFonts w:asciiTheme="majorBidi" w:hAnsiTheme="majorBidi" w:cstheme="majorBidi"/>
                <w:b/>
                <w:bCs/>
                <w:i/>
                <w:iCs/>
                <w:noProof/>
                <w:webHidden/>
                <w:sz w:val="32"/>
                <w:szCs w:val="32"/>
              </w:rPr>
            </w:r>
            <w:r w:rsidR="00CD3119" w:rsidRPr="00CD3119">
              <w:rPr>
                <w:rFonts w:asciiTheme="majorBidi" w:hAnsiTheme="majorBidi" w:cstheme="majorBidi"/>
                <w:b/>
                <w:bCs/>
                <w:i/>
                <w:iCs/>
                <w:noProof/>
                <w:webHidden/>
                <w:sz w:val="32"/>
                <w:szCs w:val="32"/>
              </w:rPr>
              <w:fldChar w:fldCharType="separate"/>
            </w:r>
            <w:r w:rsidR="00683086">
              <w:rPr>
                <w:rFonts w:asciiTheme="majorBidi" w:hAnsiTheme="majorBidi" w:cstheme="majorBidi"/>
                <w:b/>
                <w:bCs/>
                <w:i/>
                <w:iCs/>
                <w:noProof/>
                <w:webHidden/>
                <w:sz w:val="32"/>
                <w:szCs w:val="32"/>
              </w:rPr>
              <w:t>3</w:t>
            </w:r>
            <w:r w:rsidR="00CD3119" w:rsidRPr="00CD3119">
              <w:rPr>
                <w:rFonts w:asciiTheme="majorBidi" w:hAnsiTheme="majorBidi" w:cstheme="majorBidi"/>
                <w:b/>
                <w:bCs/>
                <w:i/>
                <w:iCs/>
                <w:noProof/>
                <w:webHidden/>
                <w:sz w:val="32"/>
                <w:szCs w:val="32"/>
              </w:rPr>
              <w:fldChar w:fldCharType="end"/>
            </w:r>
          </w:hyperlink>
        </w:p>
        <w:p w:rsidR="00CD3119" w:rsidRPr="00CD3119" w:rsidRDefault="001B1AB6">
          <w:pPr>
            <w:pStyle w:val="10"/>
            <w:tabs>
              <w:tab w:val="right" w:pos="8630"/>
            </w:tabs>
            <w:rPr>
              <w:rFonts w:asciiTheme="majorBidi" w:hAnsiTheme="majorBidi" w:cstheme="majorBidi"/>
              <w:b/>
              <w:bCs/>
              <w:i/>
              <w:iCs/>
              <w:noProof/>
              <w:sz w:val="32"/>
              <w:szCs w:val="32"/>
            </w:rPr>
          </w:pPr>
          <w:hyperlink w:anchor="_Toc107700880" w:history="1">
            <w:r w:rsidR="00CD3119" w:rsidRPr="00CD3119">
              <w:rPr>
                <w:rStyle w:val="Hyperlink"/>
                <w:rFonts w:asciiTheme="majorBidi" w:hAnsiTheme="majorBidi" w:cstheme="majorBidi"/>
                <w:b/>
                <w:bCs/>
                <w:i/>
                <w:iCs/>
                <w:noProof/>
                <w:sz w:val="32"/>
                <w:szCs w:val="32"/>
              </w:rPr>
              <w:t>Introduction:</w:t>
            </w:r>
            <w:r w:rsidR="00CD3119" w:rsidRPr="00CD3119">
              <w:rPr>
                <w:rFonts w:asciiTheme="majorBidi" w:hAnsiTheme="majorBidi" w:cstheme="majorBidi"/>
                <w:b/>
                <w:bCs/>
                <w:i/>
                <w:iCs/>
                <w:noProof/>
                <w:webHidden/>
                <w:sz w:val="32"/>
                <w:szCs w:val="32"/>
              </w:rPr>
              <w:tab/>
            </w:r>
            <w:r w:rsidR="00CD3119" w:rsidRPr="00CD3119">
              <w:rPr>
                <w:rFonts w:asciiTheme="majorBidi" w:hAnsiTheme="majorBidi" w:cstheme="majorBidi"/>
                <w:b/>
                <w:bCs/>
                <w:i/>
                <w:iCs/>
                <w:noProof/>
                <w:webHidden/>
                <w:sz w:val="32"/>
                <w:szCs w:val="32"/>
              </w:rPr>
              <w:fldChar w:fldCharType="begin"/>
            </w:r>
            <w:r w:rsidR="00CD3119" w:rsidRPr="00CD3119">
              <w:rPr>
                <w:rFonts w:asciiTheme="majorBidi" w:hAnsiTheme="majorBidi" w:cstheme="majorBidi"/>
                <w:b/>
                <w:bCs/>
                <w:i/>
                <w:iCs/>
                <w:noProof/>
                <w:webHidden/>
                <w:sz w:val="32"/>
                <w:szCs w:val="32"/>
              </w:rPr>
              <w:instrText xml:space="preserve"> PAGEREF _Toc107700880 \h </w:instrText>
            </w:r>
            <w:r w:rsidR="00CD3119" w:rsidRPr="00CD3119">
              <w:rPr>
                <w:rFonts w:asciiTheme="majorBidi" w:hAnsiTheme="majorBidi" w:cstheme="majorBidi"/>
                <w:b/>
                <w:bCs/>
                <w:i/>
                <w:iCs/>
                <w:noProof/>
                <w:webHidden/>
                <w:sz w:val="32"/>
                <w:szCs w:val="32"/>
              </w:rPr>
            </w:r>
            <w:r w:rsidR="00CD3119" w:rsidRPr="00CD3119">
              <w:rPr>
                <w:rFonts w:asciiTheme="majorBidi" w:hAnsiTheme="majorBidi" w:cstheme="majorBidi"/>
                <w:b/>
                <w:bCs/>
                <w:i/>
                <w:iCs/>
                <w:noProof/>
                <w:webHidden/>
                <w:sz w:val="32"/>
                <w:szCs w:val="32"/>
              </w:rPr>
              <w:fldChar w:fldCharType="separate"/>
            </w:r>
            <w:r w:rsidR="00683086">
              <w:rPr>
                <w:rFonts w:asciiTheme="majorBidi" w:hAnsiTheme="majorBidi" w:cstheme="majorBidi"/>
                <w:b/>
                <w:bCs/>
                <w:i/>
                <w:iCs/>
                <w:noProof/>
                <w:webHidden/>
                <w:sz w:val="32"/>
                <w:szCs w:val="32"/>
              </w:rPr>
              <w:t>4</w:t>
            </w:r>
            <w:r w:rsidR="00CD3119" w:rsidRPr="00CD3119">
              <w:rPr>
                <w:rFonts w:asciiTheme="majorBidi" w:hAnsiTheme="majorBidi" w:cstheme="majorBidi"/>
                <w:b/>
                <w:bCs/>
                <w:i/>
                <w:iCs/>
                <w:noProof/>
                <w:webHidden/>
                <w:sz w:val="32"/>
                <w:szCs w:val="32"/>
              </w:rPr>
              <w:fldChar w:fldCharType="end"/>
            </w:r>
          </w:hyperlink>
        </w:p>
        <w:p w:rsidR="00CD3119" w:rsidRPr="00CD3119" w:rsidRDefault="001B1AB6">
          <w:pPr>
            <w:pStyle w:val="10"/>
            <w:tabs>
              <w:tab w:val="right" w:pos="8630"/>
            </w:tabs>
            <w:rPr>
              <w:rFonts w:asciiTheme="majorBidi" w:hAnsiTheme="majorBidi" w:cstheme="majorBidi"/>
              <w:b/>
              <w:bCs/>
              <w:i/>
              <w:iCs/>
              <w:noProof/>
              <w:sz w:val="32"/>
              <w:szCs w:val="32"/>
            </w:rPr>
          </w:pPr>
          <w:hyperlink w:anchor="_Toc107700881" w:history="1">
            <w:r w:rsidR="00CD3119" w:rsidRPr="00CD3119">
              <w:rPr>
                <w:rStyle w:val="Hyperlink"/>
                <w:rFonts w:asciiTheme="majorBidi" w:hAnsiTheme="majorBidi" w:cstheme="majorBidi"/>
                <w:b/>
                <w:bCs/>
                <w:i/>
                <w:iCs/>
                <w:noProof/>
                <w:sz w:val="32"/>
                <w:szCs w:val="32"/>
              </w:rPr>
              <w:t>Methodology:</w:t>
            </w:r>
            <w:r w:rsidR="00CD3119" w:rsidRPr="00CD3119">
              <w:rPr>
                <w:rFonts w:asciiTheme="majorBidi" w:hAnsiTheme="majorBidi" w:cstheme="majorBidi"/>
                <w:b/>
                <w:bCs/>
                <w:i/>
                <w:iCs/>
                <w:noProof/>
                <w:webHidden/>
                <w:sz w:val="32"/>
                <w:szCs w:val="32"/>
              </w:rPr>
              <w:tab/>
            </w:r>
            <w:r w:rsidR="00CD3119" w:rsidRPr="00CD3119">
              <w:rPr>
                <w:rFonts w:asciiTheme="majorBidi" w:hAnsiTheme="majorBidi" w:cstheme="majorBidi"/>
                <w:b/>
                <w:bCs/>
                <w:i/>
                <w:iCs/>
                <w:noProof/>
                <w:webHidden/>
                <w:sz w:val="32"/>
                <w:szCs w:val="32"/>
              </w:rPr>
              <w:fldChar w:fldCharType="begin"/>
            </w:r>
            <w:r w:rsidR="00CD3119" w:rsidRPr="00CD3119">
              <w:rPr>
                <w:rFonts w:asciiTheme="majorBidi" w:hAnsiTheme="majorBidi" w:cstheme="majorBidi"/>
                <w:b/>
                <w:bCs/>
                <w:i/>
                <w:iCs/>
                <w:noProof/>
                <w:webHidden/>
                <w:sz w:val="32"/>
                <w:szCs w:val="32"/>
              </w:rPr>
              <w:instrText xml:space="preserve"> PAGEREF _Toc107700881 \h </w:instrText>
            </w:r>
            <w:r w:rsidR="00CD3119" w:rsidRPr="00CD3119">
              <w:rPr>
                <w:rFonts w:asciiTheme="majorBidi" w:hAnsiTheme="majorBidi" w:cstheme="majorBidi"/>
                <w:b/>
                <w:bCs/>
                <w:i/>
                <w:iCs/>
                <w:noProof/>
                <w:webHidden/>
                <w:sz w:val="32"/>
                <w:szCs w:val="32"/>
              </w:rPr>
            </w:r>
            <w:r w:rsidR="00CD3119" w:rsidRPr="00CD3119">
              <w:rPr>
                <w:rFonts w:asciiTheme="majorBidi" w:hAnsiTheme="majorBidi" w:cstheme="majorBidi"/>
                <w:b/>
                <w:bCs/>
                <w:i/>
                <w:iCs/>
                <w:noProof/>
                <w:webHidden/>
                <w:sz w:val="32"/>
                <w:szCs w:val="32"/>
              </w:rPr>
              <w:fldChar w:fldCharType="separate"/>
            </w:r>
            <w:r w:rsidR="00683086">
              <w:rPr>
                <w:rFonts w:asciiTheme="majorBidi" w:hAnsiTheme="majorBidi" w:cstheme="majorBidi"/>
                <w:b/>
                <w:bCs/>
                <w:i/>
                <w:iCs/>
                <w:noProof/>
                <w:webHidden/>
                <w:sz w:val="32"/>
                <w:szCs w:val="32"/>
              </w:rPr>
              <w:t>5</w:t>
            </w:r>
            <w:r w:rsidR="00CD3119" w:rsidRPr="00CD3119">
              <w:rPr>
                <w:rFonts w:asciiTheme="majorBidi" w:hAnsiTheme="majorBidi" w:cstheme="majorBidi"/>
                <w:b/>
                <w:bCs/>
                <w:i/>
                <w:iCs/>
                <w:noProof/>
                <w:webHidden/>
                <w:sz w:val="32"/>
                <w:szCs w:val="32"/>
              </w:rPr>
              <w:fldChar w:fldCharType="end"/>
            </w:r>
          </w:hyperlink>
        </w:p>
        <w:p w:rsidR="00CD3119" w:rsidRPr="00CD3119" w:rsidRDefault="001B1AB6">
          <w:pPr>
            <w:pStyle w:val="10"/>
            <w:tabs>
              <w:tab w:val="right" w:pos="8630"/>
            </w:tabs>
            <w:rPr>
              <w:rFonts w:asciiTheme="majorBidi" w:hAnsiTheme="majorBidi" w:cstheme="majorBidi"/>
              <w:b/>
              <w:bCs/>
              <w:i/>
              <w:iCs/>
              <w:noProof/>
              <w:sz w:val="32"/>
              <w:szCs w:val="32"/>
            </w:rPr>
          </w:pPr>
          <w:hyperlink w:anchor="_Toc107700882" w:history="1">
            <w:r w:rsidR="00CD3119" w:rsidRPr="00CD3119">
              <w:rPr>
                <w:rStyle w:val="Hyperlink"/>
                <w:rFonts w:asciiTheme="majorBidi" w:hAnsiTheme="majorBidi" w:cstheme="majorBidi"/>
                <w:b/>
                <w:bCs/>
                <w:i/>
                <w:iCs/>
                <w:noProof/>
                <w:sz w:val="32"/>
                <w:szCs w:val="32"/>
              </w:rPr>
              <w:t>Results:</w:t>
            </w:r>
            <w:r w:rsidR="00CD3119" w:rsidRPr="00CD3119">
              <w:rPr>
                <w:rFonts w:asciiTheme="majorBidi" w:hAnsiTheme="majorBidi" w:cstheme="majorBidi"/>
                <w:b/>
                <w:bCs/>
                <w:i/>
                <w:iCs/>
                <w:noProof/>
                <w:webHidden/>
                <w:sz w:val="32"/>
                <w:szCs w:val="32"/>
              </w:rPr>
              <w:tab/>
            </w:r>
            <w:r w:rsidR="00CD3119" w:rsidRPr="00CD3119">
              <w:rPr>
                <w:rFonts w:asciiTheme="majorBidi" w:hAnsiTheme="majorBidi" w:cstheme="majorBidi"/>
                <w:b/>
                <w:bCs/>
                <w:i/>
                <w:iCs/>
                <w:noProof/>
                <w:webHidden/>
                <w:sz w:val="32"/>
                <w:szCs w:val="32"/>
              </w:rPr>
              <w:fldChar w:fldCharType="begin"/>
            </w:r>
            <w:r w:rsidR="00CD3119" w:rsidRPr="00CD3119">
              <w:rPr>
                <w:rFonts w:asciiTheme="majorBidi" w:hAnsiTheme="majorBidi" w:cstheme="majorBidi"/>
                <w:b/>
                <w:bCs/>
                <w:i/>
                <w:iCs/>
                <w:noProof/>
                <w:webHidden/>
                <w:sz w:val="32"/>
                <w:szCs w:val="32"/>
              </w:rPr>
              <w:instrText xml:space="preserve"> PAGEREF _Toc107700882 \h </w:instrText>
            </w:r>
            <w:r w:rsidR="00CD3119" w:rsidRPr="00CD3119">
              <w:rPr>
                <w:rFonts w:asciiTheme="majorBidi" w:hAnsiTheme="majorBidi" w:cstheme="majorBidi"/>
                <w:b/>
                <w:bCs/>
                <w:i/>
                <w:iCs/>
                <w:noProof/>
                <w:webHidden/>
                <w:sz w:val="32"/>
                <w:szCs w:val="32"/>
              </w:rPr>
            </w:r>
            <w:r w:rsidR="00CD3119" w:rsidRPr="00CD3119">
              <w:rPr>
                <w:rFonts w:asciiTheme="majorBidi" w:hAnsiTheme="majorBidi" w:cstheme="majorBidi"/>
                <w:b/>
                <w:bCs/>
                <w:i/>
                <w:iCs/>
                <w:noProof/>
                <w:webHidden/>
                <w:sz w:val="32"/>
                <w:szCs w:val="32"/>
              </w:rPr>
              <w:fldChar w:fldCharType="separate"/>
            </w:r>
            <w:r w:rsidR="00683086">
              <w:rPr>
                <w:rFonts w:asciiTheme="majorBidi" w:hAnsiTheme="majorBidi" w:cstheme="majorBidi"/>
                <w:b/>
                <w:bCs/>
                <w:i/>
                <w:iCs/>
                <w:noProof/>
                <w:webHidden/>
                <w:sz w:val="32"/>
                <w:szCs w:val="32"/>
              </w:rPr>
              <w:t>7</w:t>
            </w:r>
            <w:r w:rsidR="00CD3119" w:rsidRPr="00CD3119">
              <w:rPr>
                <w:rFonts w:asciiTheme="majorBidi" w:hAnsiTheme="majorBidi" w:cstheme="majorBidi"/>
                <w:b/>
                <w:bCs/>
                <w:i/>
                <w:iCs/>
                <w:noProof/>
                <w:webHidden/>
                <w:sz w:val="32"/>
                <w:szCs w:val="32"/>
              </w:rPr>
              <w:fldChar w:fldCharType="end"/>
            </w:r>
          </w:hyperlink>
        </w:p>
        <w:p w:rsidR="00CD3119" w:rsidRPr="00CD3119" w:rsidRDefault="001B1AB6">
          <w:pPr>
            <w:pStyle w:val="10"/>
            <w:tabs>
              <w:tab w:val="right" w:pos="8630"/>
            </w:tabs>
            <w:rPr>
              <w:rFonts w:asciiTheme="majorBidi" w:hAnsiTheme="majorBidi" w:cstheme="majorBidi"/>
              <w:b/>
              <w:bCs/>
              <w:i/>
              <w:iCs/>
              <w:noProof/>
              <w:sz w:val="32"/>
              <w:szCs w:val="32"/>
            </w:rPr>
          </w:pPr>
          <w:hyperlink w:anchor="_Toc107700883" w:history="1">
            <w:r w:rsidR="00CD3119" w:rsidRPr="00CD3119">
              <w:rPr>
                <w:rStyle w:val="Hyperlink"/>
                <w:rFonts w:asciiTheme="majorBidi" w:hAnsiTheme="majorBidi" w:cstheme="majorBidi"/>
                <w:b/>
                <w:bCs/>
                <w:i/>
                <w:iCs/>
                <w:noProof/>
                <w:sz w:val="32"/>
                <w:szCs w:val="32"/>
              </w:rPr>
              <w:t>Discussion:</w:t>
            </w:r>
            <w:r w:rsidR="00CD3119" w:rsidRPr="00CD3119">
              <w:rPr>
                <w:rFonts w:asciiTheme="majorBidi" w:hAnsiTheme="majorBidi" w:cstheme="majorBidi"/>
                <w:b/>
                <w:bCs/>
                <w:i/>
                <w:iCs/>
                <w:noProof/>
                <w:webHidden/>
                <w:sz w:val="32"/>
                <w:szCs w:val="32"/>
              </w:rPr>
              <w:tab/>
            </w:r>
            <w:r w:rsidR="00CD3119" w:rsidRPr="00CD3119">
              <w:rPr>
                <w:rFonts w:asciiTheme="majorBidi" w:hAnsiTheme="majorBidi" w:cstheme="majorBidi"/>
                <w:b/>
                <w:bCs/>
                <w:i/>
                <w:iCs/>
                <w:noProof/>
                <w:webHidden/>
                <w:sz w:val="32"/>
                <w:szCs w:val="32"/>
              </w:rPr>
              <w:fldChar w:fldCharType="begin"/>
            </w:r>
            <w:r w:rsidR="00CD3119" w:rsidRPr="00CD3119">
              <w:rPr>
                <w:rFonts w:asciiTheme="majorBidi" w:hAnsiTheme="majorBidi" w:cstheme="majorBidi"/>
                <w:b/>
                <w:bCs/>
                <w:i/>
                <w:iCs/>
                <w:noProof/>
                <w:webHidden/>
                <w:sz w:val="32"/>
                <w:szCs w:val="32"/>
              </w:rPr>
              <w:instrText xml:space="preserve"> PAGEREF _Toc107700883 \h </w:instrText>
            </w:r>
            <w:r w:rsidR="00CD3119" w:rsidRPr="00CD3119">
              <w:rPr>
                <w:rFonts w:asciiTheme="majorBidi" w:hAnsiTheme="majorBidi" w:cstheme="majorBidi"/>
                <w:b/>
                <w:bCs/>
                <w:i/>
                <w:iCs/>
                <w:noProof/>
                <w:webHidden/>
                <w:sz w:val="32"/>
                <w:szCs w:val="32"/>
              </w:rPr>
            </w:r>
            <w:r w:rsidR="00CD3119" w:rsidRPr="00CD3119">
              <w:rPr>
                <w:rFonts w:asciiTheme="majorBidi" w:hAnsiTheme="majorBidi" w:cstheme="majorBidi"/>
                <w:b/>
                <w:bCs/>
                <w:i/>
                <w:iCs/>
                <w:noProof/>
                <w:webHidden/>
                <w:sz w:val="32"/>
                <w:szCs w:val="32"/>
              </w:rPr>
              <w:fldChar w:fldCharType="separate"/>
            </w:r>
            <w:r w:rsidR="00683086">
              <w:rPr>
                <w:rFonts w:asciiTheme="majorBidi" w:hAnsiTheme="majorBidi" w:cstheme="majorBidi"/>
                <w:b/>
                <w:bCs/>
                <w:i/>
                <w:iCs/>
                <w:noProof/>
                <w:webHidden/>
                <w:sz w:val="32"/>
                <w:szCs w:val="32"/>
              </w:rPr>
              <w:t>11</w:t>
            </w:r>
            <w:r w:rsidR="00CD3119" w:rsidRPr="00CD3119">
              <w:rPr>
                <w:rFonts w:asciiTheme="majorBidi" w:hAnsiTheme="majorBidi" w:cstheme="majorBidi"/>
                <w:b/>
                <w:bCs/>
                <w:i/>
                <w:iCs/>
                <w:noProof/>
                <w:webHidden/>
                <w:sz w:val="32"/>
                <w:szCs w:val="32"/>
              </w:rPr>
              <w:fldChar w:fldCharType="end"/>
            </w:r>
          </w:hyperlink>
          <w:bookmarkStart w:id="0" w:name="_GoBack"/>
          <w:bookmarkEnd w:id="0"/>
        </w:p>
        <w:p w:rsidR="00CD3119" w:rsidRPr="00CD3119" w:rsidRDefault="001B1AB6">
          <w:pPr>
            <w:pStyle w:val="10"/>
            <w:tabs>
              <w:tab w:val="right" w:pos="8630"/>
            </w:tabs>
            <w:rPr>
              <w:rFonts w:asciiTheme="majorBidi" w:hAnsiTheme="majorBidi" w:cstheme="majorBidi"/>
              <w:b/>
              <w:bCs/>
              <w:i/>
              <w:iCs/>
              <w:noProof/>
              <w:sz w:val="32"/>
              <w:szCs w:val="32"/>
            </w:rPr>
          </w:pPr>
          <w:hyperlink w:anchor="_Toc107700884" w:history="1">
            <w:r w:rsidR="00CD3119" w:rsidRPr="00CD3119">
              <w:rPr>
                <w:rStyle w:val="Hyperlink"/>
                <w:rFonts w:asciiTheme="majorBidi" w:hAnsiTheme="majorBidi" w:cstheme="majorBidi"/>
                <w:b/>
                <w:bCs/>
                <w:i/>
                <w:iCs/>
                <w:noProof/>
                <w:sz w:val="32"/>
                <w:szCs w:val="32"/>
              </w:rPr>
              <w:t>Conclusion:</w:t>
            </w:r>
            <w:r w:rsidR="00CD3119" w:rsidRPr="00CD3119">
              <w:rPr>
                <w:rFonts w:asciiTheme="majorBidi" w:hAnsiTheme="majorBidi" w:cstheme="majorBidi"/>
                <w:b/>
                <w:bCs/>
                <w:i/>
                <w:iCs/>
                <w:noProof/>
                <w:webHidden/>
                <w:sz w:val="32"/>
                <w:szCs w:val="32"/>
              </w:rPr>
              <w:tab/>
            </w:r>
            <w:r w:rsidR="00CD3119" w:rsidRPr="00CD3119">
              <w:rPr>
                <w:rFonts w:asciiTheme="majorBidi" w:hAnsiTheme="majorBidi" w:cstheme="majorBidi"/>
                <w:b/>
                <w:bCs/>
                <w:i/>
                <w:iCs/>
                <w:noProof/>
                <w:webHidden/>
                <w:sz w:val="32"/>
                <w:szCs w:val="32"/>
              </w:rPr>
              <w:fldChar w:fldCharType="begin"/>
            </w:r>
            <w:r w:rsidR="00CD3119" w:rsidRPr="00CD3119">
              <w:rPr>
                <w:rFonts w:asciiTheme="majorBidi" w:hAnsiTheme="majorBidi" w:cstheme="majorBidi"/>
                <w:b/>
                <w:bCs/>
                <w:i/>
                <w:iCs/>
                <w:noProof/>
                <w:webHidden/>
                <w:sz w:val="32"/>
                <w:szCs w:val="32"/>
              </w:rPr>
              <w:instrText xml:space="preserve"> PAGEREF _Toc107700884 \h </w:instrText>
            </w:r>
            <w:r w:rsidR="00CD3119" w:rsidRPr="00CD3119">
              <w:rPr>
                <w:rFonts w:asciiTheme="majorBidi" w:hAnsiTheme="majorBidi" w:cstheme="majorBidi"/>
                <w:b/>
                <w:bCs/>
                <w:i/>
                <w:iCs/>
                <w:noProof/>
                <w:webHidden/>
                <w:sz w:val="32"/>
                <w:szCs w:val="32"/>
              </w:rPr>
            </w:r>
            <w:r w:rsidR="00CD3119" w:rsidRPr="00CD3119">
              <w:rPr>
                <w:rFonts w:asciiTheme="majorBidi" w:hAnsiTheme="majorBidi" w:cstheme="majorBidi"/>
                <w:b/>
                <w:bCs/>
                <w:i/>
                <w:iCs/>
                <w:noProof/>
                <w:webHidden/>
                <w:sz w:val="32"/>
                <w:szCs w:val="32"/>
              </w:rPr>
              <w:fldChar w:fldCharType="separate"/>
            </w:r>
            <w:r w:rsidR="00683086">
              <w:rPr>
                <w:rFonts w:asciiTheme="majorBidi" w:hAnsiTheme="majorBidi" w:cstheme="majorBidi"/>
                <w:b/>
                <w:bCs/>
                <w:i/>
                <w:iCs/>
                <w:noProof/>
                <w:webHidden/>
                <w:sz w:val="32"/>
                <w:szCs w:val="32"/>
              </w:rPr>
              <w:t>14</w:t>
            </w:r>
            <w:r w:rsidR="00CD3119" w:rsidRPr="00CD3119">
              <w:rPr>
                <w:rFonts w:asciiTheme="majorBidi" w:hAnsiTheme="majorBidi" w:cstheme="majorBidi"/>
                <w:b/>
                <w:bCs/>
                <w:i/>
                <w:iCs/>
                <w:noProof/>
                <w:webHidden/>
                <w:sz w:val="32"/>
                <w:szCs w:val="32"/>
              </w:rPr>
              <w:fldChar w:fldCharType="end"/>
            </w:r>
          </w:hyperlink>
        </w:p>
        <w:p w:rsidR="00CD3119" w:rsidRPr="00CD3119" w:rsidRDefault="001B1AB6">
          <w:pPr>
            <w:pStyle w:val="10"/>
            <w:tabs>
              <w:tab w:val="right" w:pos="8630"/>
            </w:tabs>
            <w:rPr>
              <w:rFonts w:asciiTheme="majorBidi" w:hAnsiTheme="majorBidi" w:cstheme="majorBidi"/>
              <w:b/>
              <w:bCs/>
              <w:i/>
              <w:iCs/>
              <w:noProof/>
              <w:sz w:val="32"/>
              <w:szCs w:val="32"/>
            </w:rPr>
          </w:pPr>
          <w:hyperlink w:anchor="_Toc107700885" w:history="1">
            <w:r w:rsidR="00CD3119" w:rsidRPr="00CD3119">
              <w:rPr>
                <w:rStyle w:val="Hyperlink"/>
                <w:rFonts w:asciiTheme="majorBidi" w:hAnsiTheme="majorBidi" w:cstheme="majorBidi"/>
                <w:b/>
                <w:bCs/>
                <w:i/>
                <w:iCs/>
                <w:noProof/>
                <w:sz w:val="32"/>
                <w:szCs w:val="32"/>
              </w:rPr>
              <w:t>References</w:t>
            </w:r>
            <w:r w:rsidR="00CD3119" w:rsidRPr="00CD3119">
              <w:rPr>
                <w:rFonts w:asciiTheme="majorBidi" w:hAnsiTheme="majorBidi" w:cstheme="majorBidi"/>
                <w:b/>
                <w:bCs/>
                <w:i/>
                <w:iCs/>
                <w:noProof/>
                <w:webHidden/>
                <w:sz w:val="32"/>
                <w:szCs w:val="32"/>
              </w:rPr>
              <w:tab/>
            </w:r>
            <w:r w:rsidR="00CD3119" w:rsidRPr="00CD3119">
              <w:rPr>
                <w:rFonts w:asciiTheme="majorBidi" w:hAnsiTheme="majorBidi" w:cstheme="majorBidi"/>
                <w:b/>
                <w:bCs/>
                <w:i/>
                <w:iCs/>
                <w:noProof/>
                <w:webHidden/>
                <w:sz w:val="32"/>
                <w:szCs w:val="32"/>
              </w:rPr>
              <w:fldChar w:fldCharType="begin"/>
            </w:r>
            <w:r w:rsidR="00CD3119" w:rsidRPr="00CD3119">
              <w:rPr>
                <w:rFonts w:asciiTheme="majorBidi" w:hAnsiTheme="majorBidi" w:cstheme="majorBidi"/>
                <w:b/>
                <w:bCs/>
                <w:i/>
                <w:iCs/>
                <w:noProof/>
                <w:webHidden/>
                <w:sz w:val="32"/>
                <w:szCs w:val="32"/>
              </w:rPr>
              <w:instrText xml:space="preserve"> PAGEREF _Toc107700885 \h </w:instrText>
            </w:r>
            <w:r w:rsidR="00CD3119" w:rsidRPr="00CD3119">
              <w:rPr>
                <w:rFonts w:asciiTheme="majorBidi" w:hAnsiTheme="majorBidi" w:cstheme="majorBidi"/>
                <w:b/>
                <w:bCs/>
                <w:i/>
                <w:iCs/>
                <w:noProof/>
                <w:webHidden/>
                <w:sz w:val="32"/>
                <w:szCs w:val="32"/>
              </w:rPr>
            </w:r>
            <w:r w:rsidR="00CD3119" w:rsidRPr="00CD3119">
              <w:rPr>
                <w:rFonts w:asciiTheme="majorBidi" w:hAnsiTheme="majorBidi" w:cstheme="majorBidi"/>
                <w:b/>
                <w:bCs/>
                <w:i/>
                <w:iCs/>
                <w:noProof/>
                <w:webHidden/>
                <w:sz w:val="32"/>
                <w:szCs w:val="32"/>
              </w:rPr>
              <w:fldChar w:fldCharType="separate"/>
            </w:r>
            <w:r w:rsidR="00683086">
              <w:rPr>
                <w:rFonts w:asciiTheme="majorBidi" w:hAnsiTheme="majorBidi" w:cstheme="majorBidi"/>
                <w:b/>
                <w:bCs/>
                <w:i/>
                <w:iCs/>
                <w:noProof/>
                <w:webHidden/>
                <w:sz w:val="32"/>
                <w:szCs w:val="32"/>
              </w:rPr>
              <w:t>15</w:t>
            </w:r>
            <w:r w:rsidR="00CD3119" w:rsidRPr="00CD3119">
              <w:rPr>
                <w:rFonts w:asciiTheme="majorBidi" w:hAnsiTheme="majorBidi" w:cstheme="majorBidi"/>
                <w:b/>
                <w:bCs/>
                <w:i/>
                <w:iCs/>
                <w:noProof/>
                <w:webHidden/>
                <w:sz w:val="32"/>
                <w:szCs w:val="32"/>
              </w:rPr>
              <w:fldChar w:fldCharType="end"/>
            </w:r>
          </w:hyperlink>
        </w:p>
        <w:p w:rsidR="003B0844" w:rsidRDefault="0010695E">
          <w:pPr>
            <w:tabs>
              <w:tab w:val="right" w:pos="8640"/>
            </w:tabs>
            <w:spacing w:before="200" w:after="80" w:line="240" w:lineRule="auto"/>
            <w:rPr>
              <w:rFonts w:ascii="Times New Roman" w:eastAsia="Times New Roman" w:hAnsi="Times New Roman" w:cs="Times New Roman"/>
              <w:b/>
              <w:color w:val="000000"/>
              <w:sz w:val="32"/>
              <w:szCs w:val="32"/>
            </w:rPr>
          </w:pPr>
          <w:r>
            <w:fldChar w:fldCharType="end"/>
          </w:r>
        </w:p>
      </w:sdtContent>
    </w:sdt>
    <w:p w:rsidR="003B0844" w:rsidRDefault="0010695E">
      <w:pPr>
        <w:rPr>
          <w:rFonts w:ascii="Times New Roman" w:eastAsia="Times New Roman" w:hAnsi="Times New Roman" w:cs="Times New Roman"/>
          <w:b/>
          <w:sz w:val="32"/>
          <w:szCs w:val="32"/>
        </w:rPr>
      </w:pPr>
      <w:r>
        <w:br w:type="page"/>
      </w:r>
    </w:p>
    <w:p w:rsidR="003B0844" w:rsidRDefault="003B0844">
      <w:pPr>
        <w:rPr>
          <w:rFonts w:ascii="Times New Roman" w:eastAsia="Times New Roman" w:hAnsi="Times New Roman" w:cs="Times New Roman"/>
          <w:b/>
          <w:sz w:val="28"/>
          <w:szCs w:val="28"/>
        </w:rPr>
      </w:pPr>
    </w:p>
    <w:p w:rsidR="003B0844" w:rsidRPr="00683086" w:rsidRDefault="0010695E" w:rsidP="00683086">
      <w:pPr>
        <w:pStyle w:val="1"/>
        <w:spacing w:line="360" w:lineRule="auto"/>
        <w:rPr>
          <w:rFonts w:asciiTheme="majorBidi" w:hAnsiTheme="majorBidi" w:cstheme="majorBidi"/>
        </w:rPr>
      </w:pPr>
      <w:bookmarkStart w:id="1" w:name="_Toc107700879"/>
      <w:r w:rsidRPr="00683086">
        <w:rPr>
          <w:rFonts w:asciiTheme="majorBidi" w:hAnsiTheme="majorBidi" w:cstheme="majorBidi"/>
        </w:rPr>
        <w:t>Abstract:</w:t>
      </w:r>
      <w:bookmarkEnd w:id="1"/>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Asymptomatic bacteriuria is the presence of bacteria in a urine culture despite the patient not exhibiting any signs or symptoms.</w:t>
      </w:r>
      <w:r w:rsidR="00F07361" w:rsidRPr="00683086">
        <w:rPr>
          <w:rFonts w:asciiTheme="majorBidi" w:eastAsia="Times New Roman" w:hAnsiTheme="majorBidi" w:cstheme="majorBidi"/>
          <w:sz w:val="24"/>
          <w:szCs w:val="24"/>
        </w:rPr>
        <w:t xml:space="preserve"> </w:t>
      </w:r>
      <w:r w:rsidRPr="00683086">
        <w:rPr>
          <w:rFonts w:asciiTheme="majorBidi" w:eastAsia="Times New Roman" w:hAnsiTheme="majorBidi" w:cstheme="majorBidi"/>
          <w:sz w:val="24"/>
          <w:szCs w:val="24"/>
        </w:rPr>
        <w:t xml:space="preserve">Urinary tract infections in general are very common. Nearly </w:t>
      </w:r>
      <w:proofErr w:type="gramStart"/>
      <w:r w:rsidRPr="00683086">
        <w:rPr>
          <w:rFonts w:asciiTheme="majorBidi" w:eastAsia="Times New Roman" w:hAnsiTheme="majorBidi" w:cstheme="majorBidi"/>
          <w:sz w:val="24"/>
          <w:szCs w:val="24"/>
        </w:rPr>
        <w:t>1</w:t>
      </w:r>
      <w:proofErr w:type="gramEnd"/>
      <w:r w:rsidRPr="00683086">
        <w:rPr>
          <w:rFonts w:asciiTheme="majorBidi" w:eastAsia="Times New Roman" w:hAnsiTheme="majorBidi" w:cstheme="majorBidi"/>
          <w:sz w:val="24"/>
          <w:szCs w:val="24"/>
        </w:rPr>
        <w:t xml:space="preserve"> in every 2 women and one in every 20 men get this infection in their lifetime. The prevalence of UTI is far more common in women than in men due to anatomical differences in urethra and its structure. Female urethras are shorter and closer to the anal region while men urethra are longer, providing better protection.</w:t>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This study </w:t>
      </w:r>
      <w:proofErr w:type="gramStart"/>
      <w:r w:rsidRPr="00683086">
        <w:rPr>
          <w:rFonts w:asciiTheme="majorBidi" w:eastAsia="Times New Roman" w:hAnsiTheme="majorBidi" w:cstheme="majorBidi"/>
          <w:sz w:val="24"/>
          <w:szCs w:val="24"/>
        </w:rPr>
        <w:t>was done</w:t>
      </w:r>
      <w:proofErr w:type="gramEnd"/>
      <w:r w:rsidRPr="00683086">
        <w:rPr>
          <w:rFonts w:asciiTheme="majorBidi" w:eastAsia="Times New Roman" w:hAnsiTheme="majorBidi" w:cstheme="majorBidi"/>
          <w:sz w:val="24"/>
          <w:szCs w:val="24"/>
        </w:rPr>
        <w:t xml:space="preserve"> to test the prevalence of asymptomatic bacteriuria among students of Libyan International University. The study included 24 students. </w:t>
      </w:r>
      <w:proofErr w:type="gramStart"/>
      <w:r w:rsidRPr="00683086">
        <w:rPr>
          <w:rFonts w:asciiTheme="majorBidi" w:eastAsia="Times New Roman" w:hAnsiTheme="majorBidi" w:cstheme="majorBidi"/>
          <w:sz w:val="24"/>
          <w:szCs w:val="24"/>
        </w:rPr>
        <w:t>12</w:t>
      </w:r>
      <w:proofErr w:type="gramEnd"/>
      <w:r w:rsidRPr="00683086">
        <w:rPr>
          <w:rFonts w:asciiTheme="majorBidi" w:eastAsia="Times New Roman" w:hAnsiTheme="majorBidi" w:cstheme="majorBidi"/>
          <w:sz w:val="24"/>
          <w:szCs w:val="24"/>
        </w:rPr>
        <w:t xml:space="preserve"> female and 12 male. From the male patients, only </w:t>
      </w:r>
      <w:proofErr w:type="gramStart"/>
      <w:r w:rsidRPr="00683086">
        <w:rPr>
          <w:rFonts w:asciiTheme="majorBidi" w:eastAsia="Times New Roman" w:hAnsiTheme="majorBidi" w:cstheme="majorBidi"/>
          <w:sz w:val="24"/>
          <w:szCs w:val="24"/>
        </w:rPr>
        <w:t>3</w:t>
      </w:r>
      <w:proofErr w:type="gramEnd"/>
      <w:r w:rsidRPr="00683086">
        <w:rPr>
          <w:rFonts w:asciiTheme="majorBidi" w:eastAsia="Times New Roman" w:hAnsiTheme="majorBidi" w:cstheme="majorBidi"/>
          <w:sz w:val="24"/>
          <w:szCs w:val="24"/>
        </w:rPr>
        <w:t xml:space="preserve"> out of 12 had bacterial growth in contrast to 10 out of twelve for females. In other words, 16.7% of the sample had asymptomatic bacteriuria and they were female only. </w:t>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Thus this study further reinforced that </w:t>
      </w:r>
      <w:r w:rsidR="00F07361" w:rsidRPr="00683086">
        <w:rPr>
          <w:rFonts w:asciiTheme="majorBidi" w:eastAsia="Times New Roman" w:hAnsiTheme="majorBidi" w:cstheme="majorBidi"/>
          <w:sz w:val="24"/>
          <w:szCs w:val="24"/>
        </w:rPr>
        <w:t>asymptomatic</w:t>
      </w:r>
      <w:r w:rsidRPr="00683086">
        <w:rPr>
          <w:rFonts w:asciiTheme="majorBidi" w:eastAsia="Times New Roman" w:hAnsiTheme="majorBidi" w:cstheme="majorBidi"/>
          <w:sz w:val="24"/>
          <w:szCs w:val="24"/>
        </w:rPr>
        <w:t xml:space="preserve"> </w:t>
      </w:r>
      <w:proofErr w:type="gramStart"/>
      <w:r w:rsidR="00F07361" w:rsidRPr="00683086">
        <w:rPr>
          <w:rFonts w:asciiTheme="majorBidi" w:eastAsia="Times New Roman" w:hAnsiTheme="majorBidi" w:cstheme="majorBidi"/>
          <w:sz w:val="24"/>
          <w:szCs w:val="24"/>
        </w:rPr>
        <w:t>bacteriuria,</w:t>
      </w:r>
      <w:proofErr w:type="gramEnd"/>
      <w:r w:rsidRPr="00683086">
        <w:rPr>
          <w:rFonts w:asciiTheme="majorBidi" w:eastAsia="Times New Roman" w:hAnsiTheme="majorBidi" w:cstheme="majorBidi"/>
          <w:sz w:val="24"/>
          <w:szCs w:val="24"/>
        </w:rPr>
        <w:t xml:space="preserve"> and urinary tract infections in general, are indeed more prevalent in females than in males, especially during adolescence and childbearing years.</w:t>
      </w: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hAnsiTheme="majorBidi" w:cstheme="majorBidi"/>
        </w:rPr>
        <w:br w:type="page"/>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pStyle w:val="1"/>
        <w:spacing w:line="360" w:lineRule="auto"/>
        <w:rPr>
          <w:rFonts w:asciiTheme="majorBidi" w:hAnsiTheme="majorBidi" w:cstheme="majorBidi"/>
        </w:rPr>
      </w:pPr>
      <w:bookmarkStart w:id="2" w:name="_Toc107700880"/>
      <w:r w:rsidRPr="00683086">
        <w:rPr>
          <w:rFonts w:asciiTheme="majorBidi" w:hAnsiTheme="majorBidi" w:cstheme="majorBidi"/>
        </w:rPr>
        <w:t>Introduction:</w:t>
      </w:r>
      <w:bookmarkEnd w:id="2"/>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Urinary tract infections</w:t>
      </w:r>
      <w:r w:rsidR="00F07361" w:rsidRPr="00683086">
        <w:rPr>
          <w:rFonts w:asciiTheme="majorBidi" w:eastAsia="Times New Roman" w:hAnsiTheme="majorBidi" w:cstheme="majorBidi"/>
          <w:sz w:val="24"/>
          <w:szCs w:val="24"/>
        </w:rPr>
        <w:t xml:space="preserve"> </w:t>
      </w:r>
      <w:r w:rsidRPr="00683086">
        <w:rPr>
          <w:rFonts w:asciiTheme="majorBidi" w:eastAsia="Times New Roman" w:hAnsiTheme="majorBidi" w:cstheme="majorBidi"/>
          <w:sz w:val="24"/>
          <w:szCs w:val="24"/>
        </w:rPr>
        <w:t>(UTI</w:t>
      </w:r>
      <w:r w:rsidR="00CD3119" w:rsidRPr="00683086">
        <w:rPr>
          <w:rFonts w:asciiTheme="majorBidi" w:eastAsia="Times New Roman" w:hAnsiTheme="majorBidi" w:cstheme="majorBidi"/>
          <w:sz w:val="24"/>
          <w:szCs w:val="24"/>
        </w:rPr>
        <w:t>) are</w:t>
      </w:r>
      <w:r w:rsidRPr="00683086">
        <w:rPr>
          <w:rFonts w:asciiTheme="majorBidi" w:eastAsia="Times New Roman" w:hAnsiTheme="majorBidi" w:cstheme="majorBidi"/>
          <w:sz w:val="24"/>
          <w:szCs w:val="24"/>
        </w:rPr>
        <w:t xml:space="preserve"> some of the most common infections. They constitute 25% of all infections in elderly patient. UTI are responsible for around 7 million office visits, 1 million emergency room visits and more than 100,000 hospitalizations each year.</w:t>
      </w:r>
      <w:r w:rsidR="009C4C8E" w:rsidRPr="00683086">
        <w:rPr>
          <w:rFonts w:asciiTheme="majorBidi" w:eastAsia="Times New Roman" w:hAnsiTheme="majorBidi" w:cstheme="majorBidi"/>
          <w:sz w:val="24"/>
          <w:szCs w:val="24"/>
        </w:rPr>
        <w:fldChar w:fldCharType="begin"/>
      </w:r>
      <w:r w:rsidR="009C4C8E" w:rsidRPr="00683086">
        <w:rPr>
          <w:rFonts w:asciiTheme="majorBidi" w:eastAsia="Times New Roman" w:hAnsiTheme="majorBidi" w:cstheme="majorBidi"/>
          <w:sz w:val="24"/>
          <w:szCs w:val="24"/>
        </w:rPr>
        <w:instrText xml:space="preserve"> REF _Ref107703617 \r \h  \* MERGEFORMAT </w:instrText>
      </w:r>
      <w:r w:rsidR="009C4C8E" w:rsidRPr="00683086">
        <w:rPr>
          <w:rFonts w:asciiTheme="majorBidi" w:eastAsia="Times New Roman" w:hAnsiTheme="majorBidi" w:cstheme="majorBidi"/>
          <w:sz w:val="24"/>
          <w:szCs w:val="24"/>
        </w:rPr>
      </w:r>
      <w:r w:rsidR="009C4C8E" w:rsidRPr="00683086">
        <w:rPr>
          <w:rFonts w:asciiTheme="majorBidi" w:eastAsia="Times New Roman" w:hAnsiTheme="majorBidi" w:cstheme="majorBidi"/>
          <w:sz w:val="24"/>
          <w:szCs w:val="24"/>
        </w:rPr>
        <w:fldChar w:fldCharType="separate"/>
      </w:r>
      <w:r w:rsidR="009C4C8E" w:rsidRPr="00683086">
        <w:rPr>
          <w:rFonts w:asciiTheme="majorBidi" w:eastAsia="Times New Roman" w:hAnsiTheme="majorBidi" w:cstheme="majorBidi"/>
          <w:sz w:val="24"/>
          <w:szCs w:val="24"/>
          <w:cs/>
        </w:rPr>
        <w:t>‎</w:t>
      </w:r>
      <w:r w:rsidR="009C4C8E" w:rsidRPr="00683086">
        <w:rPr>
          <w:rFonts w:asciiTheme="majorBidi" w:eastAsia="Times New Roman" w:hAnsiTheme="majorBidi" w:cstheme="majorBidi"/>
          <w:sz w:val="24"/>
          <w:szCs w:val="24"/>
          <w:vertAlign w:val="superscript"/>
        </w:rPr>
        <w:t>9</w:t>
      </w:r>
      <w:r w:rsidR="009C4C8E" w:rsidRPr="00683086">
        <w:rPr>
          <w:rFonts w:asciiTheme="majorBidi" w:eastAsia="Times New Roman" w:hAnsiTheme="majorBidi" w:cstheme="majorBidi"/>
          <w:sz w:val="24"/>
          <w:szCs w:val="24"/>
        </w:rPr>
        <w:fldChar w:fldCharType="end"/>
      </w:r>
      <w:r w:rsidR="009C4C8E" w:rsidRPr="00683086">
        <w:rPr>
          <w:rFonts w:asciiTheme="majorBidi" w:eastAsia="Times New Roman" w:hAnsiTheme="majorBidi" w:cstheme="majorBidi"/>
          <w:sz w:val="24"/>
          <w:szCs w:val="24"/>
        </w:rPr>
        <w:t xml:space="preserve"> </w:t>
      </w: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Urinary Tract infections </w:t>
      </w:r>
      <w:proofErr w:type="gramStart"/>
      <w:r w:rsidRPr="00683086">
        <w:rPr>
          <w:rFonts w:asciiTheme="majorBidi" w:eastAsia="Times New Roman" w:hAnsiTheme="majorBidi" w:cstheme="majorBidi"/>
          <w:sz w:val="24"/>
          <w:szCs w:val="24"/>
        </w:rPr>
        <w:t>are defined</w:t>
      </w:r>
      <w:proofErr w:type="gramEnd"/>
      <w:r w:rsidRPr="00683086">
        <w:rPr>
          <w:rFonts w:asciiTheme="majorBidi" w:eastAsia="Times New Roman" w:hAnsiTheme="majorBidi" w:cstheme="majorBidi"/>
          <w:sz w:val="24"/>
          <w:szCs w:val="24"/>
        </w:rPr>
        <w:t xml:space="preserve"> as an inflammatory response to bacterial infection in the urinary tract. The urinary tract </w:t>
      </w:r>
      <w:proofErr w:type="gramStart"/>
      <w:r w:rsidRPr="00683086">
        <w:rPr>
          <w:rFonts w:asciiTheme="majorBidi" w:eastAsia="Times New Roman" w:hAnsiTheme="majorBidi" w:cstheme="majorBidi"/>
          <w:sz w:val="24"/>
          <w:szCs w:val="24"/>
        </w:rPr>
        <w:t>is divided</w:t>
      </w:r>
      <w:proofErr w:type="gramEnd"/>
      <w:r w:rsidRPr="00683086">
        <w:rPr>
          <w:rFonts w:asciiTheme="majorBidi" w:eastAsia="Times New Roman" w:hAnsiTheme="majorBidi" w:cstheme="majorBidi"/>
          <w:sz w:val="24"/>
          <w:szCs w:val="24"/>
        </w:rPr>
        <w:t xml:space="preserve"> into: upper urinary tract, comprising the kidney and the ureters and </w:t>
      </w:r>
      <w:r w:rsidR="00CD3119" w:rsidRPr="00683086">
        <w:rPr>
          <w:rFonts w:asciiTheme="majorBidi" w:eastAsia="Times New Roman" w:hAnsiTheme="majorBidi" w:cstheme="majorBidi"/>
          <w:sz w:val="24"/>
          <w:szCs w:val="24"/>
        </w:rPr>
        <w:t xml:space="preserve">an </w:t>
      </w:r>
      <w:r w:rsidRPr="00683086">
        <w:rPr>
          <w:rFonts w:asciiTheme="majorBidi" w:eastAsia="Times New Roman" w:hAnsiTheme="majorBidi" w:cstheme="majorBidi"/>
          <w:sz w:val="24"/>
          <w:szCs w:val="24"/>
        </w:rPr>
        <w:t xml:space="preserve">infection in it is called pyelonephritis. </w:t>
      </w:r>
      <w:proofErr w:type="gramStart"/>
      <w:r w:rsidRPr="00683086">
        <w:rPr>
          <w:rFonts w:asciiTheme="majorBidi" w:eastAsia="Times New Roman" w:hAnsiTheme="majorBidi" w:cstheme="majorBidi"/>
          <w:sz w:val="24"/>
          <w:szCs w:val="24"/>
        </w:rPr>
        <w:t>And</w:t>
      </w:r>
      <w:proofErr w:type="gramEnd"/>
      <w:r w:rsidRPr="00683086">
        <w:rPr>
          <w:rFonts w:asciiTheme="majorBidi" w:eastAsia="Times New Roman" w:hAnsiTheme="majorBidi" w:cstheme="majorBidi"/>
          <w:sz w:val="24"/>
          <w:szCs w:val="24"/>
        </w:rPr>
        <w:t xml:space="preserve"> the lower urinary tract comprising the bladder and the urethra and </w:t>
      </w:r>
      <w:r w:rsidR="00CD3119" w:rsidRPr="00683086">
        <w:rPr>
          <w:rFonts w:asciiTheme="majorBidi" w:eastAsia="Times New Roman" w:hAnsiTheme="majorBidi" w:cstheme="majorBidi"/>
          <w:sz w:val="24"/>
          <w:szCs w:val="24"/>
        </w:rPr>
        <w:t xml:space="preserve">an </w:t>
      </w:r>
      <w:r w:rsidRPr="00683086">
        <w:rPr>
          <w:rFonts w:asciiTheme="majorBidi" w:eastAsia="Times New Roman" w:hAnsiTheme="majorBidi" w:cstheme="majorBidi"/>
          <w:sz w:val="24"/>
          <w:szCs w:val="24"/>
        </w:rPr>
        <w:t>infection in it is called cystitis. An infection, or rather, the presence of bacteria in the urine itself is termed Bacteriuria. Asymptomatic bact</w:t>
      </w:r>
      <w:r w:rsidR="00CD3119" w:rsidRPr="00683086">
        <w:rPr>
          <w:rFonts w:asciiTheme="majorBidi" w:eastAsia="Times New Roman" w:hAnsiTheme="majorBidi" w:cstheme="majorBidi"/>
          <w:sz w:val="24"/>
          <w:szCs w:val="24"/>
        </w:rPr>
        <w:t>eriuria is the presence of bacteria</w:t>
      </w:r>
      <w:r w:rsidRPr="00683086">
        <w:rPr>
          <w:rFonts w:asciiTheme="majorBidi" w:eastAsia="Times New Roman" w:hAnsiTheme="majorBidi" w:cstheme="majorBidi"/>
          <w:sz w:val="24"/>
          <w:szCs w:val="24"/>
        </w:rPr>
        <w:t xml:space="preserve"> in a properly collected urine sample withou</w:t>
      </w:r>
      <w:r w:rsidR="00CD3119" w:rsidRPr="00683086">
        <w:rPr>
          <w:rFonts w:asciiTheme="majorBidi" w:eastAsia="Times New Roman" w:hAnsiTheme="majorBidi" w:cstheme="majorBidi"/>
          <w:sz w:val="24"/>
          <w:szCs w:val="24"/>
        </w:rPr>
        <w:t>t any accompanying symptoms of u</w:t>
      </w:r>
      <w:r w:rsidRPr="00683086">
        <w:rPr>
          <w:rFonts w:asciiTheme="majorBidi" w:eastAsia="Times New Roman" w:hAnsiTheme="majorBidi" w:cstheme="majorBidi"/>
          <w:sz w:val="24"/>
          <w:szCs w:val="24"/>
        </w:rPr>
        <w:t>rinary tract infections.</w:t>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Gungsuh" w:hAnsiTheme="majorBidi" w:cstheme="majorBidi"/>
          <w:sz w:val="24"/>
          <w:szCs w:val="24"/>
        </w:rPr>
        <w:t>The prevalence of UTI is much more significant in females rather than males and it shows a clear increase with age, with the exception of a spike in young women aged 14−24 years old.</w:t>
      </w:r>
      <w:r w:rsidR="00F374B7" w:rsidRPr="00683086">
        <w:rPr>
          <w:rFonts w:asciiTheme="majorBidi" w:eastAsia="Gungsuh" w:hAnsiTheme="majorBidi" w:cstheme="majorBidi"/>
          <w:sz w:val="24"/>
          <w:szCs w:val="24"/>
          <w:vertAlign w:val="superscript"/>
        </w:rPr>
        <w:fldChar w:fldCharType="begin"/>
      </w:r>
      <w:r w:rsidR="00F374B7" w:rsidRPr="00683086">
        <w:rPr>
          <w:rFonts w:asciiTheme="majorBidi" w:eastAsia="Gungsuh" w:hAnsiTheme="majorBidi" w:cstheme="majorBidi"/>
          <w:sz w:val="24"/>
          <w:szCs w:val="24"/>
          <w:vertAlign w:val="superscript"/>
        </w:rPr>
        <w:instrText xml:space="preserve"> REF _Ref107701217 \r \h  \* MERGEFORMAT </w:instrText>
      </w:r>
      <w:r w:rsidR="00F374B7" w:rsidRPr="00683086">
        <w:rPr>
          <w:rFonts w:asciiTheme="majorBidi" w:eastAsia="Gungsuh" w:hAnsiTheme="majorBidi" w:cstheme="majorBidi"/>
          <w:sz w:val="24"/>
          <w:szCs w:val="24"/>
          <w:vertAlign w:val="superscript"/>
        </w:rPr>
      </w:r>
      <w:r w:rsidR="00F374B7" w:rsidRPr="00683086">
        <w:rPr>
          <w:rFonts w:asciiTheme="majorBidi" w:eastAsia="Gungsuh" w:hAnsiTheme="majorBidi" w:cstheme="majorBidi"/>
          <w:sz w:val="24"/>
          <w:szCs w:val="24"/>
          <w:vertAlign w:val="superscript"/>
        </w:rPr>
        <w:fldChar w:fldCharType="separate"/>
      </w:r>
      <w:r w:rsidR="00F374B7" w:rsidRPr="00683086">
        <w:rPr>
          <w:rFonts w:asciiTheme="majorBidi" w:eastAsia="Gungsuh" w:hAnsiTheme="majorBidi" w:cstheme="majorBidi"/>
          <w:sz w:val="24"/>
          <w:szCs w:val="24"/>
          <w:vertAlign w:val="superscript"/>
          <w:cs/>
        </w:rPr>
        <w:t>‎</w:t>
      </w:r>
      <w:r w:rsidR="00F374B7" w:rsidRPr="00683086">
        <w:rPr>
          <w:rFonts w:asciiTheme="majorBidi" w:eastAsia="Gungsuh" w:hAnsiTheme="majorBidi" w:cstheme="majorBidi"/>
          <w:sz w:val="24"/>
          <w:szCs w:val="24"/>
          <w:vertAlign w:val="superscript"/>
        </w:rPr>
        <w:t>4</w:t>
      </w:r>
      <w:r w:rsidR="00F374B7" w:rsidRPr="00683086">
        <w:rPr>
          <w:rFonts w:asciiTheme="majorBidi" w:eastAsia="Gungsuh" w:hAnsiTheme="majorBidi" w:cstheme="majorBidi"/>
          <w:sz w:val="24"/>
          <w:szCs w:val="24"/>
          <w:vertAlign w:val="superscript"/>
        </w:rPr>
        <w:fldChar w:fldCharType="end"/>
      </w:r>
      <w:r w:rsidRPr="00683086">
        <w:rPr>
          <w:rFonts w:asciiTheme="majorBidi" w:eastAsia="Gungsuh" w:hAnsiTheme="majorBidi" w:cstheme="majorBidi"/>
          <w:sz w:val="24"/>
          <w:szCs w:val="24"/>
        </w:rPr>
        <w:t xml:space="preserve"> Adult women are in fact 30 times more likely than men to develop a UTI</w:t>
      </w:r>
      <w:r w:rsidR="00F374B7" w:rsidRPr="00683086">
        <w:rPr>
          <w:rFonts w:asciiTheme="majorBidi" w:eastAsia="Gungsuh" w:hAnsiTheme="majorBidi" w:cstheme="majorBidi"/>
          <w:sz w:val="24"/>
          <w:szCs w:val="24"/>
          <w:vertAlign w:val="superscript"/>
        </w:rPr>
        <w:fldChar w:fldCharType="begin"/>
      </w:r>
      <w:r w:rsidR="00F374B7" w:rsidRPr="00683086">
        <w:rPr>
          <w:rFonts w:asciiTheme="majorBidi" w:eastAsia="Gungsuh" w:hAnsiTheme="majorBidi" w:cstheme="majorBidi"/>
          <w:sz w:val="24"/>
          <w:szCs w:val="24"/>
          <w:vertAlign w:val="superscript"/>
        </w:rPr>
        <w:instrText xml:space="preserve"> REF _Ref107701289 \r \h  \* MERGEFORMAT </w:instrText>
      </w:r>
      <w:r w:rsidR="00F374B7" w:rsidRPr="00683086">
        <w:rPr>
          <w:rFonts w:asciiTheme="majorBidi" w:eastAsia="Gungsuh" w:hAnsiTheme="majorBidi" w:cstheme="majorBidi"/>
          <w:sz w:val="24"/>
          <w:szCs w:val="24"/>
          <w:vertAlign w:val="superscript"/>
        </w:rPr>
      </w:r>
      <w:r w:rsidR="00F374B7" w:rsidRPr="00683086">
        <w:rPr>
          <w:rFonts w:asciiTheme="majorBidi" w:eastAsia="Gungsuh" w:hAnsiTheme="majorBidi" w:cstheme="majorBidi"/>
          <w:sz w:val="24"/>
          <w:szCs w:val="24"/>
          <w:vertAlign w:val="superscript"/>
        </w:rPr>
        <w:fldChar w:fldCharType="separate"/>
      </w:r>
      <w:r w:rsidR="00F374B7" w:rsidRPr="00683086">
        <w:rPr>
          <w:rFonts w:asciiTheme="majorBidi" w:eastAsia="Gungsuh" w:hAnsiTheme="majorBidi" w:cstheme="majorBidi"/>
          <w:sz w:val="24"/>
          <w:szCs w:val="24"/>
          <w:vertAlign w:val="superscript"/>
          <w:cs/>
        </w:rPr>
        <w:t>‎</w:t>
      </w:r>
      <w:r w:rsidR="00F374B7" w:rsidRPr="00683086">
        <w:rPr>
          <w:rFonts w:asciiTheme="majorBidi" w:eastAsia="Gungsuh" w:hAnsiTheme="majorBidi" w:cstheme="majorBidi"/>
          <w:sz w:val="24"/>
          <w:szCs w:val="24"/>
          <w:vertAlign w:val="superscript"/>
        </w:rPr>
        <w:t>10</w:t>
      </w:r>
      <w:r w:rsidR="00F374B7" w:rsidRPr="00683086">
        <w:rPr>
          <w:rFonts w:asciiTheme="majorBidi" w:eastAsia="Gungsuh" w:hAnsiTheme="majorBidi" w:cstheme="majorBidi"/>
          <w:sz w:val="24"/>
          <w:szCs w:val="24"/>
          <w:vertAlign w:val="superscript"/>
        </w:rPr>
        <w:fldChar w:fldCharType="end"/>
      </w:r>
      <w:r w:rsidRPr="00683086">
        <w:rPr>
          <w:rFonts w:asciiTheme="majorBidi" w:eastAsia="Gungsuh" w:hAnsiTheme="majorBidi" w:cstheme="majorBidi"/>
          <w:sz w:val="24"/>
          <w:szCs w:val="24"/>
        </w:rPr>
        <w:t xml:space="preserve"> due to a number of different risk factors. The main risk factors </w:t>
      </w:r>
      <w:proofErr w:type="gramStart"/>
      <w:r w:rsidRPr="00683086">
        <w:rPr>
          <w:rFonts w:asciiTheme="majorBidi" w:eastAsia="Gungsuh" w:hAnsiTheme="majorBidi" w:cstheme="majorBidi"/>
          <w:sz w:val="24"/>
          <w:szCs w:val="24"/>
        </w:rPr>
        <w:t>are related</w:t>
      </w:r>
      <w:proofErr w:type="gramEnd"/>
      <w:r w:rsidRPr="00683086">
        <w:rPr>
          <w:rFonts w:asciiTheme="majorBidi" w:eastAsia="Gungsuh" w:hAnsiTheme="majorBidi" w:cstheme="majorBidi"/>
          <w:sz w:val="24"/>
          <w:szCs w:val="24"/>
        </w:rPr>
        <w:t xml:space="preserve"> to the anatomical structural differences in the genital tract between females and males. The female urethra is much shorter than a male urethra, with the measurements being 1.5 cm compared to a 7 cm respectively. Likewise, the female urethra </w:t>
      </w:r>
      <w:proofErr w:type="gramStart"/>
      <w:r w:rsidRPr="00683086">
        <w:rPr>
          <w:rFonts w:asciiTheme="majorBidi" w:eastAsia="Gungsuh" w:hAnsiTheme="majorBidi" w:cstheme="majorBidi"/>
          <w:sz w:val="24"/>
          <w:szCs w:val="24"/>
        </w:rPr>
        <w:t>is situated</w:t>
      </w:r>
      <w:proofErr w:type="gramEnd"/>
      <w:r w:rsidRPr="00683086">
        <w:rPr>
          <w:rFonts w:asciiTheme="majorBidi" w:eastAsia="Gungsuh" w:hAnsiTheme="majorBidi" w:cstheme="majorBidi"/>
          <w:sz w:val="24"/>
          <w:szCs w:val="24"/>
        </w:rPr>
        <w:t xml:space="preserve"> in much closer proximity to the anus than the male urethra. Both factors contribute to the ascending route theory of colonization, where intestinal normal flora colonize the perineum and ascend into the urethra and the bladder</w:t>
      </w:r>
      <w:r w:rsidR="00F374B7" w:rsidRPr="00683086">
        <w:rPr>
          <w:rFonts w:asciiTheme="majorBidi" w:eastAsia="Gungsuh" w:hAnsiTheme="majorBidi" w:cstheme="majorBidi"/>
          <w:sz w:val="24"/>
          <w:szCs w:val="24"/>
        </w:rPr>
        <w:t>.</w:t>
      </w:r>
      <w:r w:rsidR="00F374B7" w:rsidRPr="00683086">
        <w:rPr>
          <w:rFonts w:asciiTheme="majorBidi" w:eastAsia="Gungsuh" w:hAnsiTheme="majorBidi" w:cstheme="majorBidi"/>
          <w:sz w:val="24"/>
          <w:szCs w:val="24"/>
          <w:vertAlign w:val="superscript"/>
        </w:rPr>
        <w:fldChar w:fldCharType="begin"/>
      </w:r>
      <w:r w:rsidR="00F374B7" w:rsidRPr="00683086">
        <w:rPr>
          <w:rFonts w:asciiTheme="majorBidi" w:eastAsia="Gungsuh" w:hAnsiTheme="majorBidi" w:cstheme="majorBidi"/>
          <w:sz w:val="24"/>
          <w:szCs w:val="24"/>
          <w:vertAlign w:val="superscript"/>
        </w:rPr>
        <w:instrText xml:space="preserve"> REF _Ref107701473 \r \h  \* MERGEFORMAT </w:instrText>
      </w:r>
      <w:r w:rsidR="00F374B7" w:rsidRPr="00683086">
        <w:rPr>
          <w:rFonts w:asciiTheme="majorBidi" w:eastAsia="Gungsuh" w:hAnsiTheme="majorBidi" w:cstheme="majorBidi"/>
          <w:sz w:val="24"/>
          <w:szCs w:val="24"/>
          <w:vertAlign w:val="superscript"/>
        </w:rPr>
      </w:r>
      <w:r w:rsidR="00F374B7" w:rsidRPr="00683086">
        <w:rPr>
          <w:rFonts w:asciiTheme="majorBidi" w:eastAsia="Gungsuh" w:hAnsiTheme="majorBidi" w:cstheme="majorBidi"/>
          <w:sz w:val="24"/>
          <w:szCs w:val="24"/>
          <w:vertAlign w:val="superscript"/>
        </w:rPr>
        <w:fldChar w:fldCharType="separate"/>
      </w:r>
      <w:r w:rsidR="00F374B7" w:rsidRPr="00683086">
        <w:rPr>
          <w:rFonts w:asciiTheme="majorBidi" w:eastAsia="Gungsuh" w:hAnsiTheme="majorBidi" w:cstheme="majorBidi"/>
          <w:sz w:val="24"/>
          <w:szCs w:val="24"/>
          <w:vertAlign w:val="superscript"/>
          <w:cs/>
        </w:rPr>
        <w:t>‎</w:t>
      </w:r>
      <w:r w:rsidR="00F374B7" w:rsidRPr="00683086">
        <w:rPr>
          <w:rFonts w:asciiTheme="majorBidi" w:eastAsia="Gungsuh" w:hAnsiTheme="majorBidi" w:cstheme="majorBidi"/>
          <w:sz w:val="24"/>
          <w:szCs w:val="24"/>
          <w:vertAlign w:val="superscript"/>
        </w:rPr>
        <w:t>1</w:t>
      </w:r>
      <w:r w:rsidR="00F374B7" w:rsidRPr="00683086">
        <w:rPr>
          <w:rFonts w:asciiTheme="majorBidi" w:eastAsia="Gungsuh" w:hAnsiTheme="majorBidi" w:cstheme="majorBidi"/>
          <w:sz w:val="24"/>
          <w:szCs w:val="24"/>
          <w:vertAlign w:val="superscript"/>
        </w:rPr>
        <w:fldChar w:fldCharType="end"/>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Diagnosis of Asymptomatic Bacteriuria happens with a positive urine culture that illustrates a significant quantity of bacterial growth. The quantitative criteria for that growth entail at least 100,000 Colony-forming Units (CFUs) for every one ml of urine in a voided midstream clean-catch specimen.</w:t>
      </w:r>
      <w:r w:rsidR="00F374B7" w:rsidRPr="00683086">
        <w:rPr>
          <w:rFonts w:asciiTheme="majorBidi" w:eastAsia="Times New Roman" w:hAnsiTheme="majorBidi" w:cstheme="majorBidi"/>
          <w:sz w:val="24"/>
          <w:szCs w:val="24"/>
          <w:vertAlign w:val="superscript"/>
        </w:rPr>
        <w:fldChar w:fldCharType="begin"/>
      </w:r>
      <w:r w:rsidR="00F374B7" w:rsidRPr="00683086">
        <w:rPr>
          <w:rFonts w:asciiTheme="majorBidi" w:eastAsia="Times New Roman" w:hAnsiTheme="majorBidi" w:cstheme="majorBidi"/>
          <w:sz w:val="24"/>
          <w:szCs w:val="24"/>
          <w:vertAlign w:val="superscript"/>
        </w:rPr>
        <w:instrText xml:space="preserve"> REF _Ref107701545 \r \h  \* MERGEFORMAT </w:instrText>
      </w:r>
      <w:r w:rsidR="00F374B7" w:rsidRPr="00683086">
        <w:rPr>
          <w:rFonts w:asciiTheme="majorBidi" w:eastAsia="Times New Roman" w:hAnsiTheme="majorBidi" w:cstheme="majorBidi"/>
          <w:sz w:val="24"/>
          <w:szCs w:val="24"/>
          <w:vertAlign w:val="superscript"/>
        </w:rPr>
      </w:r>
      <w:r w:rsidR="00F374B7" w:rsidRPr="00683086">
        <w:rPr>
          <w:rFonts w:asciiTheme="majorBidi" w:eastAsia="Times New Roman" w:hAnsiTheme="majorBidi" w:cstheme="majorBidi"/>
          <w:sz w:val="24"/>
          <w:szCs w:val="24"/>
          <w:vertAlign w:val="superscript"/>
        </w:rPr>
        <w:fldChar w:fldCharType="separate"/>
      </w:r>
      <w:r w:rsidR="00F374B7" w:rsidRPr="00683086">
        <w:rPr>
          <w:rFonts w:asciiTheme="majorBidi" w:eastAsia="Times New Roman" w:hAnsiTheme="majorBidi" w:cstheme="majorBidi"/>
          <w:sz w:val="24"/>
          <w:szCs w:val="24"/>
          <w:vertAlign w:val="superscript"/>
          <w:cs/>
        </w:rPr>
        <w:t>‎</w:t>
      </w:r>
      <w:r w:rsidR="00F374B7" w:rsidRPr="00683086">
        <w:rPr>
          <w:rFonts w:asciiTheme="majorBidi" w:eastAsia="Times New Roman" w:hAnsiTheme="majorBidi" w:cstheme="majorBidi"/>
          <w:sz w:val="24"/>
          <w:szCs w:val="24"/>
          <w:vertAlign w:val="superscript"/>
        </w:rPr>
        <w:t>2</w:t>
      </w:r>
      <w:r w:rsidR="00F374B7" w:rsidRPr="00683086">
        <w:rPr>
          <w:rFonts w:asciiTheme="majorBidi" w:eastAsia="Times New Roman" w:hAnsiTheme="majorBidi" w:cstheme="majorBidi"/>
          <w:sz w:val="24"/>
          <w:szCs w:val="24"/>
          <w:vertAlign w:val="superscript"/>
        </w:rPr>
        <w:fldChar w:fldCharType="end"/>
      </w:r>
      <w:r w:rsidR="00F374B7" w:rsidRPr="00683086">
        <w:rPr>
          <w:rFonts w:asciiTheme="majorBidi" w:eastAsia="Times New Roman" w:hAnsiTheme="majorBidi" w:cstheme="majorBidi"/>
          <w:sz w:val="24"/>
          <w:szCs w:val="24"/>
          <w:vertAlign w:val="superscript"/>
        </w:rPr>
        <w:t>,</w:t>
      </w:r>
      <w:r w:rsidR="00F374B7" w:rsidRPr="00683086">
        <w:rPr>
          <w:rFonts w:asciiTheme="majorBidi" w:eastAsia="Times New Roman" w:hAnsiTheme="majorBidi" w:cstheme="majorBidi"/>
          <w:sz w:val="24"/>
          <w:szCs w:val="24"/>
          <w:vertAlign w:val="superscript"/>
        </w:rPr>
        <w:fldChar w:fldCharType="begin"/>
      </w:r>
      <w:r w:rsidR="00F374B7" w:rsidRPr="00683086">
        <w:rPr>
          <w:rFonts w:asciiTheme="majorBidi" w:eastAsia="Times New Roman" w:hAnsiTheme="majorBidi" w:cstheme="majorBidi"/>
          <w:sz w:val="24"/>
          <w:szCs w:val="24"/>
          <w:vertAlign w:val="superscript"/>
        </w:rPr>
        <w:instrText xml:space="preserve"> REF _Ref107701561 \r \h  \* MERGEFORMAT </w:instrText>
      </w:r>
      <w:r w:rsidR="00F374B7" w:rsidRPr="00683086">
        <w:rPr>
          <w:rFonts w:asciiTheme="majorBidi" w:eastAsia="Times New Roman" w:hAnsiTheme="majorBidi" w:cstheme="majorBidi"/>
          <w:sz w:val="24"/>
          <w:szCs w:val="24"/>
          <w:vertAlign w:val="superscript"/>
        </w:rPr>
      </w:r>
      <w:r w:rsidR="00F374B7" w:rsidRPr="00683086">
        <w:rPr>
          <w:rFonts w:asciiTheme="majorBidi" w:eastAsia="Times New Roman" w:hAnsiTheme="majorBidi" w:cstheme="majorBidi"/>
          <w:sz w:val="24"/>
          <w:szCs w:val="24"/>
          <w:vertAlign w:val="superscript"/>
        </w:rPr>
        <w:fldChar w:fldCharType="separate"/>
      </w:r>
      <w:r w:rsidR="00F374B7" w:rsidRPr="00683086">
        <w:rPr>
          <w:rFonts w:asciiTheme="majorBidi" w:eastAsia="Times New Roman" w:hAnsiTheme="majorBidi" w:cstheme="majorBidi"/>
          <w:sz w:val="24"/>
          <w:szCs w:val="24"/>
          <w:vertAlign w:val="superscript"/>
          <w:cs/>
        </w:rPr>
        <w:t>‎</w:t>
      </w:r>
      <w:r w:rsidR="00F374B7" w:rsidRPr="00683086">
        <w:rPr>
          <w:rFonts w:asciiTheme="majorBidi" w:eastAsia="Times New Roman" w:hAnsiTheme="majorBidi" w:cstheme="majorBidi"/>
          <w:sz w:val="24"/>
          <w:szCs w:val="24"/>
          <w:vertAlign w:val="superscript"/>
        </w:rPr>
        <w:t>7</w:t>
      </w:r>
      <w:r w:rsidR="00F374B7" w:rsidRPr="00683086">
        <w:rPr>
          <w:rFonts w:asciiTheme="majorBidi" w:eastAsia="Times New Roman" w:hAnsiTheme="majorBidi" w:cstheme="majorBidi"/>
          <w:sz w:val="24"/>
          <w:szCs w:val="24"/>
          <w:vertAlign w:val="superscript"/>
        </w:rPr>
        <w:fldChar w:fldCharType="end"/>
      </w:r>
      <w:r w:rsidRPr="00683086">
        <w:rPr>
          <w:rFonts w:asciiTheme="majorBidi" w:eastAsia="Times New Roman" w:hAnsiTheme="majorBidi" w:cstheme="majorBidi"/>
          <w:sz w:val="24"/>
          <w:szCs w:val="24"/>
          <w:vertAlign w:val="superscript"/>
        </w:rPr>
        <w:t xml:space="preserve"> </w:t>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lastRenderedPageBreak/>
        <w:t xml:space="preserve">UTIs create a significant societal and personal burden. Furthermore, the quality of life measures </w:t>
      </w:r>
      <w:proofErr w:type="gramStart"/>
      <w:r w:rsidRPr="00683086">
        <w:rPr>
          <w:rFonts w:asciiTheme="majorBidi" w:eastAsia="Times New Roman" w:hAnsiTheme="majorBidi" w:cstheme="majorBidi"/>
          <w:sz w:val="24"/>
          <w:szCs w:val="24"/>
        </w:rPr>
        <w:t>are significantly impacted</w:t>
      </w:r>
      <w:proofErr w:type="gramEnd"/>
      <w:r w:rsidRPr="00683086">
        <w:rPr>
          <w:rFonts w:asciiTheme="majorBidi" w:eastAsia="Times New Roman" w:hAnsiTheme="majorBidi" w:cstheme="majorBidi"/>
          <w:sz w:val="24"/>
          <w:szCs w:val="24"/>
        </w:rPr>
        <w:t xml:space="preserve"> in patients suffering from recurrent UTIs</w:t>
      </w:r>
      <w:r w:rsidR="00F07361" w:rsidRPr="00683086">
        <w:rPr>
          <w:rFonts w:asciiTheme="majorBidi" w:eastAsia="Times New Roman" w:hAnsiTheme="majorBidi" w:cstheme="majorBidi"/>
          <w:sz w:val="24"/>
          <w:szCs w:val="24"/>
          <w:vertAlign w:val="superscript"/>
        </w:rPr>
        <w:t>.</w:t>
      </w:r>
      <w:r w:rsidR="00F374B7" w:rsidRPr="00683086">
        <w:rPr>
          <w:rFonts w:asciiTheme="majorBidi" w:eastAsia="Times New Roman" w:hAnsiTheme="majorBidi" w:cstheme="majorBidi"/>
          <w:sz w:val="24"/>
          <w:szCs w:val="24"/>
          <w:vertAlign w:val="superscript"/>
        </w:rPr>
        <w:fldChar w:fldCharType="begin"/>
      </w:r>
      <w:r w:rsidR="00F374B7" w:rsidRPr="00683086">
        <w:rPr>
          <w:rFonts w:asciiTheme="majorBidi" w:eastAsia="Times New Roman" w:hAnsiTheme="majorBidi" w:cstheme="majorBidi"/>
          <w:sz w:val="24"/>
          <w:szCs w:val="24"/>
          <w:vertAlign w:val="superscript"/>
        </w:rPr>
        <w:instrText xml:space="preserve"> REF _Ref107701741 \r \h </w:instrText>
      </w:r>
      <w:r w:rsidR="002F280C" w:rsidRPr="00683086">
        <w:rPr>
          <w:rFonts w:asciiTheme="majorBidi" w:eastAsia="Times New Roman" w:hAnsiTheme="majorBidi" w:cstheme="majorBidi"/>
          <w:sz w:val="24"/>
          <w:szCs w:val="24"/>
          <w:vertAlign w:val="superscript"/>
        </w:rPr>
        <w:instrText xml:space="preserve"> \* MERGEFORMAT </w:instrText>
      </w:r>
      <w:r w:rsidR="00F374B7" w:rsidRPr="00683086">
        <w:rPr>
          <w:rFonts w:asciiTheme="majorBidi" w:eastAsia="Times New Roman" w:hAnsiTheme="majorBidi" w:cstheme="majorBidi"/>
          <w:sz w:val="24"/>
          <w:szCs w:val="24"/>
          <w:vertAlign w:val="superscript"/>
        </w:rPr>
      </w:r>
      <w:r w:rsidR="00F374B7" w:rsidRPr="00683086">
        <w:rPr>
          <w:rFonts w:asciiTheme="majorBidi" w:eastAsia="Times New Roman" w:hAnsiTheme="majorBidi" w:cstheme="majorBidi"/>
          <w:sz w:val="24"/>
          <w:szCs w:val="24"/>
          <w:vertAlign w:val="superscript"/>
        </w:rPr>
        <w:fldChar w:fldCharType="separate"/>
      </w:r>
      <w:r w:rsidR="00F374B7" w:rsidRPr="00683086">
        <w:rPr>
          <w:rFonts w:asciiTheme="majorBidi" w:eastAsia="Times New Roman" w:hAnsiTheme="majorBidi" w:cstheme="majorBidi"/>
          <w:sz w:val="24"/>
          <w:szCs w:val="24"/>
          <w:vertAlign w:val="superscript"/>
          <w:cs/>
        </w:rPr>
        <w:t>‎</w:t>
      </w:r>
      <w:r w:rsidR="00F374B7" w:rsidRPr="00683086">
        <w:rPr>
          <w:rFonts w:asciiTheme="majorBidi" w:eastAsia="Times New Roman" w:hAnsiTheme="majorBidi" w:cstheme="majorBidi"/>
          <w:sz w:val="24"/>
          <w:szCs w:val="24"/>
          <w:vertAlign w:val="superscript"/>
        </w:rPr>
        <w:t>6</w:t>
      </w:r>
      <w:r w:rsidR="00F374B7" w:rsidRPr="00683086">
        <w:rPr>
          <w:rFonts w:asciiTheme="majorBidi" w:eastAsia="Times New Roman" w:hAnsiTheme="majorBidi" w:cstheme="majorBidi"/>
          <w:sz w:val="24"/>
          <w:szCs w:val="24"/>
          <w:vertAlign w:val="superscript"/>
        </w:rPr>
        <w:fldChar w:fldCharType="end"/>
      </w:r>
      <w:r w:rsidR="002F280C" w:rsidRPr="00683086">
        <w:rPr>
          <w:rFonts w:asciiTheme="majorBidi" w:eastAsia="Times New Roman" w:hAnsiTheme="majorBidi" w:cstheme="majorBidi"/>
          <w:sz w:val="24"/>
          <w:szCs w:val="24"/>
        </w:rPr>
        <w:t xml:space="preserve"> </w:t>
      </w:r>
      <w:r w:rsidRPr="00683086">
        <w:rPr>
          <w:rFonts w:asciiTheme="majorBidi" w:eastAsia="Times New Roman" w:hAnsiTheme="majorBidi" w:cstheme="majorBidi"/>
          <w:sz w:val="24"/>
          <w:szCs w:val="24"/>
        </w:rPr>
        <w:t>The p</w:t>
      </w:r>
      <w:r w:rsidR="002F280C" w:rsidRPr="00683086">
        <w:rPr>
          <w:rFonts w:asciiTheme="majorBidi" w:eastAsia="Times New Roman" w:hAnsiTheme="majorBidi" w:cstheme="majorBidi"/>
          <w:sz w:val="24"/>
          <w:szCs w:val="24"/>
        </w:rPr>
        <w:t>urpose of this study is to explore</w:t>
      </w:r>
      <w:r w:rsidRPr="00683086">
        <w:rPr>
          <w:rFonts w:asciiTheme="majorBidi" w:eastAsia="Times New Roman" w:hAnsiTheme="majorBidi" w:cstheme="majorBidi"/>
          <w:sz w:val="24"/>
          <w:szCs w:val="24"/>
        </w:rPr>
        <w:t xml:space="preserve"> the relationship between gender and Asymptomatic </w:t>
      </w:r>
      <w:proofErr w:type="gramStart"/>
      <w:r w:rsidR="002F280C" w:rsidRPr="00683086">
        <w:rPr>
          <w:rFonts w:asciiTheme="majorBidi" w:eastAsia="Times New Roman" w:hAnsiTheme="majorBidi" w:cstheme="majorBidi"/>
          <w:sz w:val="24"/>
          <w:szCs w:val="24"/>
        </w:rPr>
        <w:t>bacteriuria,</w:t>
      </w:r>
      <w:proofErr w:type="gramEnd"/>
      <w:r w:rsidR="002F280C" w:rsidRPr="00683086">
        <w:rPr>
          <w:rFonts w:asciiTheme="majorBidi" w:eastAsia="Times New Roman" w:hAnsiTheme="majorBidi" w:cstheme="majorBidi"/>
          <w:sz w:val="24"/>
          <w:szCs w:val="24"/>
        </w:rPr>
        <w:t xml:space="preserve"> </w:t>
      </w:r>
      <w:r w:rsidRPr="00683086">
        <w:rPr>
          <w:rFonts w:asciiTheme="majorBidi" w:eastAsia="Times New Roman" w:hAnsiTheme="majorBidi" w:cstheme="majorBidi"/>
          <w:sz w:val="24"/>
          <w:szCs w:val="24"/>
        </w:rPr>
        <w:t>hypothesizing that being female poses a greater chance of developing ASU than being male. Based on the analysis of the urine culture through the SPSS program, the null hypothesis: gender has no effect on ASU incidence rate between males and females can either be accepted or rejected.</w:t>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pStyle w:val="1"/>
        <w:spacing w:line="360" w:lineRule="auto"/>
        <w:rPr>
          <w:rFonts w:asciiTheme="majorBidi" w:hAnsiTheme="majorBidi" w:cstheme="majorBidi"/>
        </w:rPr>
      </w:pPr>
      <w:bookmarkStart w:id="3" w:name="_Toc107700881"/>
      <w:r w:rsidRPr="00683086">
        <w:rPr>
          <w:rFonts w:asciiTheme="majorBidi" w:hAnsiTheme="majorBidi" w:cstheme="majorBidi"/>
        </w:rPr>
        <w:t>Methodology:</w:t>
      </w:r>
      <w:bookmarkEnd w:id="3"/>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A questionnaire </w:t>
      </w:r>
      <w:proofErr w:type="gramStart"/>
      <w:r w:rsidRPr="00683086">
        <w:rPr>
          <w:rFonts w:asciiTheme="majorBidi" w:eastAsia="Times New Roman" w:hAnsiTheme="majorBidi" w:cstheme="majorBidi"/>
          <w:sz w:val="24"/>
          <w:szCs w:val="24"/>
        </w:rPr>
        <w:t>was distributed</w:t>
      </w:r>
      <w:proofErr w:type="gramEnd"/>
      <w:r w:rsidRPr="00683086">
        <w:rPr>
          <w:rFonts w:asciiTheme="majorBidi" w:eastAsia="Times New Roman" w:hAnsiTheme="majorBidi" w:cstheme="majorBidi"/>
          <w:sz w:val="24"/>
          <w:szCs w:val="24"/>
        </w:rPr>
        <w:t xml:space="preserve"> to Libyan International Medical University (LIMU) students to ensure that subjects were not diagnosed with a UTI, had no prior antibiotic use and had no symptoms of urinary infection such as dysuria. The selected subjects </w:t>
      </w:r>
      <w:proofErr w:type="gramStart"/>
      <w:r w:rsidRPr="00683086">
        <w:rPr>
          <w:rFonts w:asciiTheme="majorBidi" w:eastAsia="Times New Roman" w:hAnsiTheme="majorBidi" w:cstheme="majorBidi"/>
          <w:sz w:val="24"/>
          <w:szCs w:val="24"/>
        </w:rPr>
        <w:t>were then brought</w:t>
      </w:r>
      <w:proofErr w:type="gramEnd"/>
      <w:r w:rsidRPr="00683086">
        <w:rPr>
          <w:rFonts w:asciiTheme="majorBidi" w:eastAsia="Times New Roman" w:hAnsiTheme="majorBidi" w:cstheme="majorBidi"/>
          <w:sz w:val="24"/>
          <w:szCs w:val="24"/>
        </w:rPr>
        <w:t xml:space="preserve"> and were given instructions on how to give the urine sample. A voided midstream clean-catch sample </w:t>
      </w:r>
      <w:proofErr w:type="gramStart"/>
      <w:r w:rsidRPr="00683086">
        <w:rPr>
          <w:rFonts w:asciiTheme="majorBidi" w:eastAsia="Times New Roman" w:hAnsiTheme="majorBidi" w:cstheme="majorBidi"/>
          <w:sz w:val="24"/>
          <w:szCs w:val="24"/>
        </w:rPr>
        <w:t>was obtained</w:t>
      </w:r>
      <w:proofErr w:type="gramEnd"/>
      <w:r w:rsidRPr="00683086">
        <w:rPr>
          <w:rFonts w:asciiTheme="majorBidi" w:eastAsia="Times New Roman" w:hAnsiTheme="majorBidi" w:cstheme="majorBidi"/>
          <w:sz w:val="24"/>
          <w:szCs w:val="24"/>
        </w:rPr>
        <w:t xml:space="preserve"> from 12 females and 12 males. In the midstream </w:t>
      </w:r>
      <w:proofErr w:type="gramStart"/>
      <w:r w:rsidRPr="00683086">
        <w:rPr>
          <w:rFonts w:asciiTheme="majorBidi" w:eastAsia="Times New Roman" w:hAnsiTheme="majorBidi" w:cstheme="majorBidi"/>
          <w:sz w:val="24"/>
          <w:szCs w:val="24"/>
        </w:rPr>
        <w:t>clean-catch</w:t>
      </w:r>
      <w:proofErr w:type="gramEnd"/>
      <w:r w:rsidRPr="00683086">
        <w:rPr>
          <w:rFonts w:asciiTheme="majorBidi" w:eastAsia="Times New Roman" w:hAnsiTheme="majorBidi" w:cstheme="majorBidi"/>
          <w:sz w:val="24"/>
          <w:szCs w:val="24"/>
        </w:rPr>
        <w:t xml:space="preserve"> the subject is first asked to urinate a small amount into the toilet bowl to flush any contaminated normal flora, then stop the flow of urine before proceeding to urinate a sample in a sterile cup until it is at least half full. The sample was pooled, filtered and then sterilized and used within </w:t>
      </w:r>
      <w:r w:rsidR="002F280C" w:rsidRPr="00683086">
        <w:rPr>
          <w:rFonts w:asciiTheme="majorBidi" w:eastAsia="Times New Roman" w:hAnsiTheme="majorBidi" w:cstheme="majorBidi"/>
          <w:sz w:val="24"/>
          <w:szCs w:val="24"/>
        </w:rPr>
        <w:t>the</w:t>
      </w:r>
      <w:r w:rsidRPr="00683086">
        <w:rPr>
          <w:rFonts w:asciiTheme="majorBidi" w:eastAsia="Times New Roman" w:hAnsiTheme="majorBidi" w:cstheme="majorBidi"/>
          <w:sz w:val="24"/>
          <w:szCs w:val="24"/>
        </w:rPr>
        <w:t xml:space="preserve"> next hour or stored in a refrigerator at 4°C to </w:t>
      </w:r>
      <w:proofErr w:type="gramStart"/>
      <w:r w:rsidRPr="00683086">
        <w:rPr>
          <w:rFonts w:asciiTheme="majorBidi" w:eastAsia="Times New Roman" w:hAnsiTheme="majorBidi" w:cstheme="majorBidi"/>
          <w:sz w:val="24"/>
          <w:szCs w:val="24"/>
        </w:rPr>
        <w:t>be used</w:t>
      </w:r>
      <w:proofErr w:type="gramEnd"/>
      <w:r w:rsidRPr="00683086">
        <w:rPr>
          <w:rFonts w:asciiTheme="majorBidi" w:eastAsia="Times New Roman" w:hAnsiTheme="majorBidi" w:cstheme="majorBidi"/>
          <w:sz w:val="24"/>
          <w:szCs w:val="24"/>
        </w:rPr>
        <w:t xml:space="preserve"> in a span of no more than 18 hours to 1 day.</w:t>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The s</w:t>
      </w:r>
      <w:r w:rsidR="002F280C" w:rsidRPr="00683086">
        <w:rPr>
          <w:rFonts w:asciiTheme="majorBidi" w:eastAsia="Times New Roman" w:hAnsiTheme="majorBidi" w:cstheme="majorBidi"/>
          <w:sz w:val="24"/>
          <w:szCs w:val="24"/>
        </w:rPr>
        <w:t xml:space="preserve">ample </w:t>
      </w:r>
      <w:proofErr w:type="gramStart"/>
      <w:r w:rsidR="002F280C" w:rsidRPr="00683086">
        <w:rPr>
          <w:rFonts w:asciiTheme="majorBidi" w:eastAsia="Times New Roman" w:hAnsiTheme="majorBidi" w:cstheme="majorBidi"/>
          <w:sz w:val="24"/>
          <w:szCs w:val="24"/>
        </w:rPr>
        <w:t>was then mixed</w:t>
      </w:r>
      <w:proofErr w:type="gramEnd"/>
      <w:r w:rsidR="002F280C" w:rsidRPr="00683086">
        <w:rPr>
          <w:rFonts w:asciiTheme="majorBidi" w:eastAsia="Times New Roman" w:hAnsiTheme="majorBidi" w:cstheme="majorBidi"/>
          <w:sz w:val="24"/>
          <w:szCs w:val="24"/>
        </w:rPr>
        <w:t xml:space="preserve"> well and </w:t>
      </w:r>
      <w:r w:rsidRPr="00683086">
        <w:rPr>
          <w:rFonts w:asciiTheme="majorBidi" w:eastAsia="Times New Roman" w:hAnsiTheme="majorBidi" w:cstheme="majorBidi"/>
          <w:sz w:val="24"/>
          <w:szCs w:val="24"/>
        </w:rPr>
        <w:t xml:space="preserve">5 or 10 ml was measured into the centrifugation test tube. After centrifugation, </w:t>
      </w:r>
      <w:proofErr w:type="gramStart"/>
      <w:r w:rsidRPr="00683086">
        <w:rPr>
          <w:rFonts w:asciiTheme="majorBidi" w:eastAsia="Times New Roman" w:hAnsiTheme="majorBidi" w:cstheme="majorBidi"/>
          <w:sz w:val="24"/>
          <w:szCs w:val="24"/>
        </w:rPr>
        <w:t>9</w:t>
      </w:r>
      <w:proofErr w:type="gramEnd"/>
      <w:r w:rsidRPr="00683086">
        <w:rPr>
          <w:rFonts w:asciiTheme="majorBidi" w:eastAsia="Times New Roman" w:hAnsiTheme="majorBidi" w:cstheme="majorBidi"/>
          <w:sz w:val="24"/>
          <w:szCs w:val="24"/>
        </w:rPr>
        <w:t xml:space="preserve"> out of the 10 supernatants were carefully removed to be subjected to inspection under the microscope. The suspension of sediment is 10-times concentrated </w:t>
      </w:r>
      <w:r w:rsidR="002F280C" w:rsidRPr="00683086">
        <w:rPr>
          <w:rFonts w:asciiTheme="majorBidi" w:eastAsia="Times New Roman" w:hAnsiTheme="majorBidi" w:cstheme="majorBidi"/>
          <w:sz w:val="24"/>
          <w:szCs w:val="24"/>
        </w:rPr>
        <w:t>compared to the original urine.</w:t>
      </w:r>
      <w:r w:rsidR="002F280C" w:rsidRPr="00683086">
        <w:rPr>
          <w:rFonts w:asciiTheme="majorBidi" w:eastAsia="Times New Roman" w:hAnsiTheme="majorBidi" w:cstheme="majorBidi"/>
          <w:sz w:val="24"/>
          <w:szCs w:val="24"/>
        </w:rPr>
        <w:fldChar w:fldCharType="begin"/>
      </w:r>
      <w:r w:rsidR="002F280C" w:rsidRPr="00683086">
        <w:rPr>
          <w:rFonts w:asciiTheme="majorBidi" w:eastAsia="Times New Roman" w:hAnsiTheme="majorBidi" w:cstheme="majorBidi"/>
          <w:sz w:val="24"/>
          <w:szCs w:val="24"/>
        </w:rPr>
        <w:instrText xml:space="preserve"> REF _Ref107701545 \r \h  \* MERGEFORMAT </w:instrText>
      </w:r>
      <w:r w:rsidR="002F280C" w:rsidRPr="00683086">
        <w:rPr>
          <w:rFonts w:asciiTheme="majorBidi" w:eastAsia="Times New Roman" w:hAnsiTheme="majorBidi" w:cstheme="majorBidi"/>
          <w:sz w:val="24"/>
          <w:szCs w:val="24"/>
        </w:rPr>
      </w:r>
      <w:r w:rsidR="002F280C" w:rsidRPr="00683086">
        <w:rPr>
          <w:rFonts w:asciiTheme="majorBidi" w:eastAsia="Times New Roman" w:hAnsiTheme="majorBidi" w:cstheme="majorBidi"/>
          <w:sz w:val="24"/>
          <w:szCs w:val="24"/>
        </w:rPr>
        <w:fldChar w:fldCharType="separate"/>
      </w:r>
      <w:r w:rsidR="002F280C" w:rsidRPr="00683086">
        <w:rPr>
          <w:rFonts w:asciiTheme="majorBidi" w:eastAsia="Times New Roman" w:hAnsiTheme="majorBidi" w:cstheme="majorBidi"/>
          <w:sz w:val="24"/>
          <w:szCs w:val="24"/>
          <w:cs/>
        </w:rPr>
        <w:t>‎</w:t>
      </w:r>
      <w:r w:rsidR="002F280C" w:rsidRPr="00683086">
        <w:rPr>
          <w:rFonts w:asciiTheme="majorBidi" w:eastAsia="Times New Roman" w:hAnsiTheme="majorBidi" w:cstheme="majorBidi"/>
          <w:sz w:val="24"/>
          <w:szCs w:val="24"/>
          <w:vertAlign w:val="superscript"/>
        </w:rPr>
        <w:t>2</w:t>
      </w:r>
      <w:r w:rsidR="002F280C" w:rsidRPr="00683086">
        <w:rPr>
          <w:rFonts w:asciiTheme="majorBidi" w:eastAsia="Times New Roman" w:hAnsiTheme="majorBidi" w:cstheme="majorBidi"/>
          <w:sz w:val="24"/>
          <w:szCs w:val="24"/>
        </w:rPr>
        <w:fldChar w:fldCharType="end"/>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The sediment is first inspected under 100-200x magnification at which the element distribution can be assessed for rare particles such as cast and epithelial cells. Next, the magnification </w:t>
      </w:r>
      <w:proofErr w:type="gramStart"/>
      <w:r w:rsidRPr="00683086">
        <w:rPr>
          <w:rFonts w:asciiTheme="majorBidi" w:eastAsia="Times New Roman" w:hAnsiTheme="majorBidi" w:cstheme="majorBidi"/>
          <w:sz w:val="24"/>
          <w:szCs w:val="24"/>
        </w:rPr>
        <w:t>is increased</w:t>
      </w:r>
      <w:proofErr w:type="gramEnd"/>
      <w:r w:rsidRPr="00683086">
        <w:rPr>
          <w:rFonts w:asciiTheme="majorBidi" w:eastAsia="Times New Roman" w:hAnsiTheme="majorBidi" w:cstheme="majorBidi"/>
          <w:sz w:val="24"/>
          <w:szCs w:val="24"/>
        </w:rPr>
        <w:t xml:space="preserve"> to 400x and at least 10 visual fields are randomly chosen to be examined for the presence of leukocytes, red blood cells and bacteria. The presence of leukocytes indicates pyelonephrit</w:t>
      </w:r>
      <w:r w:rsidR="002F280C" w:rsidRPr="00683086">
        <w:rPr>
          <w:rFonts w:asciiTheme="majorBidi" w:eastAsia="Times New Roman" w:hAnsiTheme="majorBidi" w:cstheme="majorBidi"/>
          <w:sz w:val="24"/>
          <w:szCs w:val="24"/>
        </w:rPr>
        <w:t>is rather than cystitis</w:t>
      </w:r>
      <w:r w:rsidRPr="00683086">
        <w:rPr>
          <w:rFonts w:asciiTheme="majorBidi" w:eastAsia="Times New Roman" w:hAnsiTheme="majorBidi" w:cstheme="majorBidi"/>
          <w:sz w:val="24"/>
          <w:szCs w:val="24"/>
        </w:rPr>
        <w:t>.</w:t>
      </w:r>
      <w:r w:rsidR="002F280C" w:rsidRPr="00683086">
        <w:rPr>
          <w:rFonts w:asciiTheme="majorBidi" w:eastAsia="Times New Roman" w:hAnsiTheme="majorBidi" w:cstheme="majorBidi"/>
          <w:sz w:val="24"/>
          <w:szCs w:val="24"/>
        </w:rPr>
        <w:fldChar w:fldCharType="begin"/>
      </w:r>
      <w:r w:rsidR="002F280C" w:rsidRPr="00683086">
        <w:rPr>
          <w:rFonts w:asciiTheme="majorBidi" w:eastAsia="Times New Roman" w:hAnsiTheme="majorBidi" w:cstheme="majorBidi"/>
          <w:sz w:val="24"/>
          <w:szCs w:val="24"/>
        </w:rPr>
        <w:instrText xml:space="preserve"> REF _Ref107701545 \r \h  \* MERGEFORMAT </w:instrText>
      </w:r>
      <w:r w:rsidR="002F280C" w:rsidRPr="00683086">
        <w:rPr>
          <w:rFonts w:asciiTheme="majorBidi" w:eastAsia="Times New Roman" w:hAnsiTheme="majorBidi" w:cstheme="majorBidi"/>
          <w:sz w:val="24"/>
          <w:szCs w:val="24"/>
        </w:rPr>
      </w:r>
      <w:r w:rsidR="002F280C" w:rsidRPr="00683086">
        <w:rPr>
          <w:rFonts w:asciiTheme="majorBidi" w:eastAsia="Times New Roman" w:hAnsiTheme="majorBidi" w:cstheme="majorBidi"/>
          <w:sz w:val="24"/>
          <w:szCs w:val="24"/>
        </w:rPr>
        <w:fldChar w:fldCharType="separate"/>
      </w:r>
      <w:r w:rsidR="002F280C" w:rsidRPr="00683086">
        <w:rPr>
          <w:rFonts w:asciiTheme="majorBidi" w:eastAsia="Times New Roman" w:hAnsiTheme="majorBidi" w:cstheme="majorBidi"/>
          <w:sz w:val="24"/>
          <w:szCs w:val="24"/>
          <w:cs/>
        </w:rPr>
        <w:t>‎</w:t>
      </w:r>
      <w:r w:rsidR="002F280C" w:rsidRPr="00683086">
        <w:rPr>
          <w:rFonts w:asciiTheme="majorBidi" w:eastAsia="Times New Roman" w:hAnsiTheme="majorBidi" w:cstheme="majorBidi"/>
          <w:sz w:val="24"/>
          <w:szCs w:val="24"/>
          <w:vertAlign w:val="superscript"/>
        </w:rPr>
        <w:t>2</w:t>
      </w:r>
      <w:r w:rsidR="002F280C" w:rsidRPr="00683086">
        <w:rPr>
          <w:rFonts w:asciiTheme="majorBidi" w:eastAsia="Times New Roman" w:hAnsiTheme="majorBidi" w:cstheme="majorBidi"/>
          <w:sz w:val="24"/>
          <w:szCs w:val="24"/>
        </w:rPr>
        <w:fldChar w:fldCharType="end"/>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lastRenderedPageBreak/>
        <w:t xml:space="preserve">For the urine culture, the urine </w:t>
      </w:r>
      <w:proofErr w:type="gramStart"/>
      <w:r w:rsidRPr="00683086">
        <w:rPr>
          <w:rFonts w:asciiTheme="majorBidi" w:eastAsia="Times New Roman" w:hAnsiTheme="majorBidi" w:cstheme="majorBidi"/>
          <w:sz w:val="24"/>
          <w:szCs w:val="24"/>
        </w:rPr>
        <w:t>was first cultured</w:t>
      </w:r>
      <w:proofErr w:type="gramEnd"/>
      <w:r w:rsidRPr="00683086">
        <w:rPr>
          <w:rFonts w:asciiTheme="majorBidi" w:eastAsia="Times New Roman" w:hAnsiTheme="majorBidi" w:cstheme="majorBidi"/>
          <w:sz w:val="24"/>
          <w:szCs w:val="24"/>
        </w:rPr>
        <w:t xml:space="preserve"> on 5 % Sheep Blood agar. Meanwhile, for the differentiation of the microorganism </w:t>
      </w:r>
      <w:proofErr w:type="spellStart"/>
      <w:r w:rsidRPr="00683086">
        <w:rPr>
          <w:rFonts w:asciiTheme="majorBidi" w:eastAsia="Times New Roman" w:hAnsiTheme="majorBidi" w:cstheme="majorBidi"/>
          <w:sz w:val="24"/>
          <w:szCs w:val="24"/>
        </w:rPr>
        <w:t>MacConkey</w:t>
      </w:r>
      <w:proofErr w:type="spellEnd"/>
      <w:r w:rsidRPr="00683086">
        <w:rPr>
          <w:rFonts w:asciiTheme="majorBidi" w:eastAsia="Times New Roman" w:hAnsiTheme="majorBidi" w:cstheme="majorBidi"/>
          <w:sz w:val="24"/>
          <w:szCs w:val="24"/>
        </w:rPr>
        <w:t xml:space="preserve"> agar </w:t>
      </w:r>
      <w:proofErr w:type="gramStart"/>
      <w:r w:rsidRPr="00683086">
        <w:rPr>
          <w:rFonts w:asciiTheme="majorBidi" w:eastAsia="Times New Roman" w:hAnsiTheme="majorBidi" w:cstheme="majorBidi"/>
          <w:sz w:val="24"/>
          <w:szCs w:val="24"/>
        </w:rPr>
        <w:t>was used</w:t>
      </w:r>
      <w:proofErr w:type="gramEnd"/>
      <w:r w:rsidRPr="00683086">
        <w:rPr>
          <w:rFonts w:asciiTheme="majorBidi" w:eastAsia="Times New Roman" w:hAnsiTheme="majorBidi" w:cstheme="majorBidi"/>
          <w:sz w:val="24"/>
          <w:szCs w:val="24"/>
        </w:rPr>
        <w:t xml:space="preserve">. The urine sample was mixed well and a 0.01 </w:t>
      </w:r>
      <w:r w:rsidR="00041608" w:rsidRPr="00683086">
        <w:rPr>
          <w:rFonts w:asciiTheme="majorBidi" w:eastAsia="Times New Roman" w:hAnsiTheme="majorBidi" w:cstheme="majorBidi"/>
          <w:sz w:val="24"/>
          <w:szCs w:val="24"/>
        </w:rPr>
        <w:t>microliter</w:t>
      </w:r>
      <w:r w:rsidRPr="00683086">
        <w:rPr>
          <w:rFonts w:asciiTheme="majorBidi" w:eastAsia="Times New Roman" w:hAnsiTheme="majorBidi" w:cstheme="majorBidi"/>
          <w:sz w:val="24"/>
          <w:szCs w:val="24"/>
        </w:rPr>
        <w:t xml:space="preserve"> plastic loop was inserted vertically in the sample and kept for a few seconds to ensure a fixed amount of urine is transferred for each petri dish. After dipping the loop, streak it down the center of the blood agar. Using the same loop streak around the center inoculum going left to right in a zigzag pattern to inoculate. </w:t>
      </w:r>
      <w:r w:rsidR="002F280C" w:rsidRPr="00683086">
        <w:rPr>
          <w:rFonts w:asciiTheme="majorBidi" w:eastAsia="Times New Roman" w:hAnsiTheme="majorBidi" w:cstheme="majorBidi"/>
          <w:sz w:val="24"/>
          <w:szCs w:val="24"/>
        </w:rPr>
        <w:t>Repeat</w:t>
      </w:r>
      <w:r w:rsidRPr="00683086">
        <w:rPr>
          <w:rFonts w:asciiTheme="majorBidi" w:eastAsia="Times New Roman" w:hAnsiTheme="majorBidi" w:cstheme="majorBidi"/>
          <w:sz w:val="24"/>
          <w:szCs w:val="24"/>
        </w:rPr>
        <w:t xml:space="preserve"> the same steps for MAC agar. This technique helps spread the bacteria around the petri dish in a way that would isolate the CFU colonies so that they </w:t>
      </w:r>
      <w:proofErr w:type="gramStart"/>
      <w:r w:rsidRPr="00683086">
        <w:rPr>
          <w:rFonts w:asciiTheme="majorBidi" w:eastAsia="Times New Roman" w:hAnsiTheme="majorBidi" w:cstheme="majorBidi"/>
          <w:sz w:val="24"/>
          <w:szCs w:val="24"/>
        </w:rPr>
        <w:t>can be easily counted</w:t>
      </w:r>
      <w:proofErr w:type="gramEnd"/>
      <w:r w:rsidRPr="00683086">
        <w:rPr>
          <w:rFonts w:asciiTheme="majorBidi" w:eastAsia="Times New Roman" w:hAnsiTheme="majorBidi" w:cstheme="majorBidi"/>
          <w:sz w:val="24"/>
          <w:szCs w:val="24"/>
        </w:rPr>
        <w:t xml:space="preserve">. Incubate the samples in a CO2 incubator at 37°C for 24-48 hours to ensure </w:t>
      </w:r>
      <w:r w:rsidR="00F07361" w:rsidRPr="00683086">
        <w:rPr>
          <w:rFonts w:asciiTheme="majorBidi" w:eastAsia="Times New Roman" w:hAnsiTheme="majorBidi" w:cstheme="majorBidi"/>
          <w:sz w:val="24"/>
          <w:szCs w:val="24"/>
        </w:rPr>
        <w:t>colonies</w:t>
      </w:r>
      <w:r w:rsidRPr="00683086">
        <w:rPr>
          <w:rFonts w:asciiTheme="majorBidi" w:eastAsia="Times New Roman" w:hAnsiTheme="majorBidi" w:cstheme="majorBidi"/>
          <w:sz w:val="24"/>
          <w:szCs w:val="24"/>
        </w:rPr>
        <w:t xml:space="preserve"> growth on agar.</w:t>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The number or colonies </w:t>
      </w:r>
      <w:proofErr w:type="gramStart"/>
      <w:r w:rsidRPr="00683086">
        <w:rPr>
          <w:rFonts w:asciiTheme="majorBidi" w:eastAsia="Times New Roman" w:hAnsiTheme="majorBidi" w:cstheme="majorBidi"/>
          <w:sz w:val="24"/>
          <w:szCs w:val="24"/>
        </w:rPr>
        <w:t>is counted and multiplied by 100 to obtain the CFU of bacterial growth per 1ml of urine</w:t>
      </w:r>
      <w:proofErr w:type="gramEnd"/>
      <w:r w:rsidRPr="00683086">
        <w:rPr>
          <w:rFonts w:asciiTheme="majorBidi" w:eastAsia="Times New Roman" w:hAnsiTheme="majorBidi" w:cstheme="majorBidi"/>
          <w:sz w:val="24"/>
          <w:szCs w:val="24"/>
        </w:rPr>
        <w:t xml:space="preserve">. A numeric threshold of CFUs per milliliter </w:t>
      </w:r>
      <w:proofErr w:type="gramStart"/>
      <w:r w:rsidRPr="00683086">
        <w:rPr>
          <w:rFonts w:asciiTheme="majorBidi" w:eastAsia="Times New Roman" w:hAnsiTheme="majorBidi" w:cstheme="majorBidi"/>
          <w:sz w:val="24"/>
          <w:szCs w:val="24"/>
        </w:rPr>
        <w:t>has been established</w:t>
      </w:r>
      <w:proofErr w:type="gramEnd"/>
      <w:r w:rsidRPr="00683086">
        <w:rPr>
          <w:rFonts w:asciiTheme="majorBidi" w:eastAsia="Times New Roman" w:hAnsiTheme="majorBidi" w:cstheme="majorBidi"/>
          <w:sz w:val="24"/>
          <w:szCs w:val="24"/>
        </w:rPr>
        <w:t xml:space="preserve"> to avoid confusion with contamination of urine as it passes through the urethra</w:t>
      </w:r>
      <w:r w:rsidR="002F280C" w:rsidRPr="00683086">
        <w:rPr>
          <w:rFonts w:asciiTheme="majorBidi" w:eastAsia="Times New Roman" w:hAnsiTheme="majorBidi" w:cstheme="majorBidi"/>
          <w:sz w:val="24"/>
          <w:szCs w:val="24"/>
        </w:rPr>
        <w:t>.</w:t>
      </w:r>
      <w:r w:rsidR="002F280C" w:rsidRPr="00683086">
        <w:rPr>
          <w:rFonts w:asciiTheme="majorBidi" w:eastAsia="Times New Roman" w:hAnsiTheme="majorBidi" w:cstheme="majorBidi"/>
          <w:sz w:val="24"/>
          <w:szCs w:val="24"/>
        </w:rPr>
        <w:fldChar w:fldCharType="begin"/>
      </w:r>
      <w:r w:rsidR="002F280C" w:rsidRPr="00683086">
        <w:rPr>
          <w:rFonts w:asciiTheme="majorBidi" w:eastAsia="Times New Roman" w:hAnsiTheme="majorBidi" w:cstheme="majorBidi"/>
          <w:sz w:val="24"/>
          <w:szCs w:val="24"/>
        </w:rPr>
        <w:instrText xml:space="preserve"> REF _Ref107701545 \r \h  \* MERGEFORMAT </w:instrText>
      </w:r>
      <w:r w:rsidR="002F280C" w:rsidRPr="00683086">
        <w:rPr>
          <w:rFonts w:asciiTheme="majorBidi" w:eastAsia="Times New Roman" w:hAnsiTheme="majorBidi" w:cstheme="majorBidi"/>
          <w:sz w:val="24"/>
          <w:szCs w:val="24"/>
        </w:rPr>
      </w:r>
      <w:r w:rsidR="002F280C" w:rsidRPr="00683086">
        <w:rPr>
          <w:rFonts w:asciiTheme="majorBidi" w:eastAsia="Times New Roman" w:hAnsiTheme="majorBidi" w:cstheme="majorBidi"/>
          <w:sz w:val="24"/>
          <w:szCs w:val="24"/>
        </w:rPr>
        <w:fldChar w:fldCharType="separate"/>
      </w:r>
      <w:r w:rsidR="002F280C" w:rsidRPr="00683086">
        <w:rPr>
          <w:rFonts w:asciiTheme="majorBidi" w:eastAsia="Times New Roman" w:hAnsiTheme="majorBidi" w:cstheme="majorBidi"/>
          <w:sz w:val="24"/>
          <w:szCs w:val="24"/>
          <w:cs/>
        </w:rPr>
        <w:t>‎</w:t>
      </w:r>
      <w:r w:rsidR="002F280C" w:rsidRPr="00683086">
        <w:rPr>
          <w:rFonts w:asciiTheme="majorBidi" w:eastAsia="Times New Roman" w:hAnsiTheme="majorBidi" w:cstheme="majorBidi"/>
          <w:sz w:val="24"/>
          <w:szCs w:val="24"/>
          <w:vertAlign w:val="superscript"/>
        </w:rPr>
        <w:t>2</w:t>
      </w:r>
      <w:r w:rsidR="002F280C" w:rsidRPr="00683086">
        <w:rPr>
          <w:rFonts w:asciiTheme="majorBidi" w:eastAsia="Times New Roman" w:hAnsiTheme="majorBidi" w:cstheme="majorBidi"/>
          <w:sz w:val="24"/>
          <w:szCs w:val="24"/>
        </w:rPr>
        <w:fldChar w:fldCharType="end"/>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The microorganism morphology </w:t>
      </w:r>
      <w:proofErr w:type="gramStart"/>
      <w:r w:rsidRPr="00683086">
        <w:rPr>
          <w:rFonts w:asciiTheme="majorBidi" w:eastAsia="Times New Roman" w:hAnsiTheme="majorBidi" w:cstheme="majorBidi"/>
          <w:sz w:val="24"/>
          <w:szCs w:val="24"/>
        </w:rPr>
        <w:t>was noted</w:t>
      </w:r>
      <w:proofErr w:type="gramEnd"/>
      <w:r w:rsidRPr="00683086">
        <w:rPr>
          <w:rFonts w:asciiTheme="majorBidi" w:eastAsia="Times New Roman" w:hAnsiTheme="majorBidi" w:cstheme="majorBidi"/>
          <w:sz w:val="24"/>
          <w:szCs w:val="24"/>
        </w:rPr>
        <w:t xml:space="preserve"> and the organism identified. The MAC agar turned pink indicating that it is a lactose fermenting bacteri</w:t>
      </w:r>
      <w:r w:rsidR="002F280C" w:rsidRPr="00683086">
        <w:rPr>
          <w:rFonts w:asciiTheme="majorBidi" w:eastAsia="Times New Roman" w:hAnsiTheme="majorBidi" w:cstheme="majorBidi"/>
          <w:sz w:val="24"/>
          <w:szCs w:val="24"/>
        </w:rPr>
        <w:t>a, and the colonies were non-</w:t>
      </w:r>
      <w:proofErr w:type="spellStart"/>
      <w:r w:rsidRPr="00683086">
        <w:rPr>
          <w:rFonts w:asciiTheme="majorBidi" w:eastAsia="Times New Roman" w:hAnsiTheme="majorBidi" w:cstheme="majorBidi"/>
          <w:sz w:val="24"/>
          <w:szCs w:val="24"/>
        </w:rPr>
        <w:t>mucoid</w:t>
      </w:r>
      <w:proofErr w:type="spellEnd"/>
      <w:r w:rsidRPr="00683086">
        <w:rPr>
          <w:rFonts w:asciiTheme="majorBidi" w:eastAsia="Times New Roman" w:hAnsiTheme="majorBidi" w:cstheme="majorBidi"/>
          <w:sz w:val="24"/>
          <w:szCs w:val="24"/>
        </w:rPr>
        <w:t xml:space="preserve"> differentiating </w:t>
      </w:r>
      <w:proofErr w:type="spellStart"/>
      <w:r w:rsidRPr="00683086">
        <w:rPr>
          <w:rFonts w:asciiTheme="majorBidi" w:eastAsia="Times New Roman" w:hAnsiTheme="majorBidi" w:cstheme="majorBidi"/>
          <w:i/>
          <w:iCs/>
          <w:sz w:val="24"/>
          <w:szCs w:val="24"/>
        </w:rPr>
        <w:t>E.coli</w:t>
      </w:r>
      <w:proofErr w:type="spellEnd"/>
      <w:r w:rsidRPr="00683086">
        <w:rPr>
          <w:rFonts w:asciiTheme="majorBidi" w:eastAsia="Times New Roman" w:hAnsiTheme="majorBidi" w:cstheme="majorBidi"/>
          <w:i/>
          <w:iCs/>
          <w:sz w:val="24"/>
          <w:szCs w:val="24"/>
        </w:rPr>
        <w:t xml:space="preserve"> </w:t>
      </w:r>
      <w:r w:rsidRPr="00683086">
        <w:rPr>
          <w:rFonts w:asciiTheme="majorBidi" w:eastAsia="Times New Roman" w:hAnsiTheme="majorBidi" w:cstheme="majorBidi"/>
          <w:sz w:val="24"/>
          <w:szCs w:val="24"/>
        </w:rPr>
        <w:t xml:space="preserve">from </w:t>
      </w:r>
      <w:proofErr w:type="spellStart"/>
      <w:r w:rsidRPr="00683086">
        <w:rPr>
          <w:rFonts w:asciiTheme="majorBidi" w:eastAsia="Times New Roman" w:hAnsiTheme="majorBidi" w:cstheme="majorBidi"/>
          <w:i/>
          <w:iCs/>
          <w:sz w:val="24"/>
          <w:szCs w:val="24"/>
        </w:rPr>
        <w:t>Klebsiella</w:t>
      </w:r>
      <w:proofErr w:type="spellEnd"/>
      <w:r w:rsidRPr="00683086">
        <w:rPr>
          <w:rFonts w:asciiTheme="majorBidi" w:eastAsia="Times New Roman" w:hAnsiTheme="majorBidi" w:cstheme="majorBidi"/>
          <w:sz w:val="24"/>
          <w:szCs w:val="24"/>
        </w:rPr>
        <w:t xml:space="preserve"> and affirming that most samples had </w:t>
      </w:r>
      <w:proofErr w:type="spellStart"/>
      <w:r w:rsidRPr="00683086">
        <w:rPr>
          <w:rFonts w:asciiTheme="majorBidi" w:eastAsia="Times New Roman" w:hAnsiTheme="majorBidi" w:cstheme="majorBidi"/>
          <w:i/>
          <w:iCs/>
          <w:sz w:val="24"/>
          <w:szCs w:val="24"/>
        </w:rPr>
        <w:t>E.coli</w:t>
      </w:r>
      <w:proofErr w:type="spellEnd"/>
      <w:r w:rsidRPr="00683086">
        <w:rPr>
          <w:rFonts w:asciiTheme="majorBidi" w:eastAsia="Times New Roman" w:hAnsiTheme="majorBidi" w:cstheme="majorBidi"/>
          <w:sz w:val="24"/>
          <w:szCs w:val="24"/>
        </w:rPr>
        <w:t xml:space="preserve"> growth.</w:t>
      </w:r>
    </w:p>
    <w:p w:rsidR="003B0844" w:rsidRPr="00683086" w:rsidRDefault="003B0844" w:rsidP="00683086">
      <w:pPr>
        <w:spacing w:line="360" w:lineRule="auto"/>
        <w:rPr>
          <w:rFonts w:asciiTheme="majorBidi" w:eastAsia="Times New Roman" w:hAnsiTheme="majorBidi" w:cstheme="majorBidi"/>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The CFU </w:t>
      </w:r>
      <w:proofErr w:type="gramStart"/>
      <w:r w:rsidRPr="00683086">
        <w:rPr>
          <w:rFonts w:asciiTheme="majorBidi" w:eastAsia="Times New Roman" w:hAnsiTheme="majorBidi" w:cstheme="majorBidi"/>
          <w:sz w:val="24"/>
          <w:szCs w:val="24"/>
        </w:rPr>
        <w:t>were organized on a SPSS data sheet and further analyzed</w:t>
      </w:r>
      <w:proofErr w:type="gramEnd"/>
      <w:r w:rsidRPr="00683086">
        <w:rPr>
          <w:rFonts w:asciiTheme="majorBidi" w:eastAsia="Times New Roman" w:hAnsiTheme="majorBidi" w:cstheme="majorBidi"/>
          <w:sz w:val="24"/>
          <w:szCs w:val="24"/>
        </w:rPr>
        <w:t xml:space="preserve">. The SPSS test used was Fisher’s test. Fisher's test is a test for independence between two qualitative variables. The assumptions for Fisher’s test </w:t>
      </w:r>
      <w:proofErr w:type="gramStart"/>
      <w:r w:rsidRPr="00683086">
        <w:rPr>
          <w:rFonts w:asciiTheme="majorBidi" w:eastAsia="Times New Roman" w:hAnsiTheme="majorBidi" w:cstheme="majorBidi"/>
          <w:sz w:val="24"/>
          <w:szCs w:val="24"/>
        </w:rPr>
        <w:t>are:</w:t>
      </w:r>
      <w:proofErr w:type="gramEnd"/>
      <w:r w:rsidRPr="00683086">
        <w:rPr>
          <w:rFonts w:asciiTheme="majorBidi" w:eastAsia="Times New Roman" w:hAnsiTheme="majorBidi" w:cstheme="majorBidi"/>
          <w:sz w:val="24"/>
          <w:szCs w:val="24"/>
        </w:rPr>
        <w:t xml:space="preserve"> sample is random, observations are independent and groups are mutually exclusive, all of which are met. Fisher’s test </w:t>
      </w:r>
      <w:proofErr w:type="gramStart"/>
      <w:r w:rsidRPr="00683086">
        <w:rPr>
          <w:rFonts w:asciiTheme="majorBidi" w:eastAsia="Times New Roman" w:hAnsiTheme="majorBidi" w:cstheme="majorBidi"/>
          <w:sz w:val="24"/>
          <w:szCs w:val="24"/>
        </w:rPr>
        <w:t>can also be used</w:t>
      </w:r>
      <w:proofErr w:type="gramEnd"/>
      <w:r w:rsidRPr="00683086">
        <w:rPr>
          <w:rFonts w:asciiTheme="majorBidi" w:eastAsia="Times New Roman" w:hAnsiTheme="majorBidi" w:cstheme="majorBidi"/>
          <w:sz w:val="24"/>
          <w:szCs w:val="24"/>
        </w:rPr>
        <w:t xml:space="preserve"> for a small sample size, which makes it ideal for this study.</w:t>
      </w:r>
    </w:p>
    <w:p w:rsidR="003B0844" w:rsidRDefault="003B0844">
      <w:pPr>
        <w:spacing w:line="360" w:lineRule="auto"/>
        <w:rPr>
          <w:rFonts w:ascii="Times New Roman" w:eastAsia="Times New Roman" w:hAnsi="Times New Roman" w:cs="Times New Roman"/>
          <w:sz w:val="24"/>
          <w:szCs w:val="24"/>
        </w:rPr>
      </w:pPr>
    </w:p>
    <w:p w:rsidR="003B0844" w:rsidRDefault="003B0844">
      <w:pPr>
        <w:spacing w:line="360" w:lineRule="auto"/>
        <w:rPr>
          <w:rFonts w:ascii="Times New Roman" w:eastAsia="Times New Roman" w:hAnsi="Times New Roman" w:cs="Times New Roman"/>
          <w:sz w:val="24"/>
          <w:szCs w:val="24"/>
        </w:rPr>
      </w:pPr>
    </w:p>
    <w:p w:rsidR="003B0844" w:rsidRDefault="003B0844">
      <w:pPr>
        <w:rPr>
          <w:rFonts w:ascii="Times New Roman" w:eastAsia="Times New Roman" w:hAnsi="Times New Roman" w:cs="Times New Roman"/>
          <w:sz w:val="24"/>
          <w:szCs w:val="24"/>
        </w:rPr>
      </w:pPr>
    </w:p>
    <w:p w:rsidR="00F07361" w:rsidRDefault="00F07361">
      <w:pPr>
        <w:rPr>
          <w:rFonts w:ascii="Times New Roman" w:eastAsia="Times New Roman" w:hAnsi="Times New Roman" w:cs="Times New Roman"/>
          <w:sz w:val="24"/>
          <w:szCs w:val="24"/>
        </w:rPr>
      </w:pPr>
    </w:p>
    <w:p w:rsidR="00F07361" w:rsidRDefault="00F07361">
      <w:pPr>
        <w:rPr>
          <w:rFonts w:ascii="Times New Roman" w:eastAsia="Times New Roman" w:hAnsi="Times New Roman" w:cs="Times New Roman"/>
          <w:sz w:val="24"/>
          <w:szCs w:val="24"/>
        </w:rPr>
      </w:pPr>
    </w:p>
    <w:p w:rsidR="00F07361" w:rsidRDefault="00F07361">
      <w:pPr>
        <w:rPr>
          <w:rFonts w:ascii="Times New Roman" w:eastAsia="Times New Roman" w:hAnsi="Times New Roman" w:cs="Times New Roman"/>
          <w:sz w:val="24"/>
          <w:szCs w:val="24"/>
        </w:rPr>
      </w:pPr>
    </w:p>
    <w:p w:rsidR="003B0844" w:rsidRDefault="0010695E">
      <w:pPr>
        <w:pStyle w:val="1"/>
      </w:pPr>
      <w:bookmarkStart w:id="4" w:name="_Toc107700882"/>
      <w:r>
        <w:lastRenderedPageBreak/>
        <w:t>Results:</w:t>
      </w:r>
      <w:bookmarkEnd w:id="4"/>
    </w:p>
    <w:p w:rsidR="003B0844" w:rsidRDefault="0010695E">
      <w:pPr>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t>Table 1:</w:t>
      </w:r>
      <w:r>
        <w:rPr>
          <w:rFonts w:ascii="Times New Roman" w:eastAsia="Times New Roman" w:hAnsi="Times New Roman" w:cs="Times New Roman"/>
          <w:sz w:val="24"/>
          <w:szCs w:val="24"/>
        </w:rPr>
        <w:t xml:space="preserve"> Subject CFU Count</w:t>
      </w:r>
    </w:p>
    <w:p w:rsidR="003B0844" w:rsidRDefault="0010695E">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GB"/>
        </w:rPr>
        <w:drawing>
          <wp:inline distT="114300" distB="114300" distL="114300" distR="114300" wp14:anchorId="081B79AF" wp14:editId="2117F263">
            <wp:extent cx="5153025" cy="2924175"/>
            <wp:effectExtent l="0" t="0" r="9525" b="9525"/>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5153698" cy="2924557"/>
                    </a:xfrm>
                    <a:prstGeom prst="rect">
                      <a:avLst/>
                    </a:prstGeom>
                    <a:ln/>
                  </pic:spPr>
                </pic:pic>
              </a:graphicData>
            </a:graphic>
          </wp:inline>
        </w:drawing>
      </w:r>
    </w:p>
    <w:p w:rsidR="003B0844" w:rsidRDefault="003B0844">
      <w:pPr>
        <w:rPr>
          <w:rFonts w:ascii="Times New Roman" w:eastAsia="Times New Roman" w:hAnsi="Times New Roman" w:cs="Times New Roman"/>
          <w:sz w:val="24"/>
          <w:szCs w:val="24"/>
        </w:rPr>
      </w:pPr>
    </w:p>
    <w:p w:rsidR="003B0844" w:rsidRDefault="0010695E">
      <w:pPr>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t>Table2:</w:t>
      </w:r>
      <w:r>
        <w:rPr>
          <w:rFonts w:ascii="Times New Roman" w:eastAsia="Times New Roman" w:hAnsi="Times New Roman" w:cs="Times New Roman"/>
          <w:sz w:val="24"/>
          <w:szCs w:val="24"/>
        </w:rPr>
        <w:t xml:space="preserve"> Categorizing CFU count into growth, significant growth and no growth.</w:t>
      </w:r>
    </w:p>
    <w:p w:rsidR="003B0844" w:rsidRDefault="003B0844">
      <w:pPr>
        <w:jc w:val="center"/>
        <w:rPr>
          <w:rFonts w:ascii="Times New Roman" w:eastAsia="Times New Roman" w:hAnsi="Times New Roman" w:cs="Times New Roman"/>
          <w:sz w:val="24"/>
          <w:szCs w:val="24"/>
        </w:rPr>
      </w:pPr>
    </w:p>
    <w:tbl>
      <w:tblPr>
        <w:tblStyle w:val="a5"/>
        <w:tblW w:w="9364" w:type="dxa"/>
        <w:tblInd w:w="-123" w:type="dxa"/>
        <w:tblLayout w:type="fixed"/>
        <w:tblLook w:val="0600" w:firstRow="0" w:lastRow="0" w:firstColumn="0" w:lastColumn="0" w:noHBand="1" w:noVBand="1"/>
      </w:tblPr>
      <w:tblGrid>
        <w:gridCol w:w="1270"/>
        <w:gridCol w:w="1519"/>
        <w:gridCol w:w="1770"/>
        <w:gridCol w:w="1303"/>
        <w:gridCol w:w="1694"/>
        <w:gridCol w:w="1808"/>
      </w:tblGrid>
      <w:tr w:rsidR="003B0844" w:rsidTr="00884026">
        <w:trPr>
          <w:trHeight w:val="1160"/>
        </w:trPr>
        <w:tc>
          <w:tcPr>
            <w:tcW w:w="2789" w:type="dxa"/>
            <w:gridSpan w:val="2"/>
            <w:tcBorders>
              <w:top w:val="single" w:sz="18" w:space="0" w:color="990000"/>
              <w:left w:val="single" w:sz="18" w:space="0" w:color="990000"/>
              <w:bottom w:val="single" w:sz="18" w:space="0" w:color="990000"/>
              <w:right w:val="nil"/>
            </w:tcBorders>
            <w:shd w:val="clear" w:color="auto" w:fill="EA9999"/>
            <w:tcMar>
              <w:top w:w="100" w:type="dxa"/>
              <w:left w:w="100" w:type="dxa"/>
              <w:bottom w:w="100" w:type="dxa"/>
              <w:right w:w="100" w:type="dxa"/>
            </w:tcMar>
            <w:vAlign w:val="bottom"/>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770" w:type="dxa"/>
            <w:tcBorders>
              <w:top w:val="single" w:sz="18" w:space="0" w:color="990000"/>
              <w:left w:val="single" w:sz="18" w:space="0" w:color="990000"/>
              <w:bottom w:val="single" w:sz="18" w:space="0" w:color="990000"/>
              <w:right w:val="single" w:sz="8" w:space="0" w:color="990000"/>
            </w:tcBorders>
            <w:shd w:val="clear" w:color="auto" w:fill="EA9999"/>
            <w:tcMar>
              <w:top w:w="100" w:type="dxa"/>
              <w:left w:w="100" w:type="dxa"/>
              <w:bottom w:w="100" w:type="dxa"/>
              <w:right w:w="100" w:type="dxa"/>
            </w:tcMar>
            <w:vAlign w:val="bottom"/>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w:t>
            </w:r>
          </w:p>
        </w:tc>
        <w:tc>
          <w:tcPr>
            <w:tcW w:w="1303" w:type="dxa"/>
            <w:tcBorders>
              <w:top w:val="single" w:sz="18" w:space="0" w:color="990000"/>
              <w:left w:val="nil"/>
              <w:bottom w:val="single" w:sz="18" w:space="0" w:color="990000"/>
              <w:right w:val="single" w:sz="8" w:space="0" w:color="990000"/>
            </w:tcBorders>
            <w:shd w:val="clear" w:color="auto" w:fill="EA9999"/>
            <w:tcMar>
              <w:top w:w="100" w:type="dxa"/>
              <w:left w:w="100" w:type="dxa"/>
              <w:bottom w:w="100" w:type="dxa"/>
              <w:right w:w="100" w:type="dxa"/>
            </w:tcMar>
            <w:vAlign w:val="bottom"/>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Percent</w:t>
            </w:r>
          </w:p>
        </w:tc>
        <w:tc>
          <w:tcPr>
            <w:tcW w:w="1694" w:type="dxa"/>
            <w:tcBorders>
              <w:top w:val="single" w:sz="18" w:space="0" w:color="990000"/>
              <w:left w:val="nil"/>
              <w:bottom w:val="single" w:sz="18" w:space="0" w:color="990000"/>
              <w:right w:val="single" w:sz="8" w:space="0" w:color="990000"/>
            </w:tcBorders>
            <w:shd w:val="clear" w:color="auto" w:fill="EA9999"/>
            <w:tcMar>
              <w:top w:w="100" w:type="dxa"/>
              <w:left w:w="100" w:type="dxa"/>
              <w:bottom w:w="100" w:type="dxa"/>
              <w:right w:w="100" w:type="dxa"/>
            </w:tcMar>
            <w:vAlign w:val="bottom"/>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Valid Percent</w:t>
            </w:r>
          </w:p>
        </w:tc>
        <w:tc>
          <w:tcPr>
            <w:tcW w:w="1808" w:type="dxa"/>
            <w:tcBorders>
              <w:top w:val="single" w:sz="18" w:space="0" w:color="990000"/>
              <w:left w:val="nil"/>
              <w:bottom w:val="single" w:sz="18" w:space="0" w:color="990000"/>
              <w:right w:val="single" w:sz="18" w:space="0" w:color="990000"/>
            </w:tcBorders>
            <w:shd w:val="clear" w:color="auto" w:fill="EA9999"/>
            <w:tcMar>
              <w:top w:w="100" w:type="dxa"/>
              <w:left w:w="100" w:type="dxa"/>
              <w:bottom w:w="100" w:type="dxa"/>
              <w:right w:w="100" w:type="dxa"/>
            </w:tcMar>
            <w:vAlign w:val="bottom"/>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Cumulative Percent</w:t>
            </w:r>
          </w:p>
        </w:tc>
      </w:tr>
      <w:tr w:rsidR="003B0844" w:rsidTr="00884026">
        <w:trPr>
          <w:trHeight w:val="755"/>
        </w:trPr>
        <w:tc>
          <w:tcPr>
            <w:tcW w:w="1270" w:type="dxa"/>
            <w:vMerge w:val="restart"/>
            <w:tcBorders>
              <w:top w:val="nil"/>
              <w:left w:val="single" w:sz="18" w:space="0" w:color="990000"/>
              <w:bottom w:val="single" w:sz="18" w:space="0" w:color="990000"/>
              <w:right w:val="nil"/>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Valid</w:t>
            </w:r>
          </w:p>
        </w:tc>
        <w:tc>
          <w:tcPr>
            <w:tcW w:w="1519" w:type="dxa"/>
            <w:tcBorders>
              <w:top w:val="nil"/>
              <w:left w:val="nil"/>
              <w:bottom w:val="nil"/>
              <w:right w:val="single" w:sz="1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no growth</w:t>
            </w:r>
          </w:p>
        </w:tc>
        <w:tc>
          <w:tcPr>
            <w:tcW w:w="1770" w:type="dxa"/>
            <w:tcBorders>
              <w:top w:val="nil"/>
              <w:left w:val="nil"/>
              <w:bottom w:val="nil"/>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303" w:type="dxa"/>
            <w:tcBorders>
              <w:top w:val="nil"/>
              <w:left w:val="nil"/>
              <w:bottom w:val="nil"/>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45.8</w:t>
            </w:r>
          </w:p>
        </w:tc>
        <w:tc>
          <w:tcPr>
            <w:tcW w:w="1694" w:type="dxa"/>
            <w:tcBorders>
              <w:top w:val="nil"/>
              <w:left w:val="nil"/>
              <w:bottom w:val="nil"/>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45.8</w:t>
            </w:r>
          </w:p>
        </w:tc>
        <w:tc>
          <w:tcPr>
            <w:tcW w:w="1808" w:type="dxa"/>
            <w:tcBorders>
              <w:top w:val="nil"/>
              <w:left w:val="nil"/>
              <w:bottom w:val="nil"/>
              <w:right w:val="single" w:sz="1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45.8</w:t>
            </w:r>
          </w:p>
        </w:tc>
      </w:tr>
      <w:tr w:rsidR="003B0844" w:rsidTr="00884026">
        <w:trPr>
          <w:trHeight w:val="800"/>
        </w:trPr>
        <w:tc>
          <w:tcPr>
            <w:tcW w:w="1270" w:type="dxa"/>
            <w:vMerge/>
            <w:tcBorders>
              <w:left w:val="single" w:sz="18" w:space="0" w:color="990000"/>
              <w:bottom w:val="single" w:sz="18" w:space="0" w:color="990000"/>
              <w:right w:val="nil"/>
            </w:tcBorders>
            <w:shd w:val="clear" w:color="auto" w:fill="auto"/>
            <w:tcMar>
              <w:top w:w="100" w:type="dxa"/>
              <w:left w:w="100" w:type="dxa"/>
              <w:bottom w:w="100" w:type="dxa"/>
              <w:right w:w="100" w:type="dxa"/>
            </w:tcMar>
          </w:tcPr>
          <w:p w:rsidR="003B0844" w:rsidRDefault="003B0844">
            <w:pPr>
              <w:ind w:left="140" w:right="140"/>
              <w:rPr>
                <w:rFonts w:ascii="Times New Roman" w:eastAsia="Times New Roman" w:hAnsi="Times New Roman" w:cs="Times New Roman"/>
                <w:sz w:val="24"/>
                <w:szCs w:val="24"/>
              </w:rPr>
            </w:pPr>
          </w:p>
        </w:tc>
        <w:tc>
          <w:tcPr>
            <w:tcW w:w="1519" w:type="dxa"/>
            <w:tcBorders>
              <w:top w:val="nil"/>
              <w:left w:val="nil"/>
              <w:bottom w:val="nil"/>
              <w:right w:val="single" w:sz="1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growth</w:t>
            </w:r>
          </w:p>
        </w:tc>
        <w:tc>
          <w:tcPr>
            <w:tcW w:w="1770" w:type="dxa"/>
            <w:tcBorders>
              <w:top w:val="nil"/>
              <w:left w:val="nil"/>
              <w:bottom w:val="nil"/>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303" w:type="dxa"/>
            <w:tcBorders>
              <w:top w:val="nil"/>
              <w:left w:val="nil"/>
              <w:bottom w:val="nil"/>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45.8</w:t>
            </w:r>
          </w:p>
        </w:tc>
        <w:tc>
          <w:tcPr>
            <w:tcW w:w="1694" w:type="dxa"/>
            <w:tcBorders>
              <w:top w:val="nil"/>
              <w:left w:val="nil"/>
              <w:bottom w:val="nil"/>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45.8</w:t>
            </w:r>
          </w:p>
        </w:tc>
        <w:tc>
          <w:tcPr>
            <w:tcW w:w="1808" w:type="dxa"/>
            <w:tcBorders>
              <w:top w:val="nil"/>
              <w:left w:val="nil"/>
              <w:bottom w:val="nil"/>
              <w:right w:val="single" w:sz="1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91.7</w:t>
            </w:r>
          </w:p>
        </w:tc>
      </w:tr>
      <w:tr w:rsidR="003B0844" w:rsidTr="00884026">
        <w:trPr>
          <w:trHeight w:val="1205"/>
        </w:trPr>
        <w:tc>
          <w:tcPr>
            <w:tcW w:w="1270" w:type="dxa"/>
            <w:vMerge/>
            <w:tcBorders>
              <w:left w:val="single" w:sz="18" w:space="0" w:color="990000"/>
              <w:bottom w:val="single" w:sz="18" w:space="0" w:color="990000"/>
              <w:right w:val="nil"/>
            </w:tcBorders>
            <w:shd w:val="clear" w:color="auto" w:fill="auto"/>
            <w:tcMar>
              <w:top w:w="100" w:type="dxa"/>
              <w:left w:w="100" w:type="dxa"/>
              <w:bottom w:w="100" w:type="dxa"/>
              <w:right w:w="100" w:type="dxa"/>
            </w:tcMar>
          </w:tcPr>
          <w:p w:rsidR="003B0844" w:rsidRDefault="003B0844">
            <w:pPr>
              <w:ind w:left="140" w:right="140"/>
              <w:rPr>
                <w:rFonts w:ascii="Times New Roman" w:eastAsia="Times New Roman" w:hAnsi="Times New Roman" w:cs="Times New Roman"/>
                <w:sz w:val="24"/>
                <w:szCs w:val="24"/>
              </w:rPr>
            </w:pPr>
          </w:p>
        </w:tc>
        <w:tc>
          <w:tcPr>
            <w:tcW w:w="1519" w:type="dxa"/>
            <w:tcBorders>
              <w:top w:val="nil"/>
              <w:left w:val="nil"/>
              <w:bottom w:val="nil"/>
              <w:right w:val="single" w:sz="1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significant growth</w:t>
            </w:r>
          </w:p>
        </w:tc>
        <w:tc>
          <w:tcPr>
            <w:tcW w:w="1770" w:type="dxa"/>
            <w:tcBorders>
              <w:top w:val="nil"/>
              <w:left w:val="nil"/>
              <w:bottom w:val="nil"/>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303" w:type="dxa"/>
            <w:tcBorders>
              <w:top w:val="nil"/>
              <w:left w:val="nil"/>
              <w:bottom w:val="nil"/>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8.3</w:t>
            </w:r>
          </w:p>
        </w:tc>
        <w:tc>
          <w:tcPr>
            <w:tcW w:w="1694" w:type="dxa"/>
            <w:tcBorders>
              <w:top w:val="nil"/>
              <w:left w:val="nil"/>
              <w:bottom w:val="nil"/>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8.3</w:t>
            </w:r>
          </w:p>
        </w:tc>
        <w:tc>
          <w:tcPr>
            <w:tcW w:w="1808" w:type="dxa"/>
            <w:tcBorders>
              <w:top w:val="nil"/>
              <w:left w:val="nil"/>
              <w:bottom w:val="nil"/>
              <w:right w:val="single" w:sz="1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100.0</w:t>
            </w:r>
          </w:p>
        </w:tc>
      </w:tr>
      <w:tr w:rsidR="003B0844" w:rsidTr="00884026">
        <w:trPr>
          <w:trHeight w:val="800"/>
        </w:trPr>
        <w:tc>
          <w:tcPr>
            <w:tcW w:w="1270" w:type="dxa"/>
            <w:vMerge/>
            <w:tcBorders>
              <w:left w:val="single" w:sz="18" w:space="0" w:color="990000"/>
              <w:bottom w:val="single" w:sz="18" w:space="0" w:color="990000"/>
              <w:right w:val="nil"/>
            </w:tcBorders>
            <w:shd w:val="clear" w:color="auto" w:fill="auto"/>
            <w:tcMar>
              <w:top w:w="100" w:type="dxa"/>
              <w:left w:w="100" w:type="dxa"/>
              <w:bottom w:w="100" w:type="dxa"/>
              <w:right w:w="100" w:type="dxa"/>
            </w:tcMar>
          </w:tcPr>
          <w:p w:rsidR="003B0844" w:rsidRDefault="003B0844">
            <w:pPr>
              <w:ind w:left="140" w:right="140"/>
              <w:rPr>
                <w:rFonts w:ascii="Times New Roman" w:eastAsia="Times New Roman" w:hAnsi="Times New Roman" w:cs="Times New Roman"/>
                <w:sz w:val="24"/>
                <w:szCs w:val="24"/>
              </w:rPr>
            </w:pPr>
          </w:p>
        </w:tc>
        <w:tc>
          <w:tcPr>
            <w:tcW w:w="1519" w:type="dxa"/>
            <w:tcBorders>
              <w:top w:val="nil"/>
              <w:left w:val="nil"/>
              <w:bottom w:val="single" w:sz="18" w:space="0" w:color="990000"/>
              <w:right w:val="single" w:sz="1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1770" w:type="dxa"/>
            <w:tcBorders>
              <w:top w:val="nil"/>
              <w:left w:val="nil"/>
              <w:bottom w:val="single" w:sz="18" w:space="0" w:color="990000"/>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303" w:type="dxa"/>
            <w:tcBorders>
              <w:top w:val="nil"/>
              <w:left w:val="nil"/>
              <w:bottom w:val="single" w:sz="18" w:space="0" w:color="990000"/>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100.0</w:t>
            </w:r>
          </w:p>
        </w:tc>
        <w:tc>
          <w:tcPr>
            <w:tcW w:w="1694" w:type="dxa"/>
            <w:tcBorders>
              <w:top w:val="nil"/>
              <w:left w:val="nil"/>
              <w:bottom w:val="single" w:sz="18" w:space="0" w:color="990000"/>
              <w:right w:val="single" w:sz="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100.0</w:t>
            </w:r>
          </w:p>
        </w:tc>
        <w:tc>
          <w:tcPr>
            <w:tcW w:w="1808" w:type="dxa"/>
            <w:tcBorders>
              <w:top w:val="nil"/>
              <w:left w:val="nil"/>
              <w:bottom w:val="single" w:sz="18" w:space="0" w:color="990000"/>
              <w:right w:val="single" w:sz="18" w:space="0" w:color="990000"/>
            </w:tcBorders>
            <w:shd w:val="clear" w:color="auto" w:fill="FFFFFF"/>
            <w:tcMar>
              <w:top w:w="100" w:type="dxa"/>
              <w:left w:w="100" w:type="dxa"/>
              <w:bottom w:w="100" w:type="dxa"/>
              <w:right w:w="100" w:type="dxa"/>
            </w:tcMar>
          </w:tcPr>
          <w:p w:rsidR="003B0844" w:rsidRDefault="0010695E">
            <w:pPr>
              <w:spacing w:before="240" w:after="240"/>
              <w:ind w:left="140"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bl>
    <w:p w:rsidR="003B0844" w:rsidRDefault="003B0844">
      <w:pPr>
        <w:jc w:val="center"/>
        <w:rPr>
          <w:rFonts w:ascii="Times New Roman" w:eastAsia="Times New Roman" w:hAnsi="Times New Roman" w:cs="Times New Roman"/>
          <w:sz w:val="24"/>
          <w:szCs w:val="24"/>
        </w:rPr>
      </w:pPr>
    </w:p>
    <w:p w:rsidR="003B0844" w:rsidRDefault="003B0844">
      <w:pPr>
        <w:jc w:val="center"/>
        <w:rPr>
          <w:rFonts w:ascii="Times New Roman" w:eastAsia="Times New Roman" w:hAnsi="Times New Roman" w:cs="Times New Roman"/>
          <w:sz w:val="24"/>
          <w:szCs w:val="24"/>
        </w:rPr>
      </w:pPr>
    </w:p>
    <w:p w:rsidR="003B0844" w:rsidRDefault="0010695E">
      <w:pPr>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Table 3:</w:t>
      </w:r>
      <w:r>
        <w:rPr>
          <w:rFonts w:ascii="Times New Roman" w:eastAsia="Times New Roman" w:hAnsi="Times New Roman" w:cs="Times New Roman"/>
          <w:sz w:val="24"/>
          <w:szCs w:val="24"/>
        </w:rPr>
        <w:t xml:space="preserve"> Categorizing Bacterial Growth and its Categories Vs Gender</w:t>
      </w:r>
    </w:p>
    <w:tbl>
      <w:tblPr>
        <w:tblStyle w:val="a6"/>
        <w:tblW w:w="8625" w:type="dxa"/>
        <w:jc w:val="center"/>
        <w:tblInd w:w="0" w:type="dxa"/>
        <w:tblBorders>
          <w:top w:val="single" w:sz="8" w:space="0" w:color="990000"/>
          <w:left w:val="single" w:sz="8" w:space="0" w:color="990000"/>
          <w:bottom w:val="single" w:sz="8" w:space="0" w:color="990000"/>
          <w:right w:val="single" w:sz="8" w:space="0" w:color="990000"/>
          <w:insideH w:val="single" w:sz="8" w:space="0" w:color="990000"/>
          <w:insideV w:val="single" w:sz="8" w:space="0" w:color="990000"/>
        </w:tblBorders>
        <w:tblLayout w:type="fixed"/>
        <w:tblLook w:val="0600" w:firstRow="0" w:lastRow="0" w:firstColumn="0" w:lastColumn="0" w:noHBand="1" w:noVBand="1"/>
      </w:tblPr>
      <w:tblGrid>
        <w:gridCol w:w="1410"/>
        <w:gridCol w:w="1455"/>
        <w:gridCol w:w="1440"/>
        <w:gridCol w:w="1440"/>
        <w:gridCol w:w="1440"/>
        <w:gridCol w:w="1440"/>
      </w:tblGrid>
      <w:tr w:rsidR="003B0844">
        <w:trPr>
          <w:trHeight w:val="510"/>
          <w:jc w:val="center"/>
        </w:trPr>
        <w:tc>
          <w:tcPr>
            <w:tcW w:w="4305" w:type="dxa"/>
            <w:gridSpan w:val="3"/>
            <w:tcBorders>
              <w:top w:val="single" w:sz="18" w:space="0" w:color="FEFFFF"/>
              <w:left w:val="single" w:sz="18" w:space="0" w:color="FEFFFF"/>
              <w:bottom w:val="single" w:sz="18" w:space="0" w:color="FEFFFF"/>
              <w:right w:val="single" w:sz="18" w:space="0" w:color="990000"/>
            </w:tcBorders>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
        </w:tc>
        <w:tc>
          <w:tcPr>
            <w:tcW w:w="2880" w:type="dxa"/>
            <w:gridSpan w:val="2"/>
            <w:tcBorders>
              <w:top w:val="single" w:sz="18" w:space="0" w:color="990000"/>
              <w:left w:val="single" w:sz="18" w:space="0" w:color="990000"/>
              <w:bottom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Gender</w:t>
            </w:r>
          </w:p>
        </w:tc>
        <w:tc>
          <w:tcPr>
            <w:tcW w:w="1440" w:type="dxa"/>
            <w:vMerge w:val="restart"/>
            <w:tcBorders>
              <w:top w:val="single" w:sz="18" w:space="0" w:color="990000"/>
              <w:left w:val="single" w:sz="18" w:space="0" w:color="990000"/>
              <w:bottom w:val="single" w:sz="18" w:space="0" w:color="990000"/>
              <w:right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r>
      <w:tr w:rsidR="003B0844">
        <w:trPr>
          <w:trHeight w:val="440"/>
          <w:jc w:val="center"/>
        </w:trPr>
        <w:tc>
          <w:tcPr>
            <w:tcW w:w="4305" w:type="dxa"/>
            <w:gridSpan w:val="3"/>
            <w:tcBorders>
              <w:top w:val="single" w:sz="18" w:space="0" w:color="FEFFFF"/>
              <w:left w:val="single" w:sz="18" w:space="0" w:color="FEFFFF"/>
            </w:tcBorders>
            <w:shd w:val="clear" w:color="auto" w:fill="auto"/>
            <w:tcMar>
              <w:top w:w="100" w:type="dxa"/>
              <w:left w:w="100" w:type="dxa"/>
              <w:bottom w:w="100" w:type="dxa"/>
              <w:right w:w="100" w:type="dxa"/>
            </w:tcMar>
          </w:tcPr>
          <w:p w:rsidR="003B0844" w:rsidRDefault="003B0844">
            <w:pPr>
              <w:widowControl w:val="0"/>
              <w:spacing w:line="240" w:lineRule="auto"/>
              <w:jc w:val="center"/>
              <w:rPr>
                <w:rFonts w:ascii="Times New Roman" w:eastAsia="Times New Roman" w:hAnsi="Times New Roman" w:cs="Times New Roman"/>
                <w:sz w:val="24"/>
                <w:szCs w:val="24"/>
              </w:rPr>
            </w:pPr>
          </w:p>
        </w:tc>
        <w:tc>
          <w:tcPr>
            <w:tcW w:w="1440" w:type="dxa"/>
            <w:tcBorders>
              <w:top w:val="single" w:sz="18" w:space="0" w:color="990000"/>
              <w:left w:val="single" w:sz="18" w:space="0" w:color="990000"/>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Males </w:t>
            </w:r>
          </w:p>
        </w:tc>
        <w:tc>
          <w:tcPr>
            <w:tcW w:w="1440" w:type="dxa"/>
            <w:tcBorders>
              <w:top w:val="single" w:sz="18" w:space="0" w:color="990000"/>
              <w:left w:val="single" w:sz="18" w:space="0" w:color="990000"/>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Females</w:t>
            </w:r>
          </w:p>
        </w:tc>
        <w:tc>
          <w:tcPr>
            <w:tcW w:w="1440" w:type="dxa"/>
            <w:vMerge/>
            <w:tcBorders>
              <w:top w:val="single" w:sz="18" w:space="0" w:color="990000"/>
              <w:left w:val="single" w:sz="18" w:space="0" w:color="990000"/>
              <w:righ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
        </w:tc>
      </w:tr>
      <w:tr w:rsidR="003B0844">
        <w:trPr>
          <w:trHeight w:val="440"/>
          <w:jc w:val="center"/>
        </w:trPr>
        <w:tc>
          <w:tcPr>
            <w:tcW w:w="1410" w:type="dxa"/>
            <w:vMerge w:val="restart"/>
            <w:tcBorders>
              <w:top w:val="single" w:sz="18" w:space="0" w:color="990000"/>
              <w:left w:val="single" w:sz="18" w:space="0" w:color="990000"/>
              <w:right w:val="single" w:sz="18" w:space="0" w:color="990000"/>
            </w:tcBorders>
            <w:shd w:val="clear" w:color="auto" w:fill="EA9999"/>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Bacterial Growth</w:t>
            </w:r>
          </w:p>
        </w:tc>
        <w:tc>
          <w:tcPr>
            <w:tcW w:w="1455" w:type="dxa"/>
            <w:vMerge w:val="restart"/>
            <w:tcBorders>
              <w:top w:val="single" w:sz="18" w:space="0" w:color="990000"/>
              <w:left w:val="single" w:sz="18" w:space="0" w:color="990000"/>
              <w:right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Growth </w:t>
            </w:r>
          </w:p>
        </w:tc>
        <w:tc>
          <w:tcPr>
            <w:tcW w:w="1440" w:type="dxa"/>
            <w:tcBorders>
              <w:top w:val="single" w:sz="18" w:space="0" w:color="990000"/>
              <w:left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Count </w:t>
            </w:r>
          </w:p>
        </w:tc>
        <w:tc>
          <w:tcPr>
            <w:tcW w:w="1440" w:type="dxa"/>
            <w:tcBorders>
              <w:top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440" w:type="dxa"/>
            <w:tcBorders>
              <w:top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440" w:type="dxa"/>
            <w:tcBorders>
              <w:top w:val="single" w:sz="18" w:space="0" w:color="990000"/>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3B0844">
        <w:trPr>
          <w:trHeight w:val="440"/>
          <w:jc w:val="center"/>
        </w:trPr>
        <w:tc>
          <w:tcPr>
            <w:tcW w:w="1410" w:type="dxa"/>
            <w:vMerge/>
            <w:tcBorders>
              <w:left w:val="single" w:sz="18" w:space="0" w:color="990000"/>
              <w:righ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55" w:type="dxa"/>
            <w:vMerge/>
            <w:tcBorders>
              <w:left w:val="single" w:sz="18" w:space="0" w:color="990000"/>
              <w:right w:val="single" w:sz="18" w:space="0" w:color="990000"/>
            </w:tcBorders>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40" w:type="dxa"/>
            <w:tcBorders>
              <w:left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within Bacterial growth</w:t>
            </w:r>
          </w:p>
        </w:tc>
        <w:tc>
          <w:tcPr>
            <w:tcW w:w="144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81.8%</w:t>
            </w:r>
          </w:p>
        </w:tc>
        <w:tc>
          <w:tcPr>
            <w:tcW w:w="144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w:t>
            </w:r>
          </w:p>
        </w:tc>
        <w:tc>
          <w:tcPr>
            <w:tcW w:w="1440" w:type="dxa"/>
            <w:tcBorders>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3B0844">
        <w:trPr>
          <w:trHeight w:val="440"/>
          <w:jc w:val="center"/>
        </w:trPr>
        <w:tc>
          <w:tcPr>
            <w:tcW w:w="1410" w:type="dxa"/>
            <w:vMerge/>
            <w:tcBorders>
              <w:left w:val="single" w:sz="18" w:space="0" w:color="990000"/>
              <w:righ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55" w:type="dxa"/>
            <w:vMerge/>
            <w:tcBorders>
              <w:left w:val="single" w:sz="18" w:space="0" w:color="990000"/>
              <w:bottom w:val="single" w:sz="18" w:space="0" w:color="990000"/>
              <w:right w:val="single" w:sz="18" w:space="0" w:color="990000"/>
            </w:tcBorders>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40" w:type="dxa"/>
            <w:tcBorders>
              <w:left w:val="single" w:sz="18" w:space="0" w:color="990000"/>
              <w:bottom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within gender</w:t>
            </w:r>
          </w:p>
        </w:tc>
        <w:tc>
          <w:tcPr>
            <w:tcW w:w="1440" w:type="dxa"/>
            <w:tcBorders>
              <w:bottom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1440" w:type="dxa"/>
            <w:tcBorders>
              <w:bottom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16.7%</w:t>
            </w:r>
          </w:p>
        </w:tc>
        <w:tc>
          <w:tcPr>
            <w:tcW w:w="1440" w:type="dxa"/>
            <w:tcBorders>
              <w:bottom w:val="single" w:sz="18" w:space="0" w:color="990000"/>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45.8%</w:t>
            </w:r>
          </w:p>
        </w:tc>
      </w:tr>
      <w:tr w:rsidR="003B0844">
        <w:trPr>
          <w:trHeight w:val="440"/>
          <w:jc w:val="center"/>
        </w:trPr>
        <w:tc>
          <w:tcPr>
            <w:tcW w:w="1410" w:type="dxa"/>
            <w:vMerge/>
            <w:tcBorders>
              <w:left w:val="single" w:sz="18" w:space="0" w:color="990000"/>
              <w:righ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55" w:type="dxa"/>
            <w:vMerge w:val="restart"/>
            <w:tcBorders>
              <w:top w:val="single" w:sz="18" w:space="0" w:color="990000"/>
              <w:left w:val="single" w:sz="18" w:space="0" w:color="990000"/>
              <w:right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 Significant growth</w:t>
            </w:r>
          </w:p>
        </w:tc>
        <w:tc>
          <w:tcPr>
            <w:tcW w:w="1440" w:type="dxa"/>
            <w:tcBorders>
              <w:top w:val="single" w:sz="18" w:space="0" w:color="990000"/>
              <w:left w:val="single" w:sz="18" w:space="0" w:color="990000"/>
            </w:tcBorders>
            <w:shd w:val="clear" w:color="auto" w:fill="auto"/>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Count </w:t>
            </w:r>
          </w:p>
        </w:tc>
        <w:tc>
          <w:tcPr>
            <w:tcW w:w="1440" w:type="dxa"/>
            <w:tcBorders>
              <w:top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440" w:type="dxa"/>
            <w:tcBorders>
              <w:top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440" w:type="dxa"/>
            <w:tcBorders>
              <w:top w:val="single" w:sz="18" w:space="0" w:color="990000"/>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3B0844">
        <w:trPr>
          <w:trHeight w:val="440"/>
          <w:jc w:val="center"/>
        </w:trPr>
        <w:tc>
          <w:tcPr>
            <w:tcW w:w="1410" w:type="dxa"/>
            <w:vMerge/>
            <w:tcBorders>
              <w:left w:val="single" w:sz="18" w:space="0" w:color="990000"/>
              <w:righ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55" w:type="dxa"/>
            <w:vMerge/>
            <w:tcBorders>
              <w:left w:val="single" w:sz="18" w:space="0" w:color="990000"/>
              <w:right w:val="single" w:sz="18" w:space="0" w:color="990000"/>
            </w:tcBorders>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40" w:type="dxa"/>
            <w:tcBorders>
              <w:left w:val="single" w:sz="18" w:space="0" w:color="990000"/>
            </w:tcBorders>
            <w:shd w:val="clear" w:color="auto" w:fill="auto"/>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within Bacterial growth</w:t>
            </w:r>
          </w:p>
        </w:tc>
        <w:tc>
          <w:tcPr>
            <w:tcW w:w="144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27.3%</w:t>
            </w:r>
          </w:p>
        </w:tc>
        <w:tc>
          <w:tcPr>
            <w:tcW w:w="144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72.7%</w:t>
            </w:r>
          </w:p>
        </w:tc>
        <w:tc>
          <w:tcPr>
            <w:tcW w:w="1440" w:type="dxa"/>
            <w:tcBorders>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3B0844">
        <w:trPr>
          <w:trHeight w:val="440"/>
          <w:jc w:val="center"/>
        </w:trPr>
        <w:tc>
          <w:tcPr>
            <w:tcW w:w="1410" w:type="dxa"/>
            <w:vMerge/>
            <w:tcBorders>
              <w:left w:val="single" w:sz="18" w:space="0" w:color="990000"/>
              <w:righ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55" w:type="dxa"/>
            <w:vMerge/>
            <w:tcBorders>
              <w:left w:val="single" w:sz="18" w:space="0" w:color="990000"/>
              <w:bottom w:val="single" w:sz="18" w:space="0" w:color="990000"/>
              <w:right w:val="single" w:sz="18" w:space="0" w:color="990000"/>
            </w:tcBorders>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40" w:type="dxa"/>
            <w:tcBorders>
              <w:left w:val="single" w:sz="18" w:space="0" w:color="990000"/>
              <w:bottom w:val="single" w:sz="18" w:space="0" w:color="990000"/>
            </w:tcBorders>
            <w:shd w:val="clear" w:color="auto" w:fill="auto"/>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within gender</w:t>
            </w:r>
          </w:p>
        </w:tc>
        <w:tc>
          <w:tcPr>
            <w:tcW w:w="1440" w:type="dxa"/>
            <w:tcBorders>
              <w:bottom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440" w:type="dxa"/>
            <w:tcBorders>
              <w:bottom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66.7%</w:t>
            </w:r>
          </w:p>
        </w:tc>
        <w:tc>
          <w:tcPr>
            <w:tcW w:w="1440" w:type="dxa"/>
            <w:tcBorders>
              <w:bottom w:val="single" w:sz="18" w:space="0" w:color="990000"/>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45.8%</w:t>
            </w:r>
          </w:p>
        </w:tc>
      </w:tr>
      <w:tr w:rsidR="003B0844">
        <w:trPr>
          <w:trHeight w:val="440"/>
          <w:jc w:val="center"/>
        </w:trPr>
        <w:tc>
          <w:tcPr>
            <w:tcW w:w="1410" w:type="dxa"/>
            <w:vMerge/>
            <w:tcBorders>
              <w:left w:val="single" w:sz="18" w:space="0" w:color="990000"/>
              <w:righ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55" w:type="dxa"/>
            <w:vMerge w:val="restart"/>
            <w:tcBorders>
              <w:top w:val="single" w:sz="18" w:space="0" w:color="990000"/>
              <w:left w:val="single" w:sz="18" w:space="0" w:color="990000"/>
              <w:right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Significant Growth</w:t>
            </w:r>
          </w:p>
        </w:tc>
        <w:tc>
          <w:tcPr>
            <w:tcW w:w="1440" w:type="dxa"/>
            <w:tcBorders>
              <w:top w:val="single" w:sz="18" w:space="0" w:color="990000"/>
              <w:left w:val="single" w:sz="18" w:space="0" w:color="990000"/>
            </w:tcBorders>
            <w:shd w:val="clear" w:color="auto" w:fill="auto"/>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Count </w:t>
            </w:r>
          </w:p>
        </w:tc>
        <w:tc>
          <w:tcPr>
            <w:tcW w:w="1440" w:type="dxa"/>
            <w:tcBorders>
              <w:top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440" w:type="dxa"/>
            <w:tcBorders>
              <w:top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440" w:type="dxa"/>
            <w:tcBorders>
              <w:top w:val="single" w:sz="18" w:space="0" w:color="990000"/>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3B0844">
        <w:trPr>
          <w:trHeight w:val="440"/>
          <w:jc w:val="center"/>
        </w:trPr>
        <w:tc>
          <w:tcPr>
            <w:tcW w:w="1410" w:type="dxa"/>
            <w:vMerge/>
            <w:tcBorders>
              <w:left w:val="single" w:sz="18" w:space="0" w:color="990000"/>
              <w:righ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55" w:type="dxa"/>
            <w:vMerge/>
            <w:tcBorders>
              <w:left w:val="single" w:sz="18" w:space="0" w:color="990000"/>
              <w:right w:val="single" w:sz="18" w:space="0" w:color="990000"/>
            </w:tcBorders>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40" w:type="dxa"/>
            <w:tcBorders>
              <w:left w:val="single" w:sz="18" w:space="0" w:color="990000"/>
            </w:tcBorders>
            <w:shd w:val="clear" w:color="auto" w:fill="auto"/>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within Bacterial growth</w:t>
            </w:r>
          </w:p>
        </w:tc>
        <w:tc>
          <w:tcPr>
            <w:tcW w:w="144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44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1440" w:type="dxa"/>
            <w:tcBorders>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3B0844">
        <w:trPr>
          <w:trHeight w:val="440"/>
          <w:jc w:val="center"/>
        </w:trPr>
        <w:tc>
          <w:tcPr>
            <w:tcW w:w="1410" w:type="dxa"/>
            <w:vMerge/>
            <w:tcBorders>
              <w:left w:val="single" w:sz="18" w:space="0" w:color="990000"/>
              <w:bottom w:val="single" w:sz="18" w:space="0" w:color="990000"/>
              <w:righ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55" w:type="dxa"/>
            <w:vMerge/>
            <w:tcBorders>
              <w:left w:val="single" w:sz="18" w:space="0" w:color="990000"/>
              <w:bottom w:val="single" w:sz="18" w:space="0" w:color="990000"/>
              <w:right w:val="single" w:sz="18" w:space="0" w:color="990000"/>
            </w:tcBorders>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40" w:type="dxa"/>
            <w:tcBorders>
              <w:left w:val="single" w:sz="18" w:space="0" w:color="990000"/>
              <w:bottom w:val="single" w:sz="18" w:space="0" w:color="990000"/>
            </w:tcBorders>
            <w:shd w:val="clear" w:color="auto" w:fill="auto"/>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within gender</w:t>
            </w:r>
          </w:p>
        </w:tc>
        <w:tc>
          <w:tcPr>
            <w:tcW w:w="1440" w:type="dxa"/>
            <w:tcBorders>
              <w:bottom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440" w:type="dxa"/>
            <w:tcBorders>
              <w:bottom w:val="single" w:sz="18" w:space="0" w:color="990000"/>
            </w:tcBorders>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16.7%</w:t>
            </w:r>
          </w:p>
        </w:tc>
        <w:tc>
          <w:tcPr>
            <w:tcW w:w="1440" w:type="dxa"/>
            <w:tcBorders>
              <w:bottom w:val="single" w:sz="18" w:space="0" w:color="990000"/>
              <w:right w:val="single" w:sz="18" w:space="0" w:color="990000"/>
            </w:tcBorders>
            <w:shd w:val="clear" w:color="auto" w:fill="F4CCCC"/>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8.3%</w:t>
            </w:r>
          </w:p>
        </w:tc>
      </w:tr>
      <w:tr w:rsidR="003B0844">
        <w:trPr>
          <w:trHeight w:val="440"/>
          <w:jc w:val="center"/>
        </w:trPr>
        <w:tc>
          <w:tcPr>
            <w:tcW w:w="2865" w:type="dxa"/>
            <w:gridSpan w:val="2"/>
            <w:vMerge w:val="restart"/>
            <w:tcBorders>
              <w:top w:val="single" w:sz="18" w:space="0" w:color="990000"/>
              <w:left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1440" w:type="dxa"/>
            <w:tcBorders>
              <w:top w:val="single" w:sz="18" w:space="0" w:color="990000"/>
              <w:left w:val="single" w:sz="18" w:space="0" w:color="990000"/>
            </w:tcBorders>
            <w:shd w:val="clear" w:color="auto" w:fill="EA9999"/>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Count </w:t>
            </w:r>
          </w:p>
        </w:tc>
        <w:tc>
          <w:tcPr>
            <w:tcW w:w="1440" w:type="dxa"/>
            <w:tcBorders>
              <w:top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440" w:type="dxa"/>
            <w:tcBorders>
              <w:top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440" w:type="dxa"/>
            <w:tcBorders>
              <w:top w:val="single" w:sz="18" w:space="0" w:color="990000"/>
              <w:right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r>
      <w:tr w:rsidR="003B0844">
        <w:trPr>
          <w:trHeight w:val="440"/>
          <w:jc w:val="center"/>
        </w:trPr>
        <w:tc>
          <w:tcPr>
            <w:tcW w:w="2865" w:type="dxa"/>
            <w:gridSpan w:val="2"/>
            <w:vMerge/>
            <w:tcBorders>
              <w:left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40" w:type="dxa"/>
            <w:tcBorders>
              <w:left w:val="single" w:sz="18" w:space="0" w:color="990000"/>
            </w:tcBorders>
            <w:shd w:val="clear" w:color="auto" w:fill="EA9999"/>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within Bacterial growth</w:t>
            </w:r>
          </w:p>
        </w:tc>
        <w:tc>
          <w:tcPr>
            <w:tcW w:w="1440" w:type="dxa"/>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1440" w:type="dxa"/>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1440" w:type="dxa"/>
            <w:tcBorders>
              <w:right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3B0844">
        <w:trPr>
          <w:trHeight w:val="440"/>
          <w:jc w:val="center"/>
        </w:trPr>
        <w:tc>
          <w:tcPr>
            <w:tcW w:w="2865" w:type="dxa"/>
            <w:gridSpan w:val="2"/>
            <w:vMerge/>
            <w:tcBorders>
              <w:left w:val="single" w:sz="18" w:space="0" w:color="990000"/>
              <w:bottom w:val="single" w:sz="18" w:space="0" w:color="990000"/>
            </w:tcBorders>
            <w:shd w:val="clear" w:color="auto" w:fill="EA9999"/>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440" w:type="dxa"/>
            <w:tcBorders>
              <w:left w:val="single" w:sz="18" w:space="0" w:color="990000"/>
              <w:bottom w:val="single" w:sz="18" w:space="0" w:color="990000"/>
            </w:tcBorders>
            <w:shd w:val="clear" w:color="auto" w:fill="EA9999"/>
            <w:tcMar>
              <w:top w:w="100" w:type="dxa"/>
              <w:left w:w="100" w:type="dxa"/>
              <w:bottom w:w="100" w:type="dxa"/>
              <w:right w:w="100" w:type="dxa"/>
            </w:tcMar>
          </w:tcPr>
          <w:p w:rsidR="003B0844" w:rsidRDefault="0010695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within gender</w:t>
            </w:r>
          </w:p>
        </w:tc>
        <w:tc>
          <w:tcPr>
            <w:tcW w:w="1440" w:type="dxa"/>
            <w:tcBorders>
              <w:bottom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1440" w:type="dxa"/>
            <w:tcBorders>
              <w:bottom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1440" w:type="dxa"/>
            <w:tcBorders>
              <w:bottom w:val="single" w:sz="18" w:space="0" w:color="990000"/>
              <w:right w:val="single" w:sz="18" w:space="0" w:color="990000"/>
            </w:tcBorders>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rsidR="003B0844" w:rsidRDefault="003B0844" w:rsidP="00F07361">
      <w:pPr>
        <w:rPr>
          <w:rFonts w:ascii="Times New Roman" w:eastAsia="Times New Roman" w:hAnsi="Times New Roman" w:cs="Times New Roman"/>
          <w:i/>
          <w:sz w:val="24"/>
          <w:szCs w:val="24"/>
        </w:rPr>
      </w:pPr>
    </w:p>
    <w:p w:rsidR="00884026" w:rsidRDefault="00884026">
      <w:pPr>
        <w:jc w:val="center"/>
        <w:rPr>
          <w:rFonts w:ascii="Times New Roman" w:eastAsia="Times New Roman" w:hAnsi="Times New Roman" w:cs="Times New Roman"/>
          <w:i/>
          <w:sz w:val="24"/>
          <w:szCs w:val="24"/>
        </w:rPr>
      </w:pPr>
    </w:p>
    <w:p w:rsidR="00884026" w:rsidRDefault="00884026">
      <w:pPr>
        <w:jc w:val="center"/>
        <w:rPr>
          <w:rFonts w:ascii="Times New Roman" w:eastAsia="Times New Roman" w:hAnsi="Times New Roman" w:cs="Times New Roman"/>
          <w:i/>
          <w:sz w:val="24"/>
          <w:szCs w:val="24"/>
        </w:rPr>
      </w:pPr>
    </w:p>
    <w:p w:rsidR="003B0844" w:rsidRDefault="0010695E">
      <w:pPr>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Figure 1:</w:t>
      </w:r>
      <w:r w:rsidR="00F073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Bar Graph Illustrating Bacterial Growth </w:t>
      </w:r>
      <w:proofErr w:type="gramStart"/>
      <w:r>
        <w:rPr>
          <w:rFonts w:ascii="Times New Roman" w:eastAsia="Times New Roman" w:hAnsi="Times New Roman" w:cs="Times New Roman"/>
          <w:sz w:val="24"/>
          <w:szCs w:val="24"/>
        </w:rPr>
        <w:t>By</w:t>
      </w:r>
      <w:proofErr w:type="gramEnd"/>
      <w:r>
        <w:rPr>
          <w:rFonts w:ascii="Times New Roman" w:eastAsia="Times New Roman" w:hAnsi="Times New Roman" w:cs="Times New Roman"/>
          <w:sz w:val="24"/>
          <w:szCs w:val="24"/>
        </w:rPr>
        <w:t xml:space="preserve"> Gender</w:t>
      </w:r>
    </w:p>
    <w:p w:rsidR="00F07361" w:rsidRDefault="00F07361">
      <w:pPr>
        <w:jc w:val="center"/>
        <w:rPr>
          <w:rFonts w:ascii="Times New Roman" w:eastAsia="Times New Roman" w:hAnsi="Times New Roman" w:cs="Times New Roman"/>
          <w:sz w:val="24"/>
          <w:szCs w:val="24"/>
        </w:rPr>
      </w:pPr>
      <w:r w:rsidRPr="007F333C">
        <w:rPr>
          <w:noProof/>
          <w:lang w:val="en-GB"/>
        </w:rPr>
        <w:drawing>
          <wp:inline distT="0" distB="0" distL="0" distR="0" wp14:anchorId="2EBA8234" wp14:editId="4421CE3F">
            <wp:extent cx="6423515" cy="5734050"/>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41910" cy="5750471"/>
                    </a:xfrm>
                    <a:prstGeom prst="rect">
                      <a:avLst/>
                    </a:prstGeom>
                    <a:noFill/>
                    <a:ln>
                      <a:noFill/>
                    </a:ln>
                  </pic:spPr>
                </pic:pic>
              </a:graphicData>
            </a:graphic>
          </wp:inline>
        </w:drawing>
      </w:r>
    </w:p>
    <w:p w:rsidR="00884026" w:rsidRDefault="00884026" w:rsidP="00884026">
      <w:pPr>
        <w:rPr>
          <w:rFonts w:ascii="Times New Roman" w:eastAsia="Times New Roman" w:hAnsi="Times New Roman" w:cs="Times New Roman"/>
          <w:sz w:val="24"/>
          <w:szCs w:val="24"/>
        </w:rPr>
      </w:pPr>
    </w:p>
    <w:p w:rsidR="00884026" w:rsidRDefault="00884026">
      <w:pPr>
        <w:jc w:val="center"/>
        <w:rPr>
          <w:rFonts w:ascii="Times New Roman" w:eastAsia="Times New Roman" w:hAnsi="Times New Roman" w:cs="Times New Roman"/>
          <w:i/>
          <w:iCs/>
          <w:sz w:val="24"/>
          <w:szCs w:val="24"/>
        </w:rPr>
      </w:pPr>
    </w:p>
    <w:p w:rsidR="00884026" w:rsidRDefault="00884026">
      <w:pPr>
        <w:jc w:val="center"/>
        <w:rPr>
          <w:rFonts w:ascii="Times New Roman" w:eastAsia="Times New Roman" w:hAnsi="Times New Roman" w:cs="Times New Roman"/>
          <w:i/>
          <w:iCs/>
          <w:sz w:val="24"/>
          <w:szCs w:val="24"/>
        </w:rPr>
      </w:pPr>
    </w:p>
    <w:p w:rsidR="00884026" w:rsidRDefault="00884026">
      <w:pPr>
        <w:jc w:val="center"/>
        <w:rPr>
          <w:rFonts w:ascii="Times New Roman" w:eastAsia="Times New Roman" w:hAnsi="Times New Roman" w:cs="Times New Roman"/>
          <w:i/>
          <w:iCs/>
          <w:sz w:val="24"/>
          <w:szCs w:val="24"/>
        </w:rPr>
      </w:pPr>
    </w:p>
    <w:p w:rsidR="00884026" w:rsidRDefault="00884026">
      <w:pPr>
        <w:jc w:val="center"/>
        <w:rPr>
          <w:rFonts w:ascii="Times New Roman" w:eastAsia="Times New Roman" w:hAnsi="Times New Roman" w:cs="Times New Roman"/>
          <w:i/>
          <w:iCs/>
          <w:sz w:val="24"/>
          <w:szCs w:val="24"/>
        </w:rPr>
      </w:pPr>
    </w:p>
    <w:p w:rsidR="00884026" w:rsidRDefault="00884026">
      <w:pPr>
        <w:jc w:val="center"/>
        <w:rPr>
          <w:rFonts w:ascii="Times New Roman" w:eastAsia="Times New Roman" w:hAnsi="Times New Roman" w:cs="Times New Roman"/>
          <w:i/>
          <w:iCs/>
          <w:sz w:val="24"/>
          <w:szCs w:val="24"/>
        </w:rPr>
      </w:pPr>
    </w:p>
    <w:p w:rsidR="00884026" w:rsidRDefault="00884026">
      <w:pPr>
        <w:jc w:val="center"/>
        <w:rPr>
          <w:rFonts w:ascii="Times New Roman" w:eastAsia="Times New Roman" w:hAnsi="Times New Roman" w:cs="Times New Roman"/>
          <w:i/>
          <w:iCs/>
          <w:sz w:val="24"/>
          <w:szCs w:val="24"/>
        </w:rPr>
      </w:pPr>
    </w:p>
    <w:p w:rsidR="00884026" w:rsidRDefault="00884026">
      <w:pPr>
        <w:jc w:val="center"/>
        <w:rPr>
          <w:rFonts w:ascii="Times New Roman" w:eastAsia="Times New Roman" w:hAnsi="Times New Roman" w:cs="Times New Roman"/>
          <w:i/>
          <w:iCs/>
          <w:sz w:val="24"/>
          <w:szCs w:val="24"/>
        </w:rPr>
      </w:pPr>
    </w:p>
    <w:p w:rsidR="00884026" w:rsidRDefault="00884026">
      <w:pPr>
        <w:jc w:val="center"/>
        <w:rPr>
          <w:rFonts w:ascii="Times New Roman" w:eastAsia="Times New Roman" w:hAnsi="Times New Roman" w:cs="Times New Roman"/>
          <w:i/>
          <w:iCs/>
          <w:sz w:val="24"/>
          <w:szCs w:val="24"/>
        </w:rPr>
      </w:pPr>
    </w:p>
    <w:p w:rsidR="00884026" w:rsidRDefault="00884026">
      <w:pPr>
        <w:jc w:val="center"/>
        <w:rPr>
          <w:rFonts w:ascii="Times New Roman" w:eastAsia="Times New Roman" w:hAnsi="Times New Roman" w:cs="Times New Roman"/>
          <w:i/>
          <w:iCs/>
          <w:sz w:val="24"/>
          <w:szCs w:val="24"/>
        </w:rPr>
      </w:pPr>
    </w:p>
    <w:p w:rsidR="00F07361" w:rsidRDefault="00F07361">
      <w:pPr>
        <w:jc w:val="center"/>
        <w:rPr>
          <w:rFonts w:ascii="Times New Roman" w:eastAsia="Times New Roman" w:hAnsi="Times New Roman" w:cs="Times New Roman"/>
          <w:sz w:val="24"/>
          <w:szCs w:val="24"/>
        </w:rPr>
      </w:pPr>
      <w:r w:rsidRPr="00884026">
        <w:rPr>
          <w:rFonts w:ascii="Times New Roman" w:eastAsia="Times New Roman" w:hAnsi="Times New Roman" w:cs="Times New Roman"/>
          <w:i/>
          <w:iCs/>
          <w:sz w:val="24"/>
          <w:szCs w:val="24"/>
        </w:rPr>
        <w:lastRenderedPageBreak/>
        <w:t>Figure 2:</w:t>
      </w:r>
      <w:r>
        <w:rPr>
          <w:rFonts w:ascii="Times New Roman" w:eastAsia="Times New Roman" w:hAnsi="Times New Roman" w:cs="Times New Roman"/>
          <w:sz w:val="24"/>
          <w:szCs w:val="24"/>
        </w:rPr>
        <w:t xml:space="preserve"> Bar Graph Categorizing Bacterial Growth </w:t>
      </w:r>
      <w:proofErr w:type="gramStart"/>
      <w:r>
        <w:rPr>
          <w:rFonts w:ascii="Times New Roman" w:eastAsia="Times New Roman" w:hAnsi="Times New Roman" w:cs="Times New Roman"/>
          <w:sz w:val="24"/>
          <w:szCs w:val="24"/>
        </w:rPr>
        <w:t>Into</w:t>
      </w:r>
      <w:proofErr w:type="gramEnd"/>
      <w:r>
        <w:rPr>
          <w:rFonts w:ascii="Times New Roman" w:eastAsia="Times New Roman" w:hAnsi="Times New Roman" w:cs="Times New Roman"/>
          <w:sz w:val="24"/>
          <w:szCs w:val="24"/>
        </w:rPr>
        <w:t xml:space="preserve"> Growth, No Growth and Significant Growth Vs Gender</w:t>
      </w:r>
    </w:p>
    <w:p w:rsidR="00F07361" w:rsidRDefault="00F07361">
      <w:pPr>
        <w:jc w:val="center"/>
        <w:rPr>
          <w:rFonts w:ascii="Times New Roman" w:eastAsia="Times New Roman" w:hAnsi="Times New Roman" w:cs="Times New Roman"/>
          <w:sz w:val="24"/>
          <w:szCs w:val="24"/>
        </w:rPr>
      </w:pPr>
      <w:r w:rsidRPr="00587908">
        <w:rPr>
          <w:noProof/>
          <w:lang w:val="en-GB"/>
        </w:rPr>
        <w:drawing>
          <wp:inline distT="0" distB="0" distL="0" distR="0" wp14:anchorId="5FF21A0E" wp14:editId="65DE7CC0">
            <wp:extent cx="5693083" cy="4552838"/>
            <wp:effectExtent l="0" t="0" r="3175" b="635"/>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48844" cy="4597431"/>
                    </a:xfrm>
                    <a:prstGeom prst="rect">
                      <a:avLst/>
                    </a:prstGeom>
                    <a:noFill/>
                    <a:ln>
                      <a:noFill/>
                    </a:ln>
                  </pic:spPr>
                </pic:pic>
              </a:graphicData>
            </a:graphic>
          </wp:inline>
        </w:drawing>
      </w:r>
    </w:p>
    <w:p w:rsidR="003B0844" w:rsidRDefault="0010695E">
      <w:pPr>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t>Table 4:</w:t>
      </w:r>
      <w:r>
        <w:rPr>
          <w:rFonts w:ascii="Times New Roman" w:eastAsia="Times New Roman" w:hAnsi="Times New Roman" w:cs="Times New Roman"/>
          <w:sz w:val="24"/>
          <w:szCs w:val="24"/>
        </w:rPr>
        <w:t xml:space="preserve"> Results of the Fisher’s Exact Test</w:t>
      </w:r>
      <w:r>
        <w:rPr>
          <w:noProof/>
          <w:lang w:val="en-GB"/>
        </w:rPr>
        <w:drawing>
          <wp:anchor distT="114300" distB="114300" distL="114300" distR="114300" simplePos="0" relativeHeight="251660288" behindDoc="0" locked="0" layoutInCell="1" hidden="0" allowOverlap="1" wp14:anchorId="2364C0A5" wp14:editId="6B3F4D2F">
            <wp:simplePos x="0" y="0"/>
            <wp:positionH relativeFrom="column">
              <wp:posOffset>-1133474</wp:posOffset>
            </wp:positionH>
            <wp:positionV relativeFrom="paragraph">
              <wp:posOffset>298289</wp:posOffset>
            </wp:positionV>
            <wp:extent cx="7343851" cy="2394031"/>
            <wp:effectExtent l="0" t="0" r="0" b="0"/>
            <wp:wrapSquare wrapText="bothSides" distT="114300" distB="114300" distL="114300" distR="11430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7343851" cy="2394031"/>
                    </a:xfrm>
                    <a:prstGeom prst="rect">
                      <a:avLst/>
                    </a:prstGeom>
                    <a:ln/>
                  </pic:spPr>
                </pic:pic>
              </a:graphicData>
            </a:graphic>
          </wp:anchor>
        </w:drawing>
      </w:r>
    </w:p>
    <w:p w:rsidR="003B0844" w:rsidRDefault="003B0844">
      <w:pPr>
        <w:jc w:val="center"/>
        <w:rPr>
          <w:rFonts w:ascii="Times New Roman" w:eastAsia="Times New Roman" w:hAnsi="Times New Roman" w:cs="Times New Roman"/>
          <w:sz w:val="24"/>
          <w:szCs w:val="24"/>
        </w:rPr>
      </w:pPr>
    </w:p>
    <w:p w:rsidR="00F07361" w:rsidRDefault="00F07361" w:rsidP="00884026">
      <w:pPr>
        <w:rPr>
          <w:rFonts w:ascii="Times New Roman" w:eastAsia="Times New Roman" w:hAnsi="Times New Roman" w:cs="Times New Roman"/>
          <w:sz w:val="24"/>
          <w:szCs w:val="24"/>
        </w:rPr>
      </w:pPr>
    </w:p>
    <w:p w:rsidR="003B0844" w:rsidRDefault="0010695E">
      <w:pPr>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Table 5:</w:t>
      </w:r>
      <w:r>
        <w:rPr>
          <w:rFonts w:ascii="Times New Roman" w:eastAsia="Times New Roman" w:hAnsi="Times New Roman" w:cs="Times New Roman"/>
          <w:sz w:val="24"/>
          <w:szCs w:val="24"/>
        </w:rPr>
        <w:t xml:space="preserve"> Summary Table </w:t>
      </w:r>
    </w:p>
    <w:p w:rsidR="003B0844" w:rsidRDefault="003B0844">
      <w:pPr>
        <w:jc w:val="center"/>
        <w:rPr>
          <w:rFonts w:ascii="Times New Roman" w:eastAsia="Times New Roman" w:hAnsi="Times New Roman" w:cs="Times New Roman"/>
          <w:sz w:val="24"/>
          <w:szCs w:val="24"/>
        </w:rPr>
      </w:pPr>
    </w:p>
    <w:tbl>
      <w:tblPr>
        <w:tblStyle w:val="a7"/>
        <w:tblW w:w="10425" w:type="dxa"/>
        <w:jc w:val="center"/>
        <w:tblInd w:w="0" w:type="dxa"/>
        <w:tblBorders>
          <w:top w:val="single" w:sz="18" w:space="0" w:color="990000"/>
          <w:left w:val="single" w:sz="18" w:space="0" w:color="990000"/>
          <w:bottom w:val="single" w:sz="18" w:space="0" w:color="990000"/>
          <w:right w:val="single" w:sz="18" w:space="0" w:color="990000"/>
          <w:insideH w:val="single" w:sz="18" w:space="0" w:color="990000"/>
          <w:insideV w:val="single" w:sz="18" w:space="0" w:color="990000"/>
        </w:tblBorders>
        <w:tblLayout w:type="fixed"/>
        <w:tblLook w:val="0600" w:firstRow="0" w:lastRow="0" w:firstColumn="0" w:lastColumn="0" w:noHBand="1" w:noVBand="1"/>
      </w:tblPr>
      <w:tblGrid>
        <w:gridCol w:w="1935"/>
        <w:gridCol w:w="1290"/>
        <w:gridCol w:w="1215"/>
        <w:gridCol w:w="1215"/>
        <w:gridCol w:w="1200"/>
        <w:gridCol w:w="1200"/>
        <w:gridCol w:w="1200"/>
        <w:gridCol w:w="1170"/>
      </w:tblGrid>
      <w:tr w:rsidR="003B0844">
        <w:trPr>
          <w:trHeight w:val="1496"/>
          <w:jc w:val="center"/>
        </w:trPr>
        <w:tc>
          <w:tcPr>
            <w:tcW w:w="1935" w:type="dxa"/>
            <w:tcBorders>
              <w:top w:val="single" w:sz="18" w:space="0" w:color="FEFFFF"/>
              <w:left w:val="single" w:sz="18" w:space="0" w:color="FEFFFF"/>
              <w:bottom w:val="single" w:sz="18" w:space="0" w:color="FEFFFF"/>
            </w:tcBorders>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505" w:type="dxa"/>
            <w:gridSpan w:val="2"/>
            <w:shd w:val="clear" w:color="auto" w:fill="E06666"/>
            <w:tcMar>
              <w:top w:w="100" w:type="dxa"/>
              <w:left w:w="100" w:type="dxa"/>
              <w:bottom w:w="100" w:type="dxa"/>
              <w:right w:w="100" w:type="dxa"/>
            </w:tcMar>
          </w:tcPr>
          <w:p w:rsidR="003B0844" w:rsidRDefault="003B0844">
            <w:pPr>
              <w:widowControl w:val="0"/>
              <w:spacing w:line="240" w:lineRule="auto"/>
              <w:rPr>
                <w:rFonts w:ascii="Times New Roman" w:eastAsia="Times New Roman" w:hAnsi="Times New Roman" w:cs="Times New Roman"/>
                <w:b/>
                <w:sz w:val="24"/>
                <w:szCs w:val="24"/>
              </w:rPr>
            </w:pPr>
          </w:p>
          <w:p w:rsidR="003B0844" w:rsidRDefault="0010695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No Growth </w:t>
            </w:r>
          </w:p>
        </w:tc>
        <w:tc>
          <w:tcPr>
            <w:tcW w:w="2415" w:type="dxa"/>
            <w:gridSpan w:val="2"/>
            <w:shd w:val="clear" w:color="auto" w:fill="E06666"/>
            <w:tcMar>
              <w:top w:w="100" w:type="dxa"/>
              <w:left w:w="100" w:type="dxa"/>
              <w:bottom w:w="100" w:type="dxa"/>
              <w:right w:w="100" w:type="dxa"/>
            </w:tcMar>
          </w:tcPr>
          <w:p w:rsidR="003B0844" w:rsidRDefault="003B0844">
            <w:pPr>
              <w:widowControl w:val="0"/>
              <w:spacing w:line="240" w:lineRule="auto"/>
              <w:rPr>
                <w:rFonts w:ascii="Times New Roman" w:eastAsia="Times New Roman" w:hAnsi="Times New Roman" w:cs="Times New Roman"/>
                <w:b/>
                <w:sz w:val="24"/>
                <w:szCs w:val="24"/>
              </w:rPr>
            </w:pPr>
          </w:p>
          <w:p w:rsidR="003B0844" w:rsidRDefault="0010695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No Significant Growth </w:t>
            </w:r>
          </w:p>
        </w:tc>
        <w:tc>
          <w:tcPr>
            <w:tcW w:w="2400" w:type="dxa"/>
            <w:gridSpan w:val="2"/>
            <w:shd w:val="clear" w:color="auto" w:fill="E06666"/>
            <w:tcMar>
              <w:top w:w="100" w:type="dxa"/>
              <w:left w:w="100" w:type="dxa"/>
              <w:bottom w:w="100" w:type="dxa"/>
              <w:right w:w="100" w:type="dxa"/>
            </w:tcMar>
          </w:tcPr>
          <w:p w:rsidR="003B0844" w:rsidRDefault="003B0844">
            <w:pPr>
              <w:widowControl w:val="0"/>
              <w:spacing w:line="240" w:lineRule="auto"/>
              <w:rPr>
                <w:rFonts w:ascii="Times New Roman" w:eastAsia="Times New Roman" w:hAnsi="Times New Roman" w:cs="Times New Roman"/>
                <w:b/>
                <w:sz w:val="24"/>
                <w:szCs w:val="24"/>
              </w:rPr>
            </w:pPr>
          </w:p>
          <w:p w:rsidR="003B0844" w:rsidRDefault="0010695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Significant Growth</w:t>
            </w:r>
          </w:p>
        </w:tc>
        <w:tc>
          <w:tcPr>
            <w:tcW w:w="1170" w:type="dxa"/>
            <w:shd w:val="clear" w:color="auto" w:fill="E06666"/>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P-value</w:t>
            </w:r>
          </w:p>
        </w:tc>
      </w:tr>
      <w:tr w:rsidR="003B0844">
        <w:trPr>
          <w:trHeight w:val="701"/>
          <w:jc w:val="center"/>
        </w:trPr>
        <w:tc>
          <w:tcPr>
            <w:tcW w:w="1935" w:type="dxa"/>
            <w:tcBorders>
              <w:top w:val="single" w:sz="18" w:space="0" w:color="FEFFFF"/>
              <w:left w:val="single" w:sz="18" w:space="0" w:color="FEFFFF"/>
            </w:tcBorders>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p>
        </w:tc>
        <w:tc>
          <w:tcPr>
            <w:tcW w:w="1290" w:type="dxa"/>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Count </w:t>
            </w:r>
          </w:p>
        </w:tc>
        <w:tc>
          <w:tcPr>
            <w:tcW w:w="1215" w:type="dxa"/>
            <w:shd w:val="clear" w:color="auto" w:fill="EA9999"/>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w:t>
            </w:r>
          </w:p>
        </w:tc>
        <w:tc>
          <w:tcPr>
            <w:tcW w:w="1215" w:type="dxa"/>
            <w:shd w:val="clear" w:color="auto" w:fill="EA9999"/>
            <w:tcMar>
              <w:top w:w="100" w:type="dxa"/>
              <w:left w:w="100" w:type="dxa"/>
              <w:bottom w:w="100" w:type="dxa"/>
              <w:right w:w="100" w:type="dxa"/>
            </w:tcMar>
          </w:tcPr>
          <w:p w:rsidR="003B0844" w:rsidRDefault="0010695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Count </w:t>
            </w:r>
          </w:p>
        </w:tc>
        <w:tc>
          <w:tcPr>
            <w:tcW w:w="1200" w:type="dxa"/>
            <w:shd w:val="clear" w:color="auto" w:fill="EA9999"/>
            <w:tcMar>
              <w:top w:w="100" w:type="dxa"/>
              <w:left w:w="100" w:type="dxa"/>
              <w:bottom w:w="100" w:type="dxa"/>
              <w:right w:w="100" w:type="dxa"/>
            </w:tcMar>
          </w:tcPr>
          <w:p w:rsidR="003B0844" w:rsidRDefault="0010695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w:t>
            </w:r>
          </w:p>
        </w:tc>
        <w:tc>
          <w:tcPr>
            <w:tcW w:w="1200" w:type="dxa"/>
            <w:shd w:val="clear" w:color="auto" w:fill="EA9999"/>
            <w:tcMar>
              <w:top w:w="100" w:type="dxa"/>
              <w:left w:w="100" w:type="dxa"/>
              <w:bottom w:w="100" w:type="dxa"/>
              <w:right w:w="100" w:type="dxa"/>
            </w:tcMar>
          </w:tcPr>
          <w:p w:rsidR="003B0844" w:rsidRDefault="0010695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Count </w:t>
            </w:r>
          </w:p>
        </w:tc>
        <w:tc>
          <w:tcPr>
            <w:tcW w:w="1200" w:type="dxa"/>
            <w:shd w:val="clear" w:color="auto" w:fill="EA9999"/>
            <w:tcMar>
              <w:top w:w="100" w:type="dxa"/>
              <w:left w:w="100" w:type="dxa"/>
              <w:bottom w:w="100" w:type="dxa"/>
              <w:right w:w="100" w:type="dxa"/>
            </w:tcMar>
          </w:tcPr>
          <w:p w:rsidR="003B0844" w:rsidRDefault="0010695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w:t>
            </w:r>
          </w:p>
        </w:tc>
        <w:tc>
          <w:tcPr>
            <w:tcW w:w="1170" w:type="dxa"/>
            <w:vMerge w:val="restart"/>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0.020</w:t>
            </w:r>
            <w:r>
              <w:rPr>
                <w:rFonts w:ascii="Times New Roman" w:eastAsia="Times New Roman" w:hAnsi="Times New Roman" w:cs="Times New Roman"/>
                <w:sz w:val="24"/>
                <w:szCs w:val="24"/>
                <w:vertAlign w:val="superscript"/>
              </w:rPr>
              <w:t>b</w:t>
            </w:r>
          </w:p>
        </w:tc>
      </w:tr>
      <w:tr w:rsidR="003B0844">
        <w:trPr>
          <w:trHeight w:val="701"/>
          <w:jc w:val="center"/>
        </w:trPr>
        <w:tc>
          <w:tcPr>
            <w:tcW w:w="1935" w:type="dxa"/>
            <w:shd w:val="clear" w:color="auto" w:fill="E06666"/>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Females</w:t>
            </w:r>
          </w:p>
        </w:tc>
        <w:tc>
          <w:tcPr>
            <w:tcW w:w="129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15"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16.7%</w:t>
            </w:r>
          </w:p>
        </w:tc>
        <w:tc>
          <w:tcPr>
            <w:tcW w:w="1215"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20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66.7%</w:t>
            </w:r>
          </w:p>
        </w:tc>
        <w:tc>
          <w:tcPr>
            <w:tcW w:w="120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0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16.7%</w:t>
            </w:r>
          </w:p>
        </w:tc>
        <w:tc>
          <w:tcPr>
            <w:tcW w:w="1170" w:type="dxa"/>
            <w:vMerge/>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3B0844">
        <w:trPr>
          <w:trHeight w:val="701"/>
          <w:jc w:val="center"/>
        </w:trPr>
        <w:tc>
          <w:tcPr>
            <w:tcW w:w="1935" w:type="dxa"/>
            <w:shd w:val="clear" w:color="auto" w:fill="E06666"/>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Males</w:t>
            </w:r>
          </w:p>
        </w:tc>
        <w:tc>
          <w:tcPr>
            <w:tcW w:w="129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215"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1215"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0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20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200" w:type="dxa"/>
            <w:shd w:val="clear" w:color="auto" w:fill="auto"/>
            <w:tcMar>
              <w:top w:w="100" w:type="dxa"/>
              <w:left w:w="100" w:type="dxa"/>
              <w:bottom w:w="100" w:type="dxa"/>
              <w:right w:w="100" w:type="dxa"/>
            </w:tcMar>
          </w:tcPr>
          <w:p w:rsidR="003B0844" w:rsidRDefault="0010695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170" w:type="dxa"/>
            <w:vMerge/>
            <w:shd w:val="clear" w:color="auto" w:fill="auto"/>
            <w:tcMar>
              <w:top w:w="100" w:type="dxa"/>
              <w:left w:w="100" w:type="dxa"/>
              <w:bottom w:w="100" w:type="dxa"/>
              <w:right w:w="100" w:type="dxa"/>
            </w:tcMar>
          </w:tcPr>
          <w:p w:rsidR="003B0844" w:rsidRDefault="003B08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bl>
    <w:p w:rsidR="003B0844" w:rsidRDefault="003B0844" w:rsidP="00884026">
      <w:pPr>
        <w:pStyle w:val="1"/>
      </w:pPr>
      <w:bookmarkStart w:id="5" w:name="_gqs3wzvs4d4e" w:colFirst="0" w:colLast="0"/>
      <w:bookmarkStart w:id="6" w:name="_9kmj0923p4se" w:colFirst="0" w:colLast="0"/>
      <w:bookmarkEnd w:id="5"/>
      <w:bookmarkEnd w:id="6"/>
    </w:p>
    <w:p w:rsidR="003B0844" w:rsidRDefault="0010695E">
      <w:pPr>
        <w:pStyle w:val="1"/>
      </w:pPr>
      <w:bookmarkStart w:id="7" w:name="_Toc107700883"/>
      <w:r>
        <w:t>Discussion:</w:t>
      </w:r>
      <w:bookmarkEnd w:id="7"/>
    </w:p>
    <w:p w:rsidR="003B0844" w:rsidRPr="00683086" w:rsidRDefault="002F280C" w:rsidP="00683086">
      <w:pPr>
        <w:shd w:val="clear" w:color="auto" w:fill="FFFFFF"/>
        <w:spacing w:after="160" w:line="360" w:lineRule="auto"/>
        <w:rPr>
          <w:rFonts w:asciiTheme="majorBidi" w:eastAsia="Times New Roman" w:hAnsiTheme="majorBidi" w:cstheme="majorBidi"/>
          <w:sz w:val="24"/>
          <w:szCs w:val="24"/>
        </w:rPr>
      </w:pPr>
      <w:proofErr w:type="gramStart"/>
      <w:r w:rsidRPr="00683086">
        <w:rPr>
          <w:rFonts w:asciiTheme="majorBidi" w:eastAsia="Times New Roman" w:hAnsiTheme="majorBidi" w:cstheme="majorBidi"/>
          <w:sz w:val="24"/>
          <w:szCs w:val="24"/>
        </w:rPr>
        <w:t>24</w:t>
      </w:r>
      <w:proofErr w:type="gramEnd"/>
      <w:r w:rsidR="0010695E" w:rsidRPr="00683086">
        <w:rPr>
          <w:rFonts w:asciiTheme="majorBidi" w:eastAsia="Times New Roman" w:hAnsiTheme="majorBidi" w:cstheme="majorBidi"/>
          <w:sz w:val="24"/>
          <w:szCs w:val="24"/>
        </w:rPr>
        <w:t xml:space="preserve"> samples</w:t>
      </w:r>
      <w:r w:rsidRPr="00683086">
        <w:rPr>
          <w:rFonts w:asciiTheme="majorBidi" w:eastAsia="Times New Roman" w:hAnsiTheme="majorBidi" w:cstheme="majorBidi"/>
          <w:sz w:val="24"/>
          <w:szCs w:val="24"/>
        </w:rPr>
        <w:t xml:space="preserve"> were collected</w:t>
      </w:r>
      <w:r w:rsidR="0010695E" w:rsidRPr="00683086">
        <w:rPr>
          <w:rFonts w:asciiTheme="majorBidi" w:eastAsia="Times New Roman" w:hAnsiTheme="majorBidi" w:cstheme="majorBidi"/>
          <w:sz w:val="24"/>
          <w:szCs w:val="24"/>
        </w:rPr>
        <w:t xml:space="preserve"> from 24 subjects: 12 females and 12 males</w:t>
      </w:r>
      <w:r w:rsidRPr="00683086">
        <w:rPr>
          <w:rFonts w:asciiTheme="majorBidi" w:eastAsia="Times New Roman" w:hAnsiTheme="majorBidi" w:cstheme="majorBidi"/>
          <w:sz w:val="24"/>
          <w:szCs w:val="24"/>
        </w:rPr>
        <w:t>. The samples</w:t>
      </w:r>
      <w:r w:rsidR="0010695E" w:rsidRPr="00683086">
        <w:rPr>
          <w:rFonts w:asciiTheme="majorBidi" w:eastAsia="Times New Roman" w:hAnsiTheme="majorBidi" w:cstheme="majorBidi"/>
          <w:sz w:val="24"/>
          <w:szCs w:val="24"/>
        </w:rPr>
        <w:t xml:space="preserve"> were cultured, incubated and analyzed. 11 samples (45.8%) showed no bacterial growth. 11 samples (45.8%) showed growth that was less than 10</w:t>
      </w:r>
      <w:r w:rsidR="0010695E" w:rsidRPr="00683086">
        <w:rPr>
          <w:rFonts w:asciiTheme="majorBidi" w:eastAsia="Times New Roman" w:hAnsiTheme="majorBidi" w:cstheme="majorBidi"/>
          <w:sz w:val="24"/>
          <w:szCs w:val="24"/>
          <w:vertAlign w:val="superscript"/>
        </w:rPr>
        <w:t xml:space="preserve">5 </w:t>
      </w:r>
      <w:r w:rsidR="0010695E" w:rsidRPr="00683086">
        <w:rPr>
          <w:rFonts w:asciiTheme="majorBidi" w:eastAsia="Times New Roman" w:hAnsiTheme="majorBidi" w:cstheme="majorBidi"/>
          <w:sz w:val="24"/>
          <w:szCs w:val="24"/>
        </w:rPr>
        <w:t>CFU, and 2 samples (8.3%) showed significant growth that was more than or equal to 10</w:t>
      </w:r>
      <w:r w:rsidR="0010695E" w:rsidRPr="00683086">
        <w:rPr>
          <w:rFonts w:asciiTheme="majorBidi" w:eastAsia="Times New Roman" w:hAnsiTheme="majorBidi" w:cstheme="majorBidi"/>
          <w:sz w:val="24"/>
          <w:szCs w:val="24"/>
          <w:vertAlign w:val="superscript"/>
        </w:rPr>
        <w:t xml:space="preserve">5 </w:t>
      </w:r>
      <w:r w:rsidR="0010695E" w:rsidRPr="00683086">
        <w:rPr>
          <w:rFonts w:asciiTheme="majorBidi" w:eastAsia="Times New Roman" w:hAnsiTheme="majorBidi" w:cstheme="majorBidi"/>
          <w:sz w:val="24"/>
          <w:szCs w:val="24"/>
        </w:rPr>
        <w:t>CFU indicating ASU in accordance with the criteria.</w:t>
      </w:r>
    </w:p>
    <w:p w:rsidR="003B0844" w:rsidRPr="00683086" w:rsidRDefault="0010695E" w:rsidP="00683086">
      <w:pPr>
        <w:shd w:val="clear" w:color="auto" w:fill="FFFFFF"/>
        <w:spacing w:after="160"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As presented in </w:t>
      </w:r>
      <w:r w:rsidRPr="00683086">
        <w:rPr>
          <w:rFonts w:asciiTheme="majorBidi" w:eastAsia="Times New Roman" w:hAnsiTheme="majorBidi" w:cstheme="majorBidi"/>
          <w:i/>
          <w:sz w:val="24"/>
          <w:szCs w:val="24"/>
        </w:rPr>
        <w:t xml:space="preserve">Table 3, </w:t>
      </w:r>
      <w:r w:rsidRPr="00683086">
        <w:rPr>
          <w:rFonts w:asciiTheme="majorBidi" w:eastAsia="Times New Roman" w:hAnsiTheme="majorBidi" w:cstheme="majorBidi"/>
          <w:sz w:val="24"/>
          <w:szCs w:val="24"/>
        </w:rPr>
        <w:t>75% of males and 16.7% of females showed no growth whatsoever. 25% of males and 66.7% of females showed growth, but the said growth wa</w:t>
      </w:r>
      <w:r w:rsidR="0037271B" w:rsidRPr="00683086">
        <w:rPr>
          <w:rFonts w:asciiTheme="majorBidi" w:eastAsia="Times New Roman" w:hAnsiTheme="majorBidi" w:cstheme="majorBidi"/>
          <w:sz w:val="24"/>
          <w:szCs w:val="24"/>
        </w:rPr>
        <w:t>s not enough to confirm ASU. This</w:t>
      </w:r>
      <w:r w:rsidRPr="00683086">
        <w:rPr>
          <w:rFonts w:asciiTheme="majorBidi" w:eastAsia="Times New Roman" w:hAnsiTheme="majorBidi" w:cstheme="majorBidi"/>
          <w:sz w:val="24"/>
          <w:szCs w:val="24"/>
        </w:rPr>
        <w:t xml:space="preserve"> growth could be due to contamination of the sample either while culturing or during collection. On the other hand, 0% of males and only 16.7% of females showed significant bacterial growth that indicates ASU. This discrepancy between females and males aligns with the hypothesis presented earlier and could be due to the proximity of the female urethra to the rectum and the short length of the female urethra compared to that of the male.</w:t>
      </w:r>
    </w:p>
    <w:p w:rsidR="003B0844" w:rsidRPr="00683086" w:rsidRDefault="0010695E" w:rsidP="00683086">
      <w:pPr>
        <w:shd w:val="clear" w:color="auto" w:fill="FFFFFF"/>
        <w:spacing w:after="160"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That said</w:t>
      </w:r>
      <w:proofErr w:type="gramStart"/>
      <w:r w:rsidRPr="00683086">
        <w:rPr>
          <w:rFonts w:asciiTheme="majorBidi" w:eastAsia="Times New Roman" w:hAnsiTheme="majorBidi" w:cstheme="majorBidi"/>
          <w:sz w:val="24"/>
          <w:szCs w:val="24"/>
        </w:rPr>
        <w:t>,</w:t>
      </w:r>
      <w:proofErr w:type="gramEnd"/>
      <w:r w:rsidRPr="00683086">
        <w:rPr>
          <w:rFonts w:asciiTheme="majorBidi" w:eastAsia="Times New Roman" w:hAnsiTheme="majorBidi" w:cstheme="majorBidi"/>
          <w:sz w:val="24"/>
          <w:szCs w:val="24"/>
        </w:rPr>
        <w:t xml:space="preserve"> these statistics are not conclusive enough to state a correlation between ASU and gender. To have a conclusive and reliable analysis confirming the association between gender and ASU a P-value must be calculated through Fisher’s </w:t>
      </w:r>
      <w:proofErr w:type="gramStart"/>
      <w:r w:rsidRPr="00683086">
        <w:rPr>
          <w:rFonts w:asciiTheme="majorBidi" w:eastAsia="Times New Roman" w:hAnsiTheme="majorBidi" w:cstheme="majorBidi"/>
          <w:sz w:val="24"/>
          <w:szCs w:val="24"/>
        </w:rPr>
        <w:t>Exact</w:t>
      </w:r>
      <w:proofErr w:type="gramEnd"/>
      <w:r w:rsidRPr="00683086">
        <w:rPr>
          <w:rFonts w:asciiTheme="majorBidi" w:eastAsia="Times New Roman" w:hAnsiTheme="majorBidi" w:cstheme="majorBidi"/>
          <w:sz w:val="24"/>
          <w:szCs w:val="24"/>
        </w:rPr>
        <w:t xml:space="preserve"> test, </w:t>
      </w:r>
      <w:r w:rsidR="0037271B" w:rsidRPr="00683086">
        <w:rPr>
          <w:rFonts w:asciiTheme="majorBidi" w:eastAsia="Times New Roman" w:hAnsiTheme="majorBidi" w:cstheme="majorBidi"/>
          <w:sz w:val="24"/>
          <w:szCs w:val="24"/>
        </w:rPr>
        <w:t xml:space="preserve">to </w:t>
      </w:r>
      <w:r w:rsidR="0037271B" w:rsidRPr="00683086">
        <w:rPr>
          <w:rFonts w:asciiTheme="majorBidi" w:eastAsia="Times New Roman" w:hAnsiTheme="majorBidi" w:cstheme="majorBidi"/>
          <w:sz w:val="24"/>
          <w:szCs w:val="24"/>
        </w:rPr>
        <w:lastRenderedPageBreak/>
        <w:t xml:space="preserve">which results are </w:t>
      </w:r>
      <w:r w:rsidRPr="00683086">
        <w:rPr>
          <w:rFonts w:asciiTheme="majorBidi" w:eastAsia="Times New Roman" w:hAnsiTheme="majorBidi" w:cstheme="majorBidi"/>
          <w:sz w:val="24"/>
          <w:szCs w:val="24"/>
        </w:rPr>
        <w:t xml:space="preserve">illustrated on </w:t>
      </w:r>
      <w:r w:rsidRPr="00683086">
        <w:rPr>
          <w:rFonts w:asciiTheme="majorBidi" w:eastAsia="Times New Roman" w:hAnsiTheme="majorBidi" w:cstheme="majorBidi"/>
          <w:i/>
          <w:sz w:val="24"/>
          <w:szCs w:val="24"/>
        </w:rPr>
        <w:t>Table 4</w:t>
      </w:r>
      <w:r w:rsidRPr="00683086">
        <w:rPr>
          <w:rFonts w:asciiTheme="majorBidi" w:eastAsia="Times New Roman" w:hAnsiTheme="majorBidi" w:cstheme="majorBidi"/>
          <w:sz w:val="24"/>
          <w:szCs w:val="24"/>
        </w:rPr>
        <w:t>. If</w:t>
      </w:r>
      <w:r w:rsidR="0037271B" w:rsidRPr="00683086">
        <w:rPr>
          <w:rFonts w:asciiTheme="majorBidi" w:eastAsia="Times New Roman" w:hAnsiTheme="majorBidi" w:cstheme="majorBidi"/>
          <w:sz w:val="24"/>
          <w:szCs w:val="24"/>
        </w:rPr>
        <w:t xml:space="preserve"> the P-value is greater than 0.0</w:t>
      </w:r>
      <w:r w:rsidRPr="00683086">
        <w:rPr>
          <w:rFonts w:asciiTheme="majorBidi" w:eastAsia="Times New Roman" w:hAnsiTheme="majorBidi" w:cstheme="majorBidi"/>
          <w:sz w:val="24"/>
          <w:szCs w:val="24"/>
        </w:rPr>
        <w:t xml:space="preserve">5 the null hypothesis fails to be rejected. If the P-value is less than </w:t>
      </w:r>
      <w:proofErr w:type="gramStart"/>
      <w:r w:rsidRPr="00683086">
        <w:rPr>
          <w:rFonts w:asciiTheme="majorBidi" w:eastAsia="Times New Roman" w:hAnsiTheme="majorBidi" w:cstheme="majorBidi"/>
          <w:sz w:val="24"/>
          <w:szCs w:val="24"/>
        </w:rPr>
        <w:t>0.05</w:t>
      </w:r>
      <w:proofErr w:type="gramEnd"/>
      <w:r w:rsidRPr="00683086">
        <w:rPr>
          <w:rFonts w:asciiTheme="majorBidi" w:eastAsia="Times New Roman" w:hAnsiTheme="majorBidi" w:cstheme="majorBidi"/>
          <w:sz w:val="24"/>
          <w:szCs w:val="24"/>
        </w:rPr>
        <w:t xml:space="preserve"> the null hypothesis is rejected. In these calculations</w:t>
      </w:r>
      <w:r w:rsidR="0037271B" w:rsidRPr="00683086">
        <w:rPr>
          <w:rFonts w:asciiTheme="majorBidi" w:eastAsia="Times New Roman" w:hAnsiTheme="majorBidi" w:cstheme="majorBidi"/>
          <w:sz w:val="24"/>
          <w:szCs w:val="24"/>
        </w:rPr>
        <w:t>, the P-value is equal to 0.020. T</w:t>
      </w:r>
      <w:r w:rsidRPr="00683086">
        <w:rPr>
          <w:rFonts w:asciiTheme="majorBidi" w:eastAsia="Times New Roman" w:hAnsiTheme="majorBidi" w:cstheme="majorBidi"/>
          <w:sz w:val="24"/>
          <w:szCs w:val="24"/>
        </w:rPr>
        <w:t xml:space="preserve">hus, the experiment concludes to fail to reject the null hypothesis, which states that there is no association between gender and ASU. Hence, the conclusive results </w:t>
      </w:r>
      <w:proofErr w:type="gramStart"/>
      <w:r w:rsidRPr="00683086">
        <w:rPr>
          <w:rFonts w:asciiTheme="majorBidi" w:eastAsia="Times New Roman" w:hAnsiTheme="majorBidi" w:cstheme="majorBidi"/>
          <w:sz w:val="24"/>
          <w:szCs w:val="24"/>
        </w:rPr>
        <w:t>are:</w:t>
      </w:r>
      <w:proofErr w:type="gramEnd"/>
      <w:r w:rsidRPr="00683086">
        <w:rPr>
          <w:rFonts w:asciiTheme="majorBidi" w:eastAsia="Times New Roman" w:hAnsiTheme="majorBidi" w:cstheme="majorBidi"/>
          <w:sz w:val="24"/>
          <w:szCs w:val="24"/>
        </w:rPr>
        <w:t xml:space="preserve"> there is in fact a correlation between gender and ASU with a significant predilection for females.</w:t>
      </w:r>
    </w:p>
    <w:p w:rsidR="003B0844" w:rsidRPr="00683086" w:rsidRDefault="0010695E" w:rsidP="00683086">
      <w:pPr>
        <w:shd w:val="clear" w:color="auto" w:fill="FFFFFF"/>
        <w:spacing w:after="160"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Microscopic examination of the colonies revealed </w:t>
      </w:r>
      <w:proofErr w:type="gramStart"/>
      <w:r w:rsidRPr="00683086">
        <w:rPr>
          <w:rFonts w:asciiTheme="majorBidi" w:eastAsia="Times New Roman" w:hAnsiTheme="majorBidi" w:cstheme="majorBidi"/>
          <w:sz w:val="24"/>
          <w:szCs w:val="24"/>
        </w:rPr>
        <w:t>gram negative</w:t>
      </w:r>
      <w:proofErr w:type="gramEnd"/>
      <w:r w:rsidRPr="00683086">
        <w:rPr>
          <w:rFonts w:asciiTheme="majorBidi" w:eastAsia="Times New Roman" w:hAnsiTheme="majorBidi" w:cstheme="majorBidi"/>
          <w:sz w:val="24"/>
          <w:szCs w:val="24"/>
        </w:rPr>
        <w:t xml:space="preserve"> rods. While culturing on MAC and blood agar revealed </w:t>
      </w:r>
      <w:proofErr w:type="gramStart"/>
      <w:r w:rsidRPr="00683086">
        <w:rPr>
          <w:rFonts w:asciiTheme="majorBidi" w:eastAsia="Times New Roman" w:hAnsiTheme="majorBidi" w:cstheme="majorBidi"/>
          <w:sz w:val="24"/>
          <w:szCs w:val="24"/>
        </w:rPr>
        <w:t>lactose-fermenting,</w:t>
      </w:r>
      <w:proofErr w:type="gramEnd"/>
      <w:r w:rsidRPr="00683086">
        <w:rPr>
          <w:rFonts w:asciiTheme="majorBidi" w:eastAsia="Times New Roman" w:hAnsiTheme="majorBidi" w:cstheme="majorBidi"/>
          <w:sz w:val="24"/>
          <w:szCs w:val="24"/>
        </w:rPr>
        <w:t xml:space="preserve"> and beta-hemolytic colonies respectively. All of these findings point to the bacterium being </w:t>
      </w:r>
      <w:proofErr w:type="spellStart"/>
      <w:r w:rsidRPr="00683086">
        <w:rPr>
          <w:rFonts w:asciiTheme="majorBidi" w:eastAsia="Times New Roman" w:hAnsiTheme="majorBidi" w:cstheme="majorBidi"/>
          <w:i/>
          <w:sz w:val="24"/>
          <w:szCs w:val="24"/>
        </w:rPr>
        <w:t>E.coli</w:t>
      </w:r>
      <w:proofErr w:type="spellEnd"/>
      <w:r w:rsidRPr="00683086">
        <w:rPr>
          <w:rFonts w:asciiTheme="majorBidi" w:eastAsia="Times New Roman" w:hAnsiTheme="majorBidi" w:cstheme="majorBidi"/>
          <w:i/>
          <w:sz w:val="24"/>
          <w:szCs w:val="24"/>
        </w:rPr>
        <w:t xml:space="preserve">. </w:t>
      </w:r>
      <w:r w:rsidRPr="00683086">
        <w:rPr>
          <w:rFonts w:asciiTheme="majorBidi" w:eastAsia="Times New Roman" w:hAnsiTheme="majorBidi" w:cstheme="majorBidi"/>
          <w:sz w:val="24"/>
          <w:szCs w:val="24"/>
        </w:rPr>
        <w:t xml:space="preserve">This is in accordance with prior studies that prove </w:t>
      </w:r>
      <w:proofErr w:type="spellStart"/>
      <w:r w:rsidRPr="00683086">
        <w:rPr>
          <w:rFonts w:asciiTheme="majorBidi" w:eastAsia="Times New Roman" w:hAnsiTheme="majorBidi" w:cstheme="majorBidi"/>
          <w:sz w:val="24"/>
          <w:szCs w:val="24"/>
        </w:rPr>
        <w:t>E.coli</w:t>
      </w:r>
      <w:proofErr w:type="spellEnd"/>
      <w:r w:rsidRPr="00683086">
        <w:rPr>
          <w:rFonts w:asciiTheme="majorBidi" w:eastAsia="Times New Roman" w:hAnsiTheme="majorBidi" w:cstheme="majorBidi"/>
          <w:sz w:val="24"/>
          <w:szCs w:val="24"/>
        </w:rPr>
        <w:t xml:space="preserve"> to be the most common </w:t>
      </w:r>
      <w:r w:rsidR="0037271B" w:rsidRPr="00683086">
        <w:rPr>
          <w:rFonts w:asciiTheme="majorBidi" w:eastAsia="Times New Roman" w:hAnsiTheme="majorBidi" w:cstheme="majorBidi"/>
          <w:sz w:val="24"/>
          <w:szCs w:val="24"/>
        </w:rPr>
        <w:t>causative organism of ASU.</w:t>
      </w:r>
      <w:r w:rsidR="0037271B" w:rsidRPr="00683086">
        <w:rPr>
          <w:rFonts w:asciiTheme="majorBidi" w:eastAsia="Times New Roman" w:hAnsiTheme="majorBidi" w:cstheme="majorBidi"/>
          <w:sz w:val="24"/>
          <w:szCs w:val="24"/>
          <w:vertAlign w:val="superscript"/>
        </w:rPr>
        <w:fldChar w:fldCharType="begin"/>
      </w:r>
      <w:r w:rsidR="0037271B" w:rsidRPr="00683086">
        <w:rPr>
          <w:rFonts w:asciiTheme="majorBidi" w:eastAsia="Times New Roman" w:hAnsiTheme="majorBidi" w:cstheme="majorBidi"/>
          <w:sz w:val="24"/>
          <w:szCs w:val="24"/>
          <w:vertAlign w:val="superscript"/>
        </w:rPr>
        <w:instrText xml:space="preserve"> REF _Ref107702538 \r \h  \* MERGEFORMAT </w:instrText>
      </w:r>
      <w:r w:rsidR="0037271B" w:rsidRPr="00683086">
        <w:rPr>
          <w:rFonts w:asciiTheme="majorBidi" w:eastAsia="Times New Roman" w:hAnsiTheme="majorBidi" w:cstheme="majorBidi"/>
          <w:sz w:val="24"/>
          <w:szCs w:val="24"/>
          <w:vertAlign w:val="superscript"/>
        </w:rPr>
      </w:r>
      <w:r w:rsidR="0037271B" w:rsidRPr="00683086">
        <w:rPr>
          <w:rFonts w:asciiTheme="majorBidi" w:eastAsia="Times New Roman" w:hAnsiTheme="majorBidi" w:cstheme="majorBidi"/>
          <w:sz w:val="24"/>
          <w:szCs w:val="24"/>
          <w:vertAlign w:val="superscript"/>
        </w:rPr>
        <w:fldChar w:fldCharType="separate"/>
      </w:r>
      <w:r w:rsidR="0037271B" w:rsidRPr="00683086">
        <w:rPr>
          <w:rFonts w:asciiTheme="majorBidi" w:eastAsia="Times New Roman" w:hAnsiTheme="majorBidi" w:cstheme="majorBidi"/>
          <w:sz w:val="24"/>
          <w:szCs w:val="24"/>
          <w:vertAlign w:val="superscript"/>
          <w:cs/>
        </w:rPr>
        <w:t>‎</w:t>
      </w:r>
      <w:r w:rsidR="0037271B" w:rsidRPr="00683086">
        <w:rPr>
          <w:rFonts w:asciiTheme="majorBidi" w:eastAsia="Times New Roman" w:hAnsiTheme="majorBidi" w:cstheme="majorBidi"/>
          <w:sz w:val="24"/>
          <w:szCs w:val="24"/>
          <w:vertAlign w:val="superscript"/>
        </w:rPr>
        <w:t>3</w:t>
      </w:r>
      <w:r w:rsidR="0037271B" w:rsidRPr="00683086">
        <w:rPr>
          <w:rFonts w:asciiTheme="majorBidi" w:eastAsia="Times New Roman" w:hAnsiTheme="majorBidi" w:cstheme="majorBidi"/>
          <w:sz w:val="24"/>
          <w:szCs w:val="24"/>
          <w:vertAlign w:val="superscript"/>
        </w:rPr>
        <w:fldChar w:fldCharType="end"/>
      </w:r>
      <w:r w:rsidR="0037271B" w:rsidRPr="00683086">
        <w:rPr>
          <w:rFonts w:asciiTheme="majorBidi" w:eastAsia="Times New Roman" w:hAnsiTheme="majorBidi" w:cstheme="majorBidi"/>
          <w:sz w:val="24"/>
          <w:szCs w:val="24"/>
          <w:vertAlign w:val="superscript"/>
        </w:rPr>
        <w:t>,</w:t>
      </w:r>
      <w:r w:rsidR="0037271B" w:rsidRPr="00683086">
        <w:rPr>
          <w:rFonts w:asciiTheme="majorBidi" w:eastAsia="Times New Roman" w:hAnsiTheme="majorBidi" w:cstheme="majorBidi"/>
          <w:sz w:val="24"/>
          <w:szCs w:val="24"/>
          <w:vertAlign w:val="superscript"/>
        </w:rPr>
        <w:fldChar w:fldCharType="begin"/>
      </w:r>
      <w:r w:rsidR="0037271B" w:rsidRPr="00683086">
        <w:rPr>
          <w:rFonts w:asciiTheme="majorBidi" w:eastAsia="Times New Roman" w:hAnsiTheme="majorBidi" w:cstheme="majorBidi"/>
          <w:sz w:val="24"/>
          <w:szCs w:val="24"/>
          <w:vertAlign w:val="superscript"/>
        </w:rPr>
        <w:instrText xml:space="preserve"> REF _Ref107701217 \r \h  \* MERGEFORMAT </w:instrText>
      </w:r>
      <w:r w:rsidR="0037271B" w:rsidRPr="00683086">
        <w:rPr>
          <w:rFonts w:asciiTheme="majorBidi" w:eastAsia="Times New Roman" w:hAnsiTheme="majorBidi" w:cstheme="majorBidi"/>
          <w:sz w:val="24"/>
          <w:szCs w:val="24"/>
          <w:vertAlign w:val="superscript"/>
        </w:rPr>
      </w:r>
      <w:r w:rsidR="0037271B" w:rsidRPr="00683086">
        <w:rPr>
          <w:rFonts w:asciiTheme="majorBidi" w:eastAsia="Times New Roman" w:hAnsiTheme="majorBidi" w:cstheme="majorBidi"/>
          <w:sz w:val="24"/>
          <w:szCs w:val="24"/>
          <w:vertAlign w:val="superscript"/>
        </w:rPr>
        <w:fldChar w:fldCharType="separate"/>
      </w:r>
      <w:r w:rsidR="0037271B" w:rsidRPr="00683086">
        <w:rPr>
          <w:rFonts w:asciiTheme="majorBidi" w:eastAsia="Times New Roman" w:hAnsiTheme="majorBidi" w:cstheme="majorBidi"/>
          <w:sz w:val="24"/>
          <w:szCs w:val="24"/>
          <w:vertAlign w:val="superscript"/>
          <w:cs/>
        </w:rPr>
        <w:t>‎</w:t>
      </w:r>
      <w:r w:rsidR="0037271B" w:rsidRPr="00683086">
        <w:rPr>
          <w:rFonts w:asciiTheme="majorBidi" w:eastAsia="Times New Roman" w:hAnsiTheme="majorBidi" w:cstheme="majorBidi"/>
          <w:sz w:val="24"/>
          <w:szCs w:val="24"/>
          <w:vertAlign w:val="superscript"/>
        </w:rPr>
        <w:t>4</w:t>
      </w:r>
      <w:r w:rsidR="0037271B" w:rsidRPr="00683086">
        <w:rPr>
          <w:rFonts w:asciiTheme="majorBidi" w:eastAsia="Times New Roman" w:hAnsiTheme="majorBidi" w:cstheme="majorBidi"/>
          <w:sz w:val="24"/>
          <w:szCs w:val="24"/>
          <w:vertAlign w:val="superscript"/>
        </w:rPr>
        <w:fldChar w:fldCharType="end"/>
      </w:r>
      <w:r w:rsidR="0037271B" w:rsidRPr="00683086">
        <w:rPr>
          <w:rFonts w:asciiTheme="majorBidi" w:eastAsia="Times New Roman" w:hAnsiTheme="majorBidi" w:cstheme="majorBidi"/>
          <w:sz w:val="24"/>
          <w:szCs w:val="24"/>
          <w:vertAlign w:val="superscript"/>
        </w:rPr>
        <w:t>,</w:t>
      </w:r>
      <w:r w:rsidR="0037271B" w:rsidRPr="00683086">
        <w:rPr>
          <w:rFonts w:asciiTheme="majorBidi" w:eastAsia="Times New Roman" w:hAnsiTheme="majorBidi" w:cstheme="majorBidi"/>
          <w:sz w:val="24"/>
          <w:szCs w:val="24"/>
          <w:vertAlign w:val="superscript"/>
        </w:rPr>
        <w:fldChar w:fldCharType="begin"/>
      </w:r>
      <w:r w:rsidR="0037271B" w:rsidRPr="00683086">
        <w:rPr>
          <w:rFonts w:asciiTheme="majorBidi" w:eastAsia="Times New Roman" w:hAnsiTheme="majorBidi" w:cstheme="majorBidi"/>
          <w:sz w:val="24"/>
          <w:szCs w:val="24"/>
          <w:vertAlign w:val="superscript"/>
        </w:rPr>
        <w:instrText xml:space="preserve"> REF _Ref107702552 \r \h  \* MERGEFORMAT </w:instrText>
      </w:r>
      <w:r w:rsidR="0037271B" w:rsidRPr="00683086">
        <w:rPr>
          <w:rFonts w:asciiTheme="majorBidi" w:eastAsia="Times New Roman" w:hAnsiTheme="majorBidi" w:cstheme="majorBidi"/>
          <w:sz w:val="24"/>
          <w:szCs w:val="24"/>
          <w:vertAlign w:val="superscript"/>
        </w:rPr>
      </w:r>
      <w:r w:rsidR="0037271B" w:rsidRPr="00683086">
        <w:rPr>
          <w:rFonts w:asciiTheme="majorBidi" w:eastAsia="Times New Roman" w:hAnsiTheme="majorBidi" w:cstheme="majorBidi"/>
          <w:sz w:val="24"/>
          <w:szCs w:val="24"/>
          <w:vertAlign w:val="superscript"/>
        </w:rPr>
        <w:fldChar w:fldCharType="separate"/>
      </w:r>
      <w:r w:rsidR="0037271B" w:rsidRPr="00683086">
        <w:rPr>
          <w:rFonts w:asciiTheme="majorBidi" w:eastAsia="Times New Roman" w:hAnsiTheme="majorBidi" w:cstheme="majorBidi"/>
          <w:sz w:val="24"/>
          <w:szCs w:val="24"/>
          <w:vertAlign w:val="superscript"/>
          <w:cs/>
        </w:rPr>
        <w:t>‎</w:t>
      </w:r>
      <w:r w:rsidR="0037271B" w:rsidRPr="00683086">
        <w:rPr>
          <w:rFonts w:asciiTheme="majorBidi" w:eastAsia="Times New Roman" w:hAnsiTheme="majorBidi" w:cstheme="majorBidi"/>
          <w:sz w:val="24"/>
          <w:szCs w:val="24"/>
          <w:vertAlign w:val="superscript"/>
        </w:rPr>
        <w:t>5</w:t>
      </w:r>
      <w:r w:rsidR="0037271B" w:rsidRPr="00683086">
        <w:rPr>
          <w:rFonts w:asciiTheme="majorBidi" w:eastAsia="Times New Roman" w:hAnsiTheme="majorBidi" w:cstheme="majorBidi"/>
          <w:sz w:val="24"/>
          <w:szCs w:val="24"/>
          <w:vertAlign w:val="superscript"/>
        </w:rPr>
        <w:fldChar w:fldCharType="end"/>
      </w:r>
      <w:r w:rsidRPr="00683086">
        <w:rPr>
          <w:rFonts w:asciiTheme="majorBidi" w:eastAsia="Times New Roman" w:hAnsiTheme="majorBidi" w:cstheme="majorBidi"/>
          <w:sz w:val="24"/>
          <w:szCs w:val="24"/>
          <w:vertAlign w:val="superscript"/>
        </w:rPr>
        <w:t xml:space="preserve"> </w:t>
      </w:r>
    </w:p>
    <w:p w:rsidR="003B0844" w:rsidRPr="00683086" w:rsidRDefault="0010695E" w:rsidP="00683086">
      <w:pPr>
        <w:shd w:val="clear" w:color="auto" w:fill="FFFFFF"/>
        <w:spacing w:after="160"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A noteworthy study to mention is one that is strikingly similar to this experiment with the sole difference of it </w:t>
      </w:r>
      <w:proofErr w:type="gramStart"/>
      <w:r w:rsidRPr="00683086">
        <w:rPr>
          <w:rFonts w:asciiTheme="majorBidi" w:eastAsia="Times New Roman" w:hAnsiTheme="majorBidi" w:cstheme="majorBidi"/>
          <w:sz w:val="24"/>
          <w:szCs w:val="24"/>
        </w:rPr>
        <w:t>being conducted</w:t>
      </w:r>
      <w:proofErr w:type="gramEnd"/>
      <w:r w:rsidRPr="00683086">
        <w:rPr>
          <w:rFonts w:asciiTheme="majorBidi" w:eastAsia="Times New Roman" w:hAnsiTheme="majorBidi" w:cstheme="majorBidi"/>
          <w:sz w:val="24"/>
          <w:szCs w:val="24"/>
        </w:rPr>
        <w:t xml:space="preserve"> on patients exhibiting symptoms of UTI. In the study by Dr. </w:t>
      </w:r>
      <w:proofErr w:type="spellStart"/>
      <w:r w:rsidRPr="00683086">
        <w:rPr>
          <w:rFonts w:asciiTheme="majorBidi" w:eastAsia="Times New Roman" w:hAnsiTheme="majorBidi" w:cstheme="majorBidi"/>
          <w:sz w:val="24"/>
          <w:szCs w:val="24"/>
        </w:rPr>
        <w:t>Khalifa</w:t>
      </w:r>
      <w:proofErr w:type="spellEnd"/>
      <w:r w:rsidRPr="00683086">
        <w:rPr>
          <w:rFonts w:asciiTheme="majorBidi" w:eastAsia="Times New Roman" w:hAnsiTheme="majorBidi" w:cstheme="majorBidi"/>
          <w:sz w:val="24"/>
          <w:szCs w:val="24"/>
        </w:rPr>
        <w:t xml:space="preserve"> AA </w:t>
      </w:r>
      <w:proofErr w:type="spellStart"/>
      <w:r w:rsidRPr="00683086">
        <w:rPr>
          <w:rFonts w:asciiTheme="majorBidi" w:eastAsia="Times New Roman" w:hAnsiTheme="majorBidi" w:cstheme="majorBidi"/>
          <w:sz w:val="24"/>
          <w:szCs w:val="24"/>
        </w:rPr>
        <w:t>Fatnasa</w:t>
      </w:r>
      <w:proofErr w:type="spellEnd"/>
      <w:r w:rsidRPr="00683086">
        <w:rPr>
          <w:rFonts w:asciiTheme="majorBidi" w:eastAsia="Times New Roman" w:hAnsiTheme="majorBidi" w:cstheme="majorBidi"/>
          <w:sz w:val="24"/>
          <w:szCs w:val="24"/>
        </w:rPr>
        <w:t xml:space="preserve"> done in 2013 title, </w:t>
      </w:r>
      <w:r w:rsidRPr="00683086">
        <w:rPr>
          <w:rFonts w:asciiTheme="majorBidi" w:eastAsia="Times New Roman" w:hAnsiTheme="majorBidi" w:cstheme="majorBidi"/>
          <w:i/>
          <w:sz w:val="24"/>
          <w:szCs w:val="24"/>
          <w:u w:val="single"/>
        </w:rPr>
        <w:t xml:space="preserve">Urinary Tract Infection </w:t>
      </w:r>
      <w:proofErr w:type="gramStart"/>
      <w:r w:rsidRPr="00683086">
        <w:rPr>
          <w:rFonts w:asciiTheme="majorBidi" w:eastAsia="Times New Roman" w:hAnsiTheme="majorBidi" w:cstheme="majorBidi"/>
          <w:i/>
          <w:sz w:val="24"/>
          <w:szCs w:val="24"/>
          <w:u w:val="single"/>
        </w:rPr>
        <w:t>In</w:t>
      </w:r>
      <w:proofErr w:type="gramEnd"/>
      <w:r w:rsidRPr="00683086">
        <w:rPr>
          <w:rFonts w:asciiTheme="majorBidi" w:eastAsia="Times New Roman" w:hAnsiTheme="majorBidi" w:cstheme="majorBidi"/>
          <w:i/>
          <w:sz w:val="24"/>
          <w:szCs w:val="24"/>
          <w:u w:val="single"/>
        </w:rPr>
        <w:t xml:space="preserve"> </w:t>
      </w:r>
      <w:proofErr w:type="spellStart"/>
      <w:r w:rsidRPr="00683086">
        <w:rPr>
          <w:rFonts w:asciiTheme="majorBidi" w:eastAsia="Times New Roman" w:hAnsiTheme="majorBidi" w:cstheme="majorBidi"/>
          <w:i/>
          <w:sz w:val="24"/>
          <w:szCs w:val="24"/>
          <w:u w:val="single"/>
        </w:rPr>
        <w:t>Sobrata</w:t>
      </w:r>
      <w:proofErr w:type="spellEnd"/>
      <w:r w:rsidRPr="00683086">
        <w:rPr>
          <w:rFonts w:asciiTheme="majorBidi" w:eastAsia="Times New Roman" w:hAnsiTheme="majorBidi" w:cstheme="majorBidi"/>
          <w:i/>
          <w:sz w:val="24"/>
          <w:szCs w:val="24"/>
          <w:u w:val="single"/>
        </w:rPr>
        <w:t xml:space="preserve">, </w:t>
      </w:r>
      <w:proofErr w:type="spellStart"/>
      <w:r w:rsidRPr="00683086">
        <w:rPr>
          <w:rFonts w:asciiTheme="majorBidi" w:eastAsia="Times New Roman" w:hAnsiTheme="majorBidi" w:cstheme="majorBidi"/>
          <w:i/>
          <w:sz w:val="24"/>
          <w:szCs w:val="24"/>
          <w:u w:val="single"/>
        </w:rPr>
        <w:t>Algmel</w:t>
      </w:r>
      <w:proofErr w:type="spellEnd"/>
      <w:r w:rsidRPr="00683086">
        <w:rPr>
          <w:rFonts w:asciiTheme="majorBidi" w:eastAsia="Times New Roman" w:hAnsiTheme="majorBidi" w:cstheme="majorBidi"/>
          <w:i/>
          <w:sz w:val="24"/>
          <w:szCs w:val="24"/>
          <w:u w:val="single"/>
        </w:rPr>
        <w:t xml:space="preserve"> Cities In Libya 2013 </w:t>
      </w:r>
      <w:r w:rsidRPr="00683086">
        <w:rPr>
          <w:rFonts w:asciiTheme="majorBidi" w:eastAsia="Times New Roman" w:hAnsiTheme="majorBidi" w:cstheme="majorBidi"/>
          <w:sz w:val="24"/>
          <w:szCs w:val="24"/>
        </w:rPr>
        <w:t xml:space="preserve">the women ratio was significantly higher than men 301 women and 66 men in </w:t>
      </w:r>
      <w:proofErr w:type="spellStart"/>
      <w:r w:rsidRPr="00683086">
        <w:rPr>
          <w:rFonts w:asciiTheme="majorBidi" w:eastAsia="Times New Roman" w:hAnsiTheme="majorBidi" w:cstheme="majorBidi"/>
          <w:sz w:val="24"/>
          <w:szCs w:val="24"/>
        </w:rPr>
        <w:t>Sobrata</w:t>
      </w:r>
      <w:proofErr w:type="spellEnd"/>
      <w:r w:rsidRPr="00683086">
        <w:rPr>
          <w:rFonts w:asciiTheme="majorBidi" w:eastAsia="Times New Roman" w:hAnsiTheme="majorBidi" w:cstheme="majorBidi"/>
          <w:sz w:val="24"/>
          <w:szCs w:val="24"/>
        </w:rPr>
        <w:t xml:space="preserve"> city and 354 women and 171 men in </w:t>
      </w:r>
      <w:proofErr w:type="spellStart"/>
      <w:r w:rsidRPr="00683086">
        <w:rPr>
          <w:rFonts w:asciiTheme="majorBidi" w:eastAsia="Times New Roman" w:hAnsiTheme="majorBidi" w:cstheme="majorBidi"/>
          <w:sz w:val="24"/>
          <w:szCs w:val="24"/>
        </w:rPr>
        <w:t>Algmel</w:t>
      </w:r>
      <w:proofErr w:type="spellEnd"/>
      <w:r w:rsidRPr="00683086">
        <w:rPr>
          <w:rFonts w:asciiTheme="majorBidi" w:eastAsia="Times New Roman" w:hAnsiTheme="majorBidi" w:cstheme="majorBidi"/>
          <w:sz w:val="24"/>
          <w:szCs w:val="24"/>
        </w:rPr>
        <w:t xml:space="preserve"> city. The study concluded that, as proven here, </w:t>
      </w:r>
      <w:proofErr w:type="spellStart"/>
      <w:r w:rsidRPr="00683086">
        <w:rPr>
          <w:rFonts w:asciiTheme="majorBidi" w:eastAsia="Times New Roman" w:hAnsiTheme="majorBidi" w:cstheme="majorBidi"/>
          <w:sz w:val="24"/>
          <w:szCs w:val="24"/>
        </w:rPr>
        <w:t>E.coli</w:t>
      </w:r>
      <w:proofErr w:type="spellEnd"/>
      <w:r w:rsidRPr="00683086">
        <w:rPr>
          <w:rFonts w:asciiTheme="majorBidi" w:eastAsia="Times New Roman" w:hAnsiTheme="majorBidi" w:cstheme="majorBidi"/>
          <w:sz w:val="24"/>
          <w:szCs w:val="24"/>
        </w:rPr>
        <w:t xml:space="preserve"> is, in fact, the major cause for UTI, and that indeed females </w:t>
      </w:r>
      <w:proofErr w:type="gramStart"/>
      <w:r w:rsidRPr="00683086">
        <w:rPr>
          <w:rFonts w:asciiTheme="majorBidi" w:eastAsia="Times New Roman" w:hAnsiTheme="majorBidi" w:cstheme="majorBidi"/>
          <w:sz w:val="24"/>
          <w:szCs w:val="24"/>
        </w:rPr>
        <w:t>were more affected</w:t>
      </w:r>
      <w:proofErr w:type="gramEnd"/>
      <w:r w:rsidRPr="00683086">
        <w:rPr>
          <w:rFonts w:asciiTheme="majorBidi" w:eastAsia="Times New Roman" w:hAnsiTheme="majorBidi" w:cstheme="majorBidi"/>
          <w:sz w:val="24"/>
          <w:szCs w:val="24"/>
        </w:rPr>
        <w:t xml:space="preserve"> than males except in the cases of </w:t>
      </w:r>
      <w:proofErr w:type="spellStart"/>
      <w:r w:rsidRPr="00683086">
        <w:rPr>
          <w:rFonts w:asciiTheme="majorBidi" w:eastAsia="Times New Roman" w:hAnsiTheme="majorBidi" w:cstheme="majorBidi"/>
          <w:i/>
          <w:sz w:val="24"/>
          <w:szCs w:val="24"/>
        </w:rPr>
        <w:t>Klebsiella</w:t>
      </w:r>
      <w:proofErr w:type="spellEnd"/>
      <w:r w:rsidRPr="00683086">
        <w:rPr>
          <w:rFonts w:asciiTheme="majorBidi" w:eastAsia="Times New Roman" w:hAnsiTheme="majorBidi" w:cstheme="majorBidi"/>
          <w:i/>
          <w:sz w:val="24"/>
          <w:szCs w:val="24"/>
        </w:rPr>
        <w:t xml:space="preserve"> </w:t>
      </w:r>
      <w:proofErr w:type="spellStart"/>
      <w:r w:rsidRPr="00683086">
        <w:rPr>
          <w:rFonts w:asciiTheme="majorBidi" w:eastAsia="Times New Roman" w:hAnsiTheme="majorBidi" w:cstheme="majorBidi"/>
          <w:i/>
          <w:sz w:val="24"/>
          <w:szCs w:val="24"/>
        </w:rPr>
        <w:t>pneumoniae</w:t>
      </w:r>
      <w:proofErr w:type="spellEnd"/>
      <w:r w:rsidRPr="00683086">
        <w:rPr>
          <w:rFonts w:asciiTheme="majorBidi" w:eastAsia="Times New Roman" w:hAnsiTheme="majorBidi" w:cstheme="majorBidi"/>
          <w:sz w:val="24"/>
          <w:szCs w:val="24"/>
        </w:rPr>
        <w:t xml:space="preserve">, and </w:t>
      </w:r>
      <w:r w:rsidRPr="00683086">
        <w:rPr>
          <w:rFonts w:asciiTheme="majorBidi" w:eastAsia="Times New Roman" w:hAnsiTheme="majorBidi" w:cstheme="majorBidi"/>
          <w:i/>
          <w:sz w:val="24"/>
          <w:szCs w:val="24"/>
        </w:rPr>
        <w:t xml:space="preserve">Streptococcus </w:t>
      </w:r>
      <w:proofErr w:type="spellStart"/>
      <w:r w:rsidRPr="00683086">
        <w:rPr>
          <w:rFonts w:asciiTheme="majorBidi" w:eastAsia="Times New Roman" w:hAnsiTheme="majorBidi" w:cstheme="majorBidi"/>
          <w:i/>
          <w:sz w:val="24"/>
          <w:szCs w:val="24"/>
        </w:rPr>
        <w:t>faecalis</w:t>
      </w:r>
      <w:proofErr w:type="spellEnd"/>
      <w:r w:rsidRPr="00683086">
        <w:rPr>
          <w:rFonts w:asciiTheme="majorBidi" w:eastAsia="Times New Roman" w:hAnsiTheme="majorBidi" w:cstheme="majorBidi"/>
          <w:i/>
          <w:sz w:val="24"/>
          <w:szCs w:val="24"/>
        </w:rPr>
        <w:t xml:space="preserve"> </w:t>
      </w:r>
      <w:r w:rsidRPr="00683086">
        <w:rPr>
          <w:rFonts w:asciiTheme="majorBidi" w:eastAsia="Times New Roman" w:hAnsiTheme="majorBidi" w:cstheme="majorBidi"/>
          <w:sz w:val="24"/>
          <w:szCs w:val="24"/>
        </w:rPr>
        <w:t xml:space="preserve">where men were more affected. The different statistics </w:t>
      </w:r>
      <w:proofErr w:type="gramStart"/>
      <w:r w:rsidRPr="00683086">
        <w:rPr>
          <w:rFonts w:asciiTheme="majorBidi" w:eastAsia="Times New Roman" w:hAnsiTheme="majorBidi" w:cstheme="majorBidi"/>
          <w:sz w:val="24"/>
          <w:szCs w:val="24"/>
        </w:rPr>
        <w:t>are outlined</w:t>
      </w:r>
      <w:proofErr w:type="gramEnd"/>
      <w:r w:rsidRPr="00683086">
        <w:rPr>
          <w:rFonts w:asciiTheme="majorBidi" w:eastAsia="Times New Roman" w:hAnsiTheme="majorBidi" w:cstheme="majorBidi"/>
          <w:sz w:val="24"/>
          <w:szCs w:val="24"/>
        </w:rPr>
        <w:t xml:space="preserve"> in </w:t>
      </w:r>
      <w:r w:rsidRPr="00683086">
        <w:rPr>
          <w:rFonts w:asciiTheme="majorBidi" w:eastAsia="Times New Roman" w:hAnsiTheme="majorBidi" w:cstheme="majorBidi"/>
          <w:i/>
          <w:sz w:val="24"/>
          <w:szCs w:val="24"/>
        </w:rPr>
        <w:t>Table 6</w:t>
      </w:r>
      <w:r w:rsidRPr="00683086">
        <w:rPr>
          <w:rFonts w:asciiTheme="majorBidi" w:eastAsia="Times New Roman" w:hAnsiTheme="majorBidi" w:cstheme="majorBidi"/>
          <w:sz w:val="24"/>
          <w:szCs w:val="24"/>
        </w:rPr>
        <w:t>.</w:t>
      </w:r>
      <w:r w:rsidR="007E7203" w:rsidRPr="00683086">
        <w:rPr>
          <w:rFonts w:asciiTheme="majorBidi" w:eastAsia="Times New Roman" w:hAnsiTheme="majorBidi" w:cstheme="majorBidi"/>
          <w:sz w:val="24"/>
          <w:szCs w:val="24"/>
        </w:rPr>
        <w:fldChar w:fldCharType="begin"/>
      </w:r>
      <w:r w:rsidR="007E7203" w:rsidRPr="00683086">
        <w:rPr>
          <w:rFonts w:asciiTheme="majorBidi" w:eastAsia="Times New Roman" w:hAnsiTheme="majorBidi" w:cstheme="majorBidi"/>
          <w:sz w:val="24"/>
          <w:szCs w:val="24"/>
        </w:rPr>
        <w:instrText xml:space="preserve"> REF _Ref107736873 \r \h  \* MERGEFORMAT </w:instrText>
      </w:r>
      <w:r w:rsidR="007E7203" w:rsidRPr="00683086">
        <w:rPr>
          <w:rFonts w:asciiTheme="majorBidi" w:eastAsia="Times New Roman" w:hAnsiTheme="majorBidi" w:cstheme="majorBidi"/>
          <w:sz w:val="24"/>
          <w:szCs w:val="24"/>
        </w:rPr>
      </w:r>
      <w:r w:rsidR="007E7203" w:rsidRPr="00683086">
        <w:rPr>
          <w:rFonts w:asciiTheme="majorBidi" w:eastAsia="Times New Roman" w:hAnsiTheme="majorBidi" w:cstheme="majorBidi"/>
          <w:sz w:val="24"/>
          <w:szCs w:val="24"/>
        </w:rPr>
        <w:fldChar w:fldCharType="separate"/>
      </w:r>
      <w:r w:rsidR="007E7203" w:rsidRPr="00683086">
        <w:rPr>
          <w:rFonts w:asciiTheme="majorBidi" w:eastAsia="Times New Roman" w:hAnsiTheme="majorBidi" w:cstheme="majorBidi"/>
          <w:sz w:val="24"/>
          <w:szCs w:val="24"/>
          <w:cs/>
        </w:rPr>
        <w:t>‎</w:t>
      </w:r>
      <w:r w:rsidR="007E7203" w:rsidRPr="00683086">
        <w:rPr>
          <w:rFonts w:asciiTheme="majorBidi" w:eastAsia="Times New Roman" w:hAnsiTheme="majorBidi" w:cstheme="majorBidi"/>
          <w:sz w:val="24"/>
          <w:szCs w:val="24"/>
          <w:vertAlign w:val="superscript"/>
        </w:rPr>
        <w:t>4</w:t>
      </w:r>
      <w:r w:rsidR="007E7203" w:rsidRPr="00683086">
        <w:rPr>
          <w:rFonts w:asciiTheme="majorBidi" w:eastAsia="Times New Roman" w:hAnsiTheme="majorBidi" w:cstheme="majorBidi"/>
          <w:sz w:val="24"/>
          <w:szCs w:val="24"/>
        </w:rPr>
        <w:fldChar w:fldCharType="end"/>
      </w:r>
    </w:p>
    <w:p w:rsidR="003B0844" w:rsidRPr="00041608" w:rsidRDefault="0010695E">
      <w:pPr>
        <w:shd w:val="clear" w:color="auto" w:fill="FFFFFF"/>
        <w:spacing w:after="160"/>
        <w:ind w:left="720"/>
        <w:jc w:val="center"/>
        <w:rPr>
          <w:rFonts w:ascii="Times New Roman" w:eastAsia="Times New Roman" w:hAnsi="Times New Roman" w:cs="Times New Roman"/>
          <w:sz w:val="24"/>
          <w:szCs w:val="24"/>
        </w:rPr>
      </w:pPr>
      <w:r w:rsidRPr="00041608">
        <w:rPr>
          <w:rFonts w:ascii="Times New Roman" w:eastAsia="Times New Roman" w:hAnsi="Times New Roman" w:cs="Times New Roman"/>
          <w:i/>
          <w:sz w:val="24"/>
          <w:szCs w:val="24"/>
        </w:rPr>
        <w:t>Table 6:</w:t>
      </w:r>
      <w:r w:rsidRPr="00041608">
        <w:rPr>
          <w:rFonts w:ascii="Times New Roman" w:eastAsia="Times New Roman" w:hAnsi="Times New Roman" w:cs="Times New Roman"/>
          <w:sz w:val="24"/>
          <w:szCs w:val="24"/>
        </w:rPr>
        <w:t xml:space="preserve"> Bacterial Species in UTI according to gender.</w:t>
      </w:r>
      <w:r w:rsidR="007E7203" w:rsidRPr="00041608">
        <w:rPr>
          <w:rFonts w:ascii="Times New Roman" w:eastAsia="Times New Roman" w:hAnsi="Times New Roman" w:cs="Times New Roman"/>
          <w:sz w:val="24"/>
          <w:szCs w:val="24"/>
          <w:vertAlign w:val="superscript"/>
        </w:rPr>
        <w:t>4</w:t>
      </w:r>
    </w:p>
    <w:p w:rsidR="003B0844" w:rsidRPr="00041608" w:rsidRDefault="0010695E">
      <w:pPr>
        <w:shd w:val="clear" w:color="auto" w:fill="FFFFFF"/>
        <w:spacing w:after="160"/>
        <w:ind w:left="720"/>
        <w:jc w:val="center"/>
        <w:rPr>
          <w:rFonts w:ascii="Times New Roman" w:eastAsia="Times New Roman" w:hAnsi="Times New Roman" w:cs="Times New Roman"/>
          <w:sz w:val="24"/>
          <w:szCs w:val="24"/>
        </w:rPr>
      </w:pPr>
      <w:r w:rsidRPr="00041608">
        <w:rPr>
          <w:noProof/>
          <w:lang w:val="en-GB"/>
        </w:rPr>
        <w:drawing>
          <wp:anchor distT="114300" distB="114300" distL="114300" distR="114300" simplePos="0" relativeHeight="251661312" behindDoc="0" locked="0" layoutInCell="1" hidden="0" allowOverlap="1" wp14:anchorId="06487268" wp14:editId="2459C6AA">
            <wp:simplePos x="0" y="0"/>
            <wp:positionH relativeFrom="column">
              <wp:posOffset>-857249</wp:posOffset>
            </wp:positionH>
            <wp:positionV relativeFrom="paragraph">
              <wp:posOffset>152400</wp:posOffset>
            </wp:positionV>
            <wp:extent cx="7273655" cy="1606631"/>
            <wp:effectExtent l="0" t="0" r="0" b="0"/>
            <wp:wrapTopAndBottom distT="114300" distB="11430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7273655" cy="1606631"/>
                    </a:xfrm>
                    <a:prstGeom prst="rect">
                      <a:avLst/>
                    </a:prstGeom>
                    <a:ln/>
                  </pic:spPr>
                </pic:pic>
              </a:graphicData>
            </a:graphic>
          </wp:anchor>
        </w:drawing>
      </w:r>
    </w:p>
    <w:p w:rsidR="003B0844" w:rsidRPr="00041608" w:rsidRDefault="003B0844">
      <w:pPr>
        <w:shd w:val="clear" w:color="auto" w:fill="FFFFFF"/>
        <w:spacing w:after="160"/>
        <w:rPr>
          <w:rFonts w:ascii="Times New Roman" w:eastAsia="Times New Roman" w:hAnsi="Times New Roman" w:cs="Times New Roman"/>
          <w:sz w:val="24"/>
          <w:szCs w:val="24"/>
        </w:rPr>
      </w:pPr>
    </w:p>
    <w:p w:rsidR="003B0844" w:rsidRPr="00683086" w:rsidRDefault="0010695E" w:rsidP="00683086">
      <w:pPr>
        <w:shd w:val="clear" w:color="auto" w:fill="FFFFFF"/>
        <w:spacing w:after="160"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lastRenderedPageBreak/>
        <w:t xml:space="preserve">This experiment’s results </w:t>
      </w:r>
      <w:proofErr w:type="spellStart"/>
      <w:proofErr w:type="gramStart"/>
      <w:r w:rsidRPr="00683086">
        <w:rPr>
          <w:rFonts w:asciiTheme="majorBidi" w:eastAsia="Times New Roman" w:hAnsiTheme="majorBidi" w:cstheme="majorBidi"/>
          <w:sz w:val="24"/>
          <w:szCs w:val="24"/>
        </w:rPr>
        <w:t>can not</w:t>
      </w:r>
      <w:proofErr w:type="spellEnd"/>
      <w:proofErr w:type="gramEnd"/>
      <w:r w:rsidRPr="00683086">
        <w:rPr>
          <w:rFonts w:asciiTheme="majorBidi" w:eastAsia="Times New Roman" w:hAnsiTheme="majorBidi" w:cstheme="majorBidi"/>
          <w:sz w:val="24"/>
          <w:szCs w:val="24"/>
        </w:rPr>
        <w:t xml:space="preserve"> be considered fully reliable due to a few different factors. For one, this experiment used theoretical data, and that interfered with the SPSS results. Secondly, the sample size used in this experiment is far too small. In this </w:t>
      </w:r>
      <w:proofErr w:type="gramStart"/>
      <w:r w:rsidRPr="00683086">
        <w:rPr>
          <w:rFonts w:asciiTheme="majorBidi" w:eastAsia="Times New Roman" w:hAnsiTheme="majorBidi" w:cstheme="majorBidi"/>
          <w:sz w:val="24"/>
          <w:szCs w:val="24"/>
        </w:rPr>
        <w:t>experiment</w:t>
      </w:r>
      <w:proofErr w:type="gramEnd"/>
      <w:r w:rsidRPr="00683086">
        <w:rPr>
          <w:rFonts w:asciiTheme="majorBidi" w:eastAsia="Times New Roman" w:hAnsiTheme="majorBidi" w:cstheme="majorBidi"/>
          <w:sz w:val="24"/>
          <w:szCs w:val="24"/>
        </w:rPr>
        <w:t xml:space="preserve"> there was a total of only 24 subjects, 12 of them female and 12 male. In comparison, Dr. </w:t>
      </w:r>
      <w:proofErr w:type="spellStart"/>
      <w:r w:rsidRPr="00683086">
        <w:rPr>
          <w:rFonts w:asciiTheme="majorBidi" w:eastAsia="Times New Roman" w:hAnsiTheme="majorBidi" w:cstheme="majorBidi"/>
          <w:sz w:val="24"/>
          <w:szCs w:val="24"/>
        </w:rPr>
        <w:t>Khalifa</w:t>
      </w:r>
      <w:proofErr w:type="spellEnd"/>
      <w:r w:rsidRPr="00683086">
        <w:rPr>
          <w:rFonts w:asciiTheme="majorBidi" w:eastAsia="Times New Roman" w:hAnsiTheme="majorBidi" w:cstheme="majorBidi"/>
          <w:sz w:val="24"/>
          <w:szCs w:val="24"/>
        </w:rPr>
        <w:t xml:space="preserve"> AA </w:t>
      </w:r>
      <w:proofErr w:type="spellStart"/>
      <w:r w:rsidRPr="00683086">
        <w:rPr>
          <w:rFonts w:asciiTheme="majorBidi" w:eastAsia="Times New Roman" w:hAnsiTheme="majorBidi" w:cstheme="majorBidi"/>
          <w:sz w:val="24"/>
          <w:szCs w:val="24"/>
        </w:rPr>
        <w:t>Fatnasa’s</w:t>
      </w:r>
      <w:proofErr w:type="spellEnd"/>
      <w:r w:rsidRPr="00683086">
        <w:rPr>
          <w:rFonts w:asciiTheme="majorBidi" w:eastAsia="Times New Roman" w:hAnsiTheme="majorBidi" w:cstheme="majorBidi"/>
          <w:sz w:val="24"/>
          <w:szCs w:val="24"/>
        </w:rPr>
        <w:t xml:space="preserve"> study included </w:t>
      </w:r>
      <w:proofErr w:type="gramStart"/>
      <w:r w:rsidRPr="00683086">
        <w:rPr>
          <w:rFonts w:asciiTheme="majorBidi" w:eastAsia="Times New Roman" w:hAnsiTheme="majorBidi" w:cstheme="majorBidi"/>
          <w:sz w:val="24"/>
          <w:szCs w:val="24"/>
        </w:rPr>
        <w:t>a total of 1508</w:t>
      </w:r>
      <w:proofErr w:type="gramEnd"/>
      <w:r w:rsidRPr="00683086">
        <w:rPr>
          <w:rFonts w:asciiTheme="majorBidi" w:eastAsia="Times New Roman" w:hAnsiTheme="majorBidi" w:cstheme="majorBidi"/>
          <w:sz w:val="24"/>
          <w:szCs w:val="24"/>
        </w:rPr>
        <w:t xml:space="preserve"> patients.</w:t>
      </w:r>
      <w:r w:rsidR="007E7203" w:rsidRPr="00683086">
        <w:rPr>
          <w:rFonts w:asciiTheme="majorBidi" w:eastAsia="Times New Roman" w:hAnsiTheme="majorBidi" w:cstheme="majorBidi"/>
          <w:sz w:val="24"/>
          <w:szCs w:val="24"/>
          <w:vertAlign w:val="superscript"/>
        </w:rPr>
        <w:fldChar w:fldCharType="begin"/>
      </w:r>
      <w:r w:rsidR="007E7203" w:rsidRPr="00683086">
        <w:rPr>
          <w:rFonts w:asciiTheme="majorBidi" w:eastAsia="Times New Roman" w:hAnsiTheme="majorBidi" w:cstheme="majorBidi"/>
          <w:sz w:val="24"/>
          <w:szCs w:val="24"/>
          <w:vertAlign w:val="superscript"/>
        </w:rPr>
        <w:instrText xml:space="preserve"> REF _Ref107736873 \r \h  \* MERGEFORMAT </w:instrText>
      </w:r>
      <w:r w:rsidR="007E7203" w:rsidRPr="00683086">
        <w:rPr>
          <w:rFonts w:asciiTheme="majorBidi" w:eastAsia="Times New Roman" w:hAnsiTheme="majorBidi" w:cstheme="majorBidi"/>
          <w:sz w:val="24"/>
          <w:szCs w:val="24"/>
          <w:vertAlign w:val="superscript"/>
        </w:rPr>
      </w:r>
      <w:r w:rsidR="007E7203" w:rsidRPr="00683086">
        <w:rPr>
          <w:rFonts w:asciiTheme="majorBidi" w:eastAsia="Times New Roman" w:hAnsiTheme="majorBidi" w:cstheme="majorBidi"/>
          <w:sz w:val="24"/>
          <w:szCs w:val="24"/>
          <w:vertAlign w:val="superscript"/>
        </w:rPr>
        <w:fldChar w:fldCharType="separate"/>
      </w:r>
      <w:r w:rsidR="007E7203" w:rsidRPr="00683086">
        <w:rPr>
          <w:rFonts w:asciiTheme="majorBidi" w:eastAsia="Times New Roman" w:hAnsiTheme="majorBidi" w:cstheme="majorBidi"/>
          <w:sz w:val="24"/>
          <w:szCs w:val="24"/>
          <w:vertAlign w:val="superscript"/>
          <w:cs/>
        </w:rPr>
        <w:t>‎</w:t>
      </w:r>
      <w:r w:rsidR="007E7203" w:rsidRPr="00683086">
        <w:rPr>
          <w:rFonts w:asciiTheme="majorBidi" w:eastAsia="Times New Roman" w:hAnsiTheme="majorBidi" w:cstheme="majorBidi"/>
          <w:sz w:val="24"/>
          <w:szCs w:val="24"/>
          <w:vertAlign w:val="superscript"/>
        </w:rPr>
        <w:t>4</w:t>
      </w:r>
      <w:r w:rsidR="007E7203" w:rsidRPr="00683086">
        <w:rPr>
          <w:rFonts w:asciiTheme="majorBidi" w:eastAsia="Times New Roman" w:hAnsiTheme="majorBidi" w:cstheme="majorBidi"/>
          <w:sz w:val="24"/>
          <w:szCs w:val="24"/>
          <w:vertAlign w:val="superscript"/>
        </w:rPr>
        <w:fldChar w:fldCharType="end"/>
      </w:r>
      <w:r w:rsidRPr="00683086">
        <w:rPr>
          <w:rFonts w:asciiTheme="majorBidi" w:eastAsia="Times New Roman" w:hAnsiTheme="majorBidi" w:cstheme="majorBidi"/>
          <w:sz w:val="24"/>
          <w:szCs w:val="24"/>
          <w:vertAlign w:val="superscript"/>
        </w:rPr>
        <w:t xml:space="preserve"> </w:t>
      </w:r>
      <w:r w:rsidRPr="00683086">
        <w:rPr>
          <w:rFonts w:asciiTheme="majorBidi" w:eastAsia="Times New Roman" w:hAnsiTheme="majorBidi" w:cstheme="majorBidi"/>
          <w:sz w:val="24"/>
          <w:szCs w:val="24"/>
        </w:rPr>
        <w:t xml:space="preserve">For this study to be remotely reliable a minimum of 100 patients should have been acquired. This way, outlier data would not screw the results as much and could be considered to reflect the </w:t>
      </w:r>
      <w:proofErr w:type="gramStart"/>
      <w:r w:rsidRPr="00683086">
        <w:rPr>
          <w:rFonts w:asciiTheme="majorBidi" w:eastAsia="Times New Roman" w:hAnsiTheme="majorBidi" w:cstheme="majorBidi"/>
          <w:sz w:val="24"/>
          <w:szCs w:val="24"/>
        </w:rPr>
        <w:t>general public</w:t>
      </w:r>
      <w:proofErr w:type="gramEnd"/>
      <w:r w:rsidRPr="00683086">
        <w:rPr>
          <w:rFonts w:asciiTheme="majorBidi" w:eastAsia="Times New Roman" w:hAnsiTheme="majorBidi" w:cstheme="majorBidi"/>
          <w:sz w:val="24"/>
          <w:szCs w:val="24"/>
        </w:rPr>
        <w:t xml:space="preserve"> to a greater extent. Thirdly, this study was limited to a specific </w:t>
      </w:r>
      <w:proofErr w:type="gramStart"/>
      <w:r w:rsidRPr="00683086">
        <w:rPr>
          <w:rFonts w:asciiTheme="majorBidi" w:eastAsia="Times New Roman" w:hAnsiTheme="majorBidi" w:cstheme="majorBidi"/>
          <w:sz w:val="24"/>
          <w:szCs w:val="24"/>
        </w:rPr>
        <w:t>population which</w:t>
      </w:r>
      <w:proofErr w:type="gramEnd"/>
      <w:r w:rsidRPr="00683086">
        <w:rPr>
          <w:rFonts w:asciiTheme="majorBidi" w:eastAsia="Times New Roman" w:hAnsiTheme="majorBidi" w:cstheme="majorBidi"/>
          <w:sz w:val="24"/>
          <w:szCs w:val="24"/>
        </w:rPr>
        <w:t xml:space="preserve"> gives a kind of false result. The population of which this study </w:t>
      </w:r>
      <w:proofErr w:type="gramStart"/>
      <w:r w:rsidRPr="00683086">
        <w:rPr>
          <w:rFonts w:asciiTheme="majorBidi" w:eastAsia="Times New Roman" w:hAnsiTheme="majorBidi" w:cstheme="majorBidi"/>
          <w:sz w:val="24"/>
          <w:szCs w:val="24"/>
        </w:rPr>
        <w:t>was conducted</w:t>
      </w:r>
      <w:proofErr w:type="gramEnd"/>
      <w:r w:rsidRPr="00683086">
        <w:rPr>
          <w:rFonts w:asciiTheme="majorBidi" w:eastAsia="Times New Roman" w:hAnsiTheme="majorBidi" w:cstheme="majorBidi"/>
          <w:sz w:val="24"/>
          <w:szCs w:val="24"/>
        </w:rPr>
        <w:t xml:space="preserve"> was of LIMU students in Libya. Assumptions that could accurately be made of this population are as follows: that the majority is comprised of </w:t>
      </w:r>
      <w:r w:rsidR="007E7203" w:rsidRPr="00683086">
        <w:rPr>
          <w:rFonts w:asciiTheme="majorBidi" w:eastAsia="Times New Roman" w:hAnsiTheme="majorBidi" w:cstheme="majorBidi"/>
          <w:sz w:val="24"/>
          <w:szCs w:val="24"/>
        </w:rPr>
        <w:t>adolescent</w:t>
      </w:r>
      <w:r w:rsidRPr="00683086">
        <w:rPr>
          <w:rFonts w:asciiTheme="majorBidi" w:eastAsia="Times New Roman" w:hAnsiTheme="majorBidi" w:cstheme="majorBidi"/>
          <w:sz w:val="24"/>
          <w:szCs w:val="24"/>
        </w:rPr>
        <w:t xml:space="preserve"> males and females whose age ranges from </w:t>
      </w:r>
      <w:proofErr w:type="gramStart"/>
      <w:r w:rsidRPr="00683086">
        <w:rPr>
          <w:rFonts w:asciiTheme="majorBidi" w:eastAsia="Times New Roman" w:hAnsiTheme="majorBidi" w:cstheme="majorBidi"/>
          <w:sz w:val="24"/>
          <w:szCs w:val="24"/>
        </w:rPr>
        <w:t>18-25,</w:t>
      </w:r>
      <w:proofErr w:type="gramEnd"/>
      <w:r w:rsidRPr="00683086">
        <w:rPr>
          <w:rFonts w:asciiTheme="majorBidi" w:eastAsia="Times New Roman" w:hAnsiTheme="majorBidi" w:cstheme="majorBidi"/>
          <w:sz w:val="24"/>
          <w:szCs w:val="24"/>
        </w:rPr>
        <w:t xml:space="preserve"> and that the majority of these students are not married and hence not sexually active (given that the experiment was conducted within the conservative </w:t>
      </w:r>
      <w:proofErr w:type="spellStart"/>
      <w:r w:rsidRPr="00683086">
        <w:rPr>
          <w:rFonts w:asciiTheme="majorBidi" w:eastAsia="Times New Roman" w:hAnsiTheme="majorBidi" w:cstheme="majorBidi"/>
          <w:sz w:val="24"/>
          <w:szCs w:val="24"/>
        </w:rPr>
        <w:t>libyan</w:t>
      </w:r>
      <w:proofErr w:type="spellEnd"/>
      <w:r w:rsidRPr="00683086">
        <w:rPr>
          <w:rFonts w:asciiTheme="majorBidi" w:eastAsia="Times New Roman" w:hAnsiTheme="majorBidi" w:cstheme="majorBidi"/>
          <w:sz w:val="24"/>
          <w:szCs w:val="24"/>
        </w:rPr>
        <w:t xml:space="preserve"> society). Restricting the sample of the study to such a population immensely alters the results. Age plays a very important factor in the prevalence of ASU. Though it is true that in adolescent years UTIs are more common among women than </w:t>
      </w:r>
      <w:proofErr w:type="gramStart"/>
      <w:r w:rsidRPr="00683086">
        <w:rPr>
          <w:rFonts w:asciiTheme="majorBidi" w:eastAsia="Times New Roman" w:hAnsiTheme="majorBidi" w:cstheme="majorBidi"/>
          <w:sz w:val="24"/>
          <w:szCs w:val="24"/>
        </w:rPr>
        <w:t>men</w:t>
      </w:r>
      <w:proofErr w:type="gramEnd"/>
      <w:r w:rsidRPr="00683086">
        <w:rPr>
          <w:rFonts w:asciiTheme="majorBidi" w:eastAsia="Times New Roman" w:hAnsiTheme="majorBidi" w:cstheme="majorBidi"/>
          <w:sz w:val="24"/>
          <w:szCs w:val="24"/>
        </w:rPr>
        <w:t>, it cannot be ignored that the prevalence in el</w:t>
      </w:r>
      <w:r w:rsidR="001F1843" w:rsidRPr="00683086">
        <w:rPr>
          <w:rFonts w:asciiTheme="majorBidi" w:eastAsia="Times New Roman" w:hAnsiTheme="majorBidi" w:cstheme="majorBidi"/>
          <w:sz w:val="24"/>
          <w:szCs w:val="24"/>
        </w:rPr>
        <w:t xml:space="preserve">derly men and women is </w:t>
      </w:r>
      <w:r w:rsidR="007E7203" w:rsidRPr="00683086">
        <w:rPr>
          <w:rFonts w:asciiTheme="majorBidi" w:eastAsia="Times New Roman" w:hAnsiTheme="majorBidi" w:cstheme="majorBidi"/>
          <w:sz w:val="24"/>
          <w:szCs w:val="24"/>
        </w:rPr>
        <w:t>similar.</w:t>
      </w:r>
      <w:r w:rsidR="007E7203" w:rsidRPr="00683086">
        <w:rPr>
          <w:rFonts w:asciiTheme="majorBidi" w:eastAsia="Times New Roman" w:hAnsiTheme="majorBidi" w:cstheme="majorBidi"/>
          <w:sz w:val="24"/>
          <w:szCs w:val="24"/>
          <w:vertAlign w:val="superscript"/>
        </w:rPr>
        <w:fldChar w:fldCharType="begin"/>
      </w:r>
      <w:r w:rsidR="007E7203" w:rsidRPr="00683086">
        <w:rPr>
          <w:rFonts w:asciiTheme="majorBidi" w:eastAsia="Times New Roman" w:hAnsiTheme="majorBidi" w:cstheme="majorBidi"/>
          <w:sz w:val="24"/>
          <w:szCs w:val="24"/>
          <w:vertAlign w:val="superscript"/>
        </w:rPr>
        <w:instrText xml:space="preserve"> REF _Ref107737162 \r \h  \* MERGEFORMAT </w:instrText>
      </w:r>
      <w:r w:rsidR="007E7203" w:rsidRPr="00683086">
        <w:rPr>
          <w:rFonts w:asciiTheme="majorBidi" w:eastAsia="Times New Roman" w:hAnsiTheme="majorBidi" w:cstheme="majorBidi"/>
          <w:sz w:val="24"/>
          <w:szCs w:val="24"/>
          <w:vertAlign w:val="superscript"/>
        </w:rPr>
      </w:r>
      <w:r w:rsidR="007E7203" w:rsidRPr="00683086">
        <w:rPr>
          <w:rFonts w:asciiTheme="majorBidi" w:eastAsia="Times New Roman" w:hAnsiTheme="majorBidi" w:cstheme="majorBidi"/>
          <w:sz w:val="24"/>
          <w:szCs w:val="24"/>
          <w:vertAlign w:val="superscript"/>
        </w:rPr>
        <w:fldChar w:fldCharType="separate"/>
      </w:r>
      <w:r w:rsidR="007E7203" w:rsidRPr="00683086">
        <w:rPr>
          <w:rFonts w:asciiTheme="majorBidi" w:eastAsia="Times New Roman" w:hAnsiTheme="majorBidi" w:cstheme="majorBidi"/>
          <w:sz w:val="24"/>
          <w:szCs w:val="24"/>
          <w:vertAlign w:val="superscript"/>
          <w:cs/>
        </w:rPr>
        <w:t>‎</w:t>
      </w:r>
      <w:r w:rsidR="007E7203" w:rsidRPr="00683086">
        <w:rPr>
          <w:rFonts w:asciiTheme="majorBidi" w:eastAsia="Times New Roman" w:hAnsiTheme="majorBidi" w:cstheme="majorBidi"/>
          <w:sz w:val="24"/>
          <w:szCs w:val="24"/>
          <w:vertAlign w:val="superscript"/>
        </w:rPr>
        <w:t>12</w:t>
      </w:r>
      <w:r w:rsidR="007E7203" w:rsidRPr="00683086">
        <w:rPr>
          <w:rFonts w:asciiTheme="majorBidi" w:eastAsia="Times New Roman" w:hAnsiTheme="majorBidi" w:cstheme="majorBidi"/>
          <w:sz w:val="24"/>
          <w:szCs w:val="24"/>
          <w:vertAlign w:val="superscript"/>
        </w:rPr>
        <w:fldChar w:fldCharType="end"/>
      </w:r>
      <w:r w:rsidR="007E7203" w:rsidRPr="00683086">
        <w:rPr>
          <w:rFonts w:asciiTheme="majorBidi" w:eastAsia="Times New Roman" w:hAnsiTheme="majorBidi" w:cstheme="majorBidi"/>
          <w:sz w:val="24"/>
          <w:szCs w:val="24"/>
        </w:rPr>
        <w:t xml:space="preserve"> The</w:t>
      </w:r>
      <w:r w:rsidRPr="00683086">
        <w:rPr>
          <w:rFonts w:asciiTheme="majorBidi" w:eastAsia="Times New Roman" w:hAnsiTheme="majorBidi" w:cstheme="majorBidi"/>
          <w:sz w:val="24"/>
          <w:szCs w:val="24"/>
        </w:rPr>
        <w:t xml:space="preserve"> </w:t>
      </w:r>
      <w:proofErr w:type="spellStart"/>
      <w:r w:rsidRPr="00683086">
        <w:rPr>
          <w:rFonts w:asciiTheme="majorBidi" w:eastAsia="Times New Roman" w:hAnsiTheme="majorBidi" w:cstheme="majorBidi"/>
          <w:sz w:val="24"/>
          <w:szCs w:val="24"/>
        </w:rPr>
        <w:t>sexaual</w:t>
      </w:r>
      <w:proofErr w:type="spellEnd"/>
      <w:r w:rsidRPr="00683086">
        <w:rPr>
          <w:rFonts w:asciiTheme="majorBidi" w:eastAsia="Times New Roman" w:hAnsiTheme="majorBidi" w:cstheme="majorBidi"/>
          <w:sz w:val="24"/>
          <w:szCs w:val="24"/>
        </w:rPr>
        <w:t xml:space="preserve"> activity status of the subjects is also of utmost importance when diagnosing and researching UTI The predominant UTI risk factors in young women are sexual intercourse and the use of spermicidal contraceptives and the case is </w:t>
      </w:r>
      <w:r w:rsidR="007E7203" w:rsidRPr="00683086">
        <w:rPr>
          <w:rFonts w:asciiTheme="majorBidi" w:eastAsia="Times New Roman" w:hAnsiTheme="majorBidi" w:cstheme="majorBidi"/>
          <w:sz w:val="24"/>
          <w:szCs w:val="24"/>
        </w:rPr>
        <w:t>similar</w:t>
      </w:r>
      <w:r w:rsidRPr="00683086">
        <w:rPr>
          <w:rFonts w:asciiTheme="majorBidi" w:eastAsia="Times New Roman" w:hAnsiTheme="majorBidi" w:cstheme="majorBidi"/>
          <w:sz w:val="24"/>
          <w:szCs w:val="24"/>
        </w:rPr>
        <w:t xml:space="preserve"> with adolescent young men.</w:t>
      </w:r>
      <w:r w:rsidR="007E7203" w:rsidRPr="00683086">
        <w:rPr>
          <w:rFonts w:asciiTheme="majorBidi" w:eastAsia="Times New Roman" w:hAnsiTheme="majorBidi" w:cstheme="majorBidi"/>
          <w:sz w:val="24"/>
          <w:szCs w:val="24"/>
        </w:rPr>
        <w:fldChar w:fldCharType="begin"/>
      </w:r>
      <w:r w:rsidR="007E7203" w:rsidRPr="00683086">
        <w:rPr>
          <w:rFonts w:asciiTheme="majorBidi" w:eastAsia="Times New Roman" w:hAnsiTheme="majorBidi" w:cstheme="majorBidi"/>
          <w:sz w:val="24"/>
          <w:szCs w:val="24"/>
        </w:rPr>
        <w:instrText xml:space="preserve"> REF _Ref107737162 \r \h  \* MERGEFORMAT </w:instrText>
      </w:r>
      <w:r w:rsidR="007E7203" w:rsidRPr="00683086">
        <w:rPr>
          <w:rFonts w:asciiTheme="majorBidi" w:eastAsia="Times New Roman" w:hAnsiTheme="majorBidi" w:cstheme="majorBidi"/>
          <w:sz w:val="24"/>
          <w:szCs w:val="24"/>
        </w:rPr>
      </w:r>
      <w:r w:rsidR="007E7203" w:rsidRPr="00683086">
        <w:rPr>
          <w:rFonts w:asciiTheme="majorBidi" w:eastAsia="Times New Roman" w:hAnsiTheme="majorBidi" w:cstheme="majorBidi"/>
          <w:sz w:val="24"/>
          <w:szCs w:val="24"/>
        </w:rPr>
        <w:fldChar w:fldCharType="separate"/>
      </w:r>
      <w:r w:rsidR="007E7203" w:rsidRPr="00683086">
        <w:rPr>
          <w:rFonts w:asciiTheme="majorBidi" w:eastAsia="Times New Roman" w:hAnsiTheme="majorBidi" w:cstheme="majorBidi"/>
          <w:sz w:val="24"/>
          <w:szCs w:val="24"/>
          <w:cs/>
        </w:rPr>
        <w:t>‎</w:t>
      </w:r>
      <w:r w:rsidR="007E7203" w:rsidRPr="00683086">
        <w:rPr>
          <w:rFonts w:asciiTheme="majorBidi" w:eastAsia="Times New Roman" w:hAnsiTheme="majorBidi" w:cstheme="majorBidi"/>
          <w:sz w:val="24"/>
          <w:szCs w:val="24"/>
          <w:vertAlign w:val="superscript"/>
        </w:rPr>
        <w:t>12</w:t>
      </w:r>
      <w:r w:rsidR="007E7203" w:rsidRPr="00683086">
        <w:rPr>
          <w:rFonts w:asciiTheme="majorBidi" w:eastAsia="Times New Roman" w:hAnsiTheme="majorBidi" w:cstheme="majorBidi"/>
          <w:sz w:val="24"/>
          <w:szCs w:val="24"/>
        </w:rPr>
        <w:fldChar w:fldCharType="end"/>
      </w:r>
      <w:r w:rsidRPr="00683086">
        <w:rPr>
          <w:rFonts w:asciiTheme="majorBidi" w:eastAsia="Times New Roman" w:hAnsiTheme="majorBidi" w:cstheme="majorBidi"/>
          <w:sz w:val="24"/>
          <w:szCs w:val="24"/>
        </w:rPr>
        <w:t xml:space="preserve"> Albeit UTI is not as common among adult men younger than 50, within this population the symptoms are almost always due to sexually </w:t>
      </w:r>
      <w:r w:rsidR="00683086" w:rsidRPr="00683086">
        <w:rPr>
          <w:rFonts w:asciiTheme="majorBidi" w:eastAsia="Times New Roman" w:hAnsiTheme="majorBidi" w:cstheme="majorBidi"/>
          <w:sz w:val="24"/>
          <w:szCs w:val="24"/>
        </w:rPr>
        <w:t>transmitted</w:t>
      </w:r>
      <w:r w:rsidRPr="00683086">
        <w:rPr>
          <w:rFonts w:asciiTheme="majorBidi" w:eastAsia="Times New Roman" w:hAnsiTheme="majorBidi" w:cstheme="majorBidi"/>
          <w:sz w:val="24"/>
          <w:szCs w:val="24"/>
        </w:rPr>
        <w:t xml:space="preserve"> infections related to the urethra and the prostate.</w:t>
      </w:r>
      <w:r w:rsidRPr="00683086">
        <w:rPr>
          <w:rFonts w:asciiTheme="majorBidi" w:eastAsia="Times New Roman" w:hAnsiTheme="majorBidi" w:cstheme="majorBidi"/>
          <w:sz w:val="24"/>
          <w:szCs w:val="24"/>
          <w:highlight w:val="white"/>
        </w:rPr>
        <w:t xml:space="preserve"> </w:t>
      </w:r>
      <w:r w:rsidRPr="00683086">
        <w:rPr>
          <w:rFonts w:asciiTheme="majorBidi" w:eastAsia="Times New Roman" w:hAnsiTheme="majorBidi" w:cstheme="majorBidi"/>
          <w:sz w:val="24"/>
          <w:szCs w:val="24"/>
        </w:rPr>
        <w:t xml:space="preserve">All of these factors </w:t>
      </w:r>
      <w:proofErr w:type="gramStart"/>
      <w:r w:rsidRPr="00683086">
        <w:rPr>
          <w:rFonts w:asciiTheme="majorBidi" w:eastAsia="Times New Roman" w:hAnsiTheme="majorBidi" w:cstheme="majorBidi"/>
          <w:sz w:val="24"/>
          <w:szCs w:val="24"/>
        </w:rPr>
        <w:t>should be considered</w:t>
      </w:r>
      <w:proofErr w:type="gramEnd"/>
      <w:r w:rsidRPr="00683086">
        <w:rPr>
          <w:rFonts w:asciiTheme="majorBidi" w:eastAsia="Times New Roman" w:hAnsiTheme="majorBidi" w:cstheme="majorBidi"/>
          <w:sz w:val="24"/>
          <w:szCs w:val="24"/>
        </w:rPr>
        <w:t xml:space="preserve"> when discussing the results obtained from this experiment.</w:t>
      </w:r>
    </w:p>
    <w:p w:rsidR="003B0844" w:rsidRPr="00683086" w:rsidRDefault="0010695E" w:rsidP="00683086">
      <w:pPr>
        <w:shd w:val="clear" w:color="auto" w:fill="FFFFFF"/>
        <w:spacing w:after="160"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Another experimental error that </w:t>
      </w:r>
      <w:proofErr w:type="gramStart"/>
      <w:r w:rsidRPr="00683086">
        <w:rPr>
          <w:rFonts w:asciiTheme="majorBidi" w:eastAsia="Times New Roman" w:hAnsiTheme="majorBidi" w:cstheme="majorBidi"/>
          <w:sz w:val="24"/>
          <w:szCs w:val="24"/>
        </w:rPr>
        <w:t>was conducted</w:t>
      </w:r>
      <w:proofErr w:type="gramEnd"/>
      <w:r w:rsidRPr="00683086">
        <w:rPr>
          <w:rFonts w:asciiTheme="majorBidi" w:eastAsia="Times New Roman" w:hAnsiTheme="majorBidi" w:cstheme="majorBidi"/>
          <w:sz w:val="24"/>
          <w:szCs w:val="24"/>
        </w:rPr>
        <w:t xml:space="preserve"> was the fact that Diabetes Mellitus was not considered as a factor when screening for the subjects. UTI is</w:t>
      </w:r>
      <w:r w:rsidR="00041608" w:rsidRPr="00683086">
        <w:rPr>
          <w:rFonts w:asciiTheme="majorBidi" w:eastAsia="Times New Roman" w:hAnsiTheme="majorBidi" w:cstheme="majorBidi"/>
          <w:sz w:val="24"/>
          <w:szCs w:val="24"/>
        </w:rPr>
        <w:t xml:space="preserve"> a common infection observed in diabetic patients, altering the genitourinary tract and leading to UTI which can cause severe complications.</w:t>
      </w:r>
      <w:r w:rsidR="00041608" w:rsidRPr="00683086">
        <w:rPr>
          <w:rFonts w:asciiTheme="majorBidi" w:eastAsia="Times New Roman" w:hAnsiTheme="majorBidi" w:cstheme="majorBidi"/>
          <w:sz w:val="24"/>
          <w:szCs w:val="24"/>
          <w:vertAlign w:val="superscript"/>
        </w:rPr>
        <w:t>4</w:t>
      </w:r>
      <w:r w:rsidR="00041608" w:rsidRPr="00683086">
        <w:rPr>
          <w:rFonts w:asciiTheme="majorBidi" w:eastAsia="Times New Roman" w:hAnsiTheme="majorBidi" w:cstheme="majorBidi"/>
          <w:sz w:val="24"/>
          <w:szCs w:val="24"/>
        </w:rPr>
        <w:t xml:space="preserve"> </w:t>
      </w:r>
      <w:r w:rsidRPr="00683086">
        <w:rPr>
          <w:rFonts w:asciiTheme="majorBidi" w:eastAsia="Times New Roman" w:hAnsiTheme="majorBidi" w:cstheme="majorBidi"/>
          <w:sz w:val="24"/>
          <w:szCs w:val="24"/>
        </w:rPr>
        <w:t xml:space="preserve">Like so, being diabetic does not only increase the risk of acquiring UTI but also increases the risk of its recurrence. For </w:t>
      </w:r>
      <w:r w:rsidR="00041608" w:rsidRPr="00683086">
        <w:rPr>
          <w:rFonts w:asciiTheme="majorBidi" w:eastAsia="Times New Roman" w:hAnsiTheme="majorBidi" w:cstheme="majorBidi"/>
          <w:sz w:val="24"/>
          <w:szCs w:val="24"/>
        </w:rPr>
        <w:t>glycosuria</w:t>
      </w:r>
      <w:r w:rsidRPr="00683086">
        <w:rPr>
          <w:rFonts w:asciiTheme="majorBidi" w:eastAsia="Times New Roman" w:hAnsiTheme="majorBidi" w:cstheme="majorBidi"/>
          <w:sz w:val="24"/>
          <w:szCs w:val="24"/>
        </w:rPr>
        <w:t xml:space="preserve">, colonization by a different </w:t>
      </w:r>
      <w:proofErr w:type="spellStart"/>
      <w:r w:rsidRPr="00683086">
        <w:rPr>
          <w:rFonts w:asciiTheme="majorBidi" w:eastAsia="Times New Roman" w:hAnsiTheme="majorBidi" w:cstheme="majorBidi"/>
          <w:sz w:val="24"/>
          <w:szCs w:val="24"/>
        </w:rPr>
        <w:t>uropathogen</w:t>
      </w:r>
      <w:proofErr w:type="spellEnd"/>
      <w:r w:rsidRPr="00683086">
        <w:rPr>
          <w:rFonts w:asciiTheme="majorBidi" w:eastAsia="Times New Roman" w:hAnsiTheme="majorBidi" w:cstheme="majorBidi"/>
          <w:sz w:val="24"/>
          <w:szCs w:val="24"/>
        </w:rPr>
        <w:t xml:space="preserve"> and impaired granulocyte function are among the most prominent </w:t>
      </w:r>
      <w:r w:rsidRPr="00683086">
        <w:rPr>
          <w:rFonts w:asciiTheme="majorBidi" w:eastAsia="Times New Roman" w:hAnsiTheme="majorBidi" w:cstheme="majorBidi"/>
          <w:sz w:val="24"/>
          <w:szCs w:val="24"/>
        </w:rPr>
        <w:lastRenderedPageBreak/>
        <w:t>risks of recurrence of UTI.</w:t>
      </w:r>
      <w:r w:rsidR="007E7203" w:rsidRPr="00683086">
        <w:rPr>
          <w:rFonts w:asciiTheme="majorBidi" w:eastAsia="Times New Roman" w:hAnsiTheme="majorBidi" w:cstheme="majorBidi"/>
          <w:sz w:val="24"/>
          <w:szCs w:val="24"/>
        </w:rPr>
        <w:fldChar w:fldCharType="begin"/>
      </w:r>
      <w:r w:rsidR="007E7203" w:rsidRPr="00683086">
        <w:rPr>
          <w:rFonts w:asciiTheme="majorBidi" w:eastAsia="Times New Roman" w:hAnsiTheme="majorBidi" w:cstheme="majorBidi"/>
          <w:sz w:val="24"/>
          <w:szCs w:val="24"/>
        </w:rPr>
        <w:instrText xml:space="preserve"> REF _Ref107736873 \r \h  \* MERGEFORMAT </w:instrText>
      </w:r>
      <w:r w:rsidR="007E7203" w:rsidRPr="00683086">
        <w:rPr>
          <w:rFonts w:asciiTheme="majorBidi" w:eastAsia="Times New Roman" w:hAnsiTheme="majorBidi" w:cstheme="majorBidi"/>
          <w:sz w:val="24"/>
          <w:szCs w:val="24"/>
        </w:rPr>
      </w:r>
      <w:r w:rsidR="007E7203" w:rsidRPr="00683086">
        <w:rPr>
          <w:rFonts w:asciiTheme="majorBidi" w:eastAsia="Times New Roman" w:hAnsiTheme="majorBidi" w:cstheme="majorBidi"/>
          <w:sz w:val="24"/>
          <w:szCs w:val="24"/>
        </w:rPr>
        <w:fldChar w:fldCharType="separate"/>
      </w:r>
      <w:r w:rsidR="007E7203" w:rsidRPr="00683086">
        <w:rPr>
          <w:rFonts w:asciiTheme="majorBidi" w:eastAsia="Times New Roman" w:hAnsiTheme="majorBidi" w:cstheme="majorBidi"/>
          <w:sz w:val="24"/>
          <w:szCs w:val="24"/>
          <w:cs/>
        </w:rPr>
        <w:t>‎</w:t>
      </w:r>
      <w:r w:rsidR="007E7203" w:rsidRPr="00683086">
        <w:rPr>
          <w:rFonts w:asciiTheme="majorBidi" w:eastAsia="Times New Roman" w:hAnsiTheme="majorBidi" w:cstheme="majorBidi"/>
          <w:sz w:val="24"/>
          <w:szCs w:val="24"/>
          <w:vertAlign w:val="superscript"/>
        </w:rPr>
        <w:t>4</w:t>
      </w:r>
      <w:r w:rsidR="007E7203" w:rsidRPr="00683086">
        <w:rPr>
          <w:rFonts w:asciiTheme="majorBidi" w:eastAsia="Times New Roman" w:hAnsiTheme="majorBidi" w:cstheme="majorBidi"/>
          <w:sz w:val="24"/>
          <w:szCs w:val="24"/>
        </w:rPr>
        <w:fldChar w:fldCharType="end"/>
      </w:r>
      <w:r w:rsidRPr="00683086">
        <w:rPr>
          <w:rFonts w:asciiTheme="majorBidi" w:eastAsia="Times New Roman" w:hAnsiTheme="majorBidi" w:cstheme="majorBidi"/>
          <w:sz w:val="24"/>
          <w:szCs w:val="24"/>
        </w:rPr>
        <w:t xml:space="preserve"> If the percentage of diabetic patients in this experiment was </w:t>
      </w:r>
      <w:proofErr w:type="gramStart"/>
      <w:r w:rsidR="007E7203" w:rsidRPr="00683086">
        <w:rPr>
          <w:rFonts w:asciiTheme="majorBidi" w:eastAsia="Times New Roman" w:hAnsiTheme="majorBidi" w:cstheme="majorBidi"/>
          <w:sz w:val="24"/>
          <w:szCs w:val="24"/>
        </w:rPr>
        <w:t>substanti</w:t>
      </w:r>
      <w:r w:rsidR="00041608" w:rsidRPr="00683086">
        <w:rPr>
          <w:rFonts w:asciiTheme="majorBidi" w:eastAsia="Times New Roman" w:hAnsiTheme="majorBidi" w:cstheme="majorBidi"/>
          <w:sz w:val="24"/>
          <w:szCs w:val="24"/>
        </w:rPr>
        <w:t>al,</w:t>
      </w:r>
      <w:proofErr w:type="gramEnd"/>
      <w:r w:rsidRPr="00683086">
        <w:rPr>
          <w:rFonts w:asciiTheme="majorBidi" w:eastAsia="Times New Roman" w:hAnsiTheme="majorBidi" w:cstheme="majorBidi"/>
          <w:sz w:val="24"/>
          <w:szCs w:val="24"/>
        </w:rPr>
        <w:t xml:space="preserve"> this would critically alter the results obtained.</w:t>
      </w:r>
    </w:p>
    <w:p w:rsidR="003B0844" w:rsidRPr="00683086" w:rsidRDefault="0010695E" w:rsidP="00683086">
      <w:pPr>
        <w:shd w:val="clear" w:color="auto" w:fill="FFFFFF"/>
        <w:spacing w:after="160"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Thus, a recommendation to fix this error is to issue a survey or questionnaire inquiring about the sexual </w:t>
      </w:r>
      <w:r w:rsidR="00041608" w:rsidRPr="00683086">
        <w:rPr>
          <w:rFonts w:asciiTheme="majorBidi" w:eastAsia="Times New Roman" w:hAnsiTheme="majorBidi" w:cstheme="majorBidi"/>
          <w:sz w:val="24"/>
          <w:szCs w:val="24"/>
        </w:rPr>
        <w:t>activity</w:t>
      </w:r>
      <w:r w:rsidRPr="00683086">
        <w:rPr>
          <w:rFonts w:asciiTheme="majorBidi" w:eastAsia="Times New Roman" w:hAnsiTheme="majorBidi" w:cstheme="majorBidi"/>
          <w:sz w:val="24"/>
          <w:szCs w:val="24"/>
        </w:rPr>
        <w:t xml:space="preserve"> of the subject, whether or not they </w:t>
      </w:r>
      <w:proofErr w:type="gramStart"/>
      <w:r w:rsidRPr="00683086">
        <w:rPr>
          <w:rFonts w:asciiTheme="majorBidi" w:eastAsia="Times New Roman" w:hAnsiTheme="majorBidi" w:cstheme="majorBidi"/>
          <w:sz w:val="24"/>
          <w:szCs w:val="24"/>
        </w:rPr>
        <w:t>were diagnosed</w:t>
      </w:r>
      <w:proofErr w:type="gramEnd"/>
      <w:r w:rsidRPr="00683086">
        <w:rPr>
          <w:rFonts w:asciiTheme="majorBidi" w:eastAsia="Times New Roman" w:hAnsiTheme="majorBidi" w:cstheme="majorBidi"/>
          <w:sz w:val="24"/>
          <w:szCs w:val="24"/>
        </w:rPr>
        <w:t xml:space="preserve"> with diabetes along with any other health issues; and to include them in the data and SPSS analysis provided.</w:t>
      </w:r>
    </w:p>
    <w:p w:rsidR="003B0844" w:rsidRDefault="003B0844">
      <w:pPr>
        <w:rPr>
          <w:rFonts w:ascii="Times New Roman" w:eastAsia="Times New Roman" w:hAnsi="Times New Roman" w:cs="Times New Roman"/>
          <w:b/>
          <w:sz w:val="24"/>
          <w:szCs w:val="24"/>
        </w:rPr>
      </w:pPr>
    </w:p>
    <w:p w:rsidR="003B0844" w:rsidRDefault="0010695E">
      <w:pPr>
        <w:pStyle w:val="1"/>
      </w:pPr>
      <w:bookmarkStart w:id="8" w:name="_Toc107700884"/>
      <w:r>
        <w:t>Conclusion:</w:t>
      </w:r>
      <w:bookmarkEnd w:id="8"/>
    </w:p>
    <w:p w:rsidR="003B0844" w:rsidRDefault="003B0844">
      <w:pPr>
        <w:rPr>
          <w:rFonts w:ascii="Times New Roman" w:eastAsia="Times New Roman" w:hAnsi="Times New Roman" w:cs="Times New Roman"/>
          <w:sz w:val="24"/>
          <w:szCs w:val="24"/>
        </w:rPr>
      </w:pPr>
    </w:p>
    <w:p w:rsidR="003B0844" w:rsidRPr="00683086" w:rsidRDefault="0010695E" w:rsidP="00683086">
      <w:pPr>
        <w:spacing w:line="360" w:lineRule="auto"/>
        <w:rPr>
          <w:rFonts w:asciiTheme="majorBidi" w:eastAsia="Times New Roman" w:hAnsiTheme="majorBidi" w:cstheme="majorBidi"/>
          <w:sz w:val="24"/>
          <w:szCs w:val="24"/>
        </w:rPr>
      </w:pPr>
      <w:r w:rsidRPr="00683086">
        <w:rPr>
          <w:rFonts w:asciiTheme="majorBidi" w:eastAsia="Times New Roman" w:hAnsiTheme="majorBidi" w:cstheme="majorBidi"/>
          <w:sz w:val="24"/>
          <w:szCs w:val="24"/>
        </w:rPr>
        <w:t xml:space="preserve">Asymptomatic Bacteriuria is the presence of urine without manifesting any UTI symptoms. It is a very common medical phenomenon with prevalence more in females than in males. In this experiment, 16.7% of females had significant growth indicative of ASU. In comparison, 0% of males had significant growth indicative of ASU. The most common isolated organism in ASU is </w:t>
      </w:r>
      <w:proofErr w:type="spellStart"/>
      <w:r w:rsidRPr="00683086">
        <w:rPr>
          <w:rFonts w:asciiTheme="majorBidi" w:eastAsia="Times New Roman" w:hAnsiTheme="majorBidi" w:cstheme="majorBidi"/>
          <w:i/>
          <w:iCs/>
          <w:sz w:val="24"/>
          <w:szCs w:val="24"/>
        </w:rPr>
        <w:t>E.coli</w:t>
      </w:r>
      <w:proofErr w:type="spellEnd"/>
      <w:r w:rsidRPr="00683086">
        <w:rPr>
          <w:rFonts w:asciiTheme="majorBidi" w:eastAsia="Times New Roman" w:hAnsiTheme="majorBidi" w:cstheme="majorBidi"/>
          <w:i/>
          <w:iCs/>
          <w:sz w:val="24"/>
          <w:szCs w:val="24"/>
        </w:rPr>
        <w:t xml:space="preserve">. </w:t>
      </w:r>
      <w:r w:rsidRPr="00683086">
        <w:rPr>
          <w:rFonts w:asciiTheme="majorBidi" w:eastAsia="Times New Roman" w:hAnsiTheme="majorBidi" w:cstheme="majorBidi"/>
          <w:sz w:val="24"/>
          <w:szCs w:val="24"/>
        </w:rPr>
        <w:t xml:space="preserve">If this experiment is to </w:t>
      </w:r>
      <w:proofErr w:type="gramStart"/>
      <w:r w:rsidRPr="00683086">
        <w:rPr>
          <w:rFonts w:asciiTheme="majorBidi" w:eastAsia="Times New Roman" w:hAnsiTheme="majorBidi" w:cstheme="majorBidi"/>
          <w:sz w:val="24"/>
          <w:szCs w:val="24"/>
        </w:rPr>
        <w:t>be redone</w:t>
      </w:r>
      <w:proofErr w:type="gramEnd"/>
      <w:r w:rsidRPr="00683086">
        <w:rPr>
          <w:rFonts w:asciiTheme="majorBidi" w:eastAsia="Times New Roman" w:hAnsiTheme="majorBidi" w:cstheme="majorBidi"/>
          <w:sz w:val="24"/>
          <w:szCs w:val="24"/>
        </w:rPr>
        <w:t>, the emphasis must be put on collecting a larger sample for more conclusive results. This study served to spread awareness for ASU and its difference from UTI.</w:t>
      </w:r>
    </w:p>
    <w:p w:rsidR="00683086" w:rsidRDefault="00683086">
      <w:pPr>
        <w:rPr>
          <w:rFonts w:ascii="Times New Roman" w:eastAsia="Times New Roman" w:hAnsi="Times New Roman" w:cs="Times New Roman"/>
          <w:color w:val="212121"/>
          <w:sz w:val="24"/>
          <w:szCs w:val="24"/>
          <w:shd w:val="clear" w:color="auto" w:fill="FEFFFF"/>
        </w:rPr>
      </w:pPr>
      <w:r>
        <w:rPr>
          <w:rFonts w:ascii="Times New Roman" w:eastAsia="Times New Roman" w:hAnsi="Times New Roman" w:cs="Times New Roman"/>
          <w:color w:val="212121"/>
          <w:sz w:val="24"/>
          <w:szCs w:val="24"/>
          <w:shd w:val="clear" w:color="auto" w:fill="FEFFFF"/>
        </w:rPr>
        <w:br w:type="page"/>
      </w:r>
    </w:p>
    <w:p w:rsidR="003B0844" w:rsidRDefault="003B0844" w:rsidP="00884026">
      <w:pPr>
        <w:widowControl w:val="0"/>
        <w:spacing w:line="360" w:lineRule="auto"/>
        <w:ind w:left="360"/>
        <w:rPr>
          <w:rFonts w:ascii="Times New Roman" w:eastAsia="Times New Roman" w:hAnsi="Times New Roman" w:cs="Times New Roman"/>
          <w:color w:val="212121"/>
          <w:sz w:val="24"/>
          <w:szCs w:val="24"/>
          <w:shd w:val="clear" w:color="auto" w:fill="FEFFFF"/>
        </w:rPr>
      </w:pPr>
    </w:p>
    <w:bookmarkStart w:id="9" w:name="_Toc107700885" w:displacedByCustomXml="next"/>
    <w:sdt>
      <w:sdtPr>
        <w:rPr>
          <w:rFonts w:ascii="Arial" w:eastAsia="Arial" w:hAnsi="Arial" w:cs="Arial"/>
          <w:b w:val="0"/>
          <w:sz w:val="22"/>
          <w:szCs w:val="22"/>
          <w:lang w:val="ar-SA"/>
        </w:rPr>
        <w:id w:val="-1932040346"/>
        <w:docPartObj>
          <w:docPartGallery w:val="Bibliographies"/>
          <w:docPartUnique/>
        </w:docPartObj>
      </w:sdtPr>
      <w:sdtEndPr>
        <w:rPr>
          <w:bCs/>
          <w:lang w:val="en"/>
        </w:rPr>
      </w:sdtEndPr>
      <w:sdtContent>
        <w:p w:rsidR="00CD3119" w:rsidRDefault="00CD3119" w:rsidP="00CD3119">
          <w:pPr>
            <w:pStyle w:val="1"/>
          </w:pPr>
          <w:r w:rsidRPr="00CD3119">
            <w:t>References</w:t>
          </w:r>
          <w:bookmarkEnd w:id="9"/>
        </w:p>
        <w:p w:rsidR="001F1843" w:rsidRDefault="00CD3119" w:rsidP="001F1843">
          <w:pPr>
            <w:pStyle w:val="a8"/>
            <w:ind w:left="720" w:hanging="720"/>
            <w:rPr>
              <w:noProof/>
              <w:lang w:val="en"/>
            </w:rPr>
          </w:pPr>
          <w:r>
            <w:fldChar w:fldCharType="begin"/>
          </w:r>
          <w:r>
            <w:instrText>BIBLIOGRAPHY</w:instrText>
          </w:r>
          <w:r>
            <w:fldChar w:fldCharType="separate"/>
          </w:r>
          <w:bookmarkStart w:id="10" w:name="_Ref107701473"/>
        </w:p>
        <w:p w:rsidR="001F1843" w:rsidRDefault="001F1843" w:rsidP="001F1843">
          <w:pPr>
            <w:pStyle w:val="a8"/>
            <w:numPr>
              <w:ilvl w:val="0"/>
              <w:numId w:val="4"/>
            </w:numPr>
            <w:rPr>
              <w:noProof/>
              <w:szCs w:val="24"/>
              <w:lang w:val="en"/>
            </w:rPr>
          </w:pPr>
          <w:r>
            <w:rPr>
              <w:noProof/>
              <w:lang w:val="en"/>
            </w:rPr>
            <w:t>1995: 141(2):145-157.</w:t>
          </w:r>
          <w:r w:rsidRPr="001F1843">
            <w:rPr>
              <w:noProof/>
              <w:lang w:val="en"/>
            </w:rPr>
            <w:t xml:space="preserve"> </w:t>
          </w:r>
          <w:r>
            <w:rPr>
              <w:noProof/>
              <w:lang w:val="en"/>
            </w:rPr>
            <w:t xml:space="preserve">Abu Heidar, N.F., J.A. Degheili, A.A. Yacoubian, and R.B. Khauli. "Management of Urinary Tract Infections in Women:A Practical Approach for Everday Practice." </w:t>
          </w:r>
          <w:r>
            <w:rPr>
              <w:i/>
              <w:iCs/>
              <w:noProof/>
              <w:lang w:val="en"/>
            </w:rPr>
            <w:t>Urol Ann</w:t>
          </w:r>
          <w:r>
            <w:rPr>
              <w:noProof/>
              <w:lang w:val="en"/>
            </w:rPr>
            <w:t>, 2019: 11(4):339-346.</w:t>
          </w:r>
        </w:p>
        <w:p w:rsidR="001F1843" w:rsidRDefault="001F1843" w:rsidP="001F1843">
          <w:pPr>
            <w:pStyle w:val="a8"/>
            <w:numPr>
              <w:ilvl w:val="0"/>
              <w:numId w:val="4"/>
            </w:numPr>
            <w:rPr>
              <w:noProof/>
              <w:lang w:val="en"/>
            </w:rPr>
          </w:pPr>
          <w:r>
            <w:rPr>
              <w:noProof/>
              <w:lang w:val="en"/>
            </w:rPr>
            <w:t xml:space="preserve">Alnagi, Intisar. "Urine Analysis." </w:t>
          </w:r>
          <w:r>
            <w:rPr>
              <w:i/>
              <w:iCs/>
              <w:noProof/>
              <w:lang w:val="en"/>
            </w:rPr>
            <w:t>LIMU Microbiology, Renal Block Med Year 2.</w:t>
          </w:r>
          <w:r>
            <w:rPr>
              <w:noProof/>
              <w:lang w:val="en"/>
            </w:rPr>
            <w:t xml:space="preserve"> Benghazi: LIMU, 2022.</w:t>
          </w:r>
        </w:p>
        <w:p w:rsidR="001F1843" w:rsidRDefault="001F1843" w:rsidP="001F1843">
          <w:pPr>
            <w:pStyle w:val="a8"/>
            <w:numPr>
              <w:ilvl w:val="0"/>
              <w:numId w:val="4"/>
            </w:numPr>
            <w:rPr>
              <w:noProof/>
              <w:lang w:val="en"/>
            </w:rPr>
          </w:pPr>
          <w:r>
            <w:rPr>
              <w:noProof/>
              <w:lang w:val="en"/>
            </w:rPr>
            <w:t xml:space="preserve">Christiano, Donna. "E.coli and UTIS (Urinary Tract Infections): The Common Connection." </w:t>
          </w:r>
          <w:r>
            <w:rPr>
              <w:i/>
              <w:iCs/>
              <w:noProof/>
              <w:lang w:val="en"/>
            </w:rPr>
            <w:t>The HealthLine.</w:t>
          </w:r>
          <w:r>
            <w:rPr>
              <w:noProof/>
              <w:lang w:val="en"/>
            </w:rPr>
            <w:t xml:space="preserve"> 16 December 2019. https://www.healthline.com/health/e-coli-uti#E.-coli-and-UTIS (accessed June 10, 2022).</w:t>
          </w:r>
        </w:p>
        <w:p w:rsidR="001F1843" w:rsidRDefault="001F1843" w:rsidP="001F1843">
          <w:pPr>
            <w:pStyle w:val="a8"/>
            <w:numPr>
              <w:ilvl w:val="0"/>
              <w:numId w:val="4"/>
            </w:numPr>
            <w:rPr>
              <w:noProof/>
              <w:lang w:val="en"/>
            </w:rPr>
          </w:pPr>
          <w:bookmarkStart w:id="11" w:name="_Ref107736873"/>
          <w:r>
            <w:rPr>
              <w:noProof/>
              <w:lang w:val="en"/>
            </w:rPr>
            <w:t xml:space="preserve">Fatnasa, Khalifa A.A, Alaa Othman Harb, and Abdalhamed M Alkout. "Uriniary Tract Infrction in Sobrata, Algmel Cities in Libya 2013." </w:t>
          </w:r>
          <w:r>
            <w:rPr>
              <w:i/>
              <w:iCs/>
              <w:noProof/>
              <w:lang w:val="en"/>
            </w:rPr>
            <w:t>Waalsh Medical Media.</w:t>
          </w:r>
          <w:r>
            <w:rPr>
              <w:noProof/>
              <w:lang w:val="en"/>
            </w:rPr>
            <w:t xml:space="preserve"> Clinical Microbiology:Open Access. 2013. https://www.walshmedicalmedia.com/open-access/urinary-tract-infection-in-sobrata-algemel-cities-in-libyya-2327-5073.1000163.pdf (accessed July 1, 2022).</w:t>
          </w:r>
          <w:bookmarkEnd w:id="11"/>
        </w:p>
        <w:p w:rsidR="001F1843" w:rsidRDefault="001F1843" w:rsidP="001F1843">
          <w:pPr>
            <w:pStyle w:val="a8"/>
            <w:numPr>
              <w:ilvl w:val="0"/>
              <w:numId w:val="4"/>
            </w:numPr>
            <w:rPr>
              <w:noProof/>
              <w:lang w:val="en"/>
            </w:rPr>
          </w:pPr>
          <w:r>
            <w:rPr>
              <w:noProof/>
              <w:lang w:val="en"/>
            </w:rPr>
            <w:t xml:space="preserve">Givler, Donald N., and Amy Givler. "Asymptomatic Bacteruria." </w:t>
          </w:r>
          <w:r>
            <w:rPr>
              <w:i/>
              <w:iCs/>
              <w:noProof/>
              <w:lang w:val="en"/>
            </w:rPr>
            <w:t>StatPearls Treasure Island</w:t>
          </w:r>
          <w:r>
            <w:rPr>
              <w:noProof/>
              <w:lang w:val="en"/>
            </w:rPr>
            <w:t>, January 2022.</w:t>
          </w:r>
        </w:p>
        <w:p w:rsidR="001F1843" w:rsidRDefault="001F1843" w:rsidP="001F1843">
          <w:pPr>
            <w:pStyle w:val="a8"/>
            <w:numPr>
              <w:ilvl w:val="0"/>
              <w:numId w:val="4"/>
            </w:numPr>
            <w:rPr>
              <w:noProof/>
              <w:lang w:val="en"/>
            </w:rPr>
          </w:pPr>
          <w:r>
            <w:rPr>
              <w:noProof/>
              <w:lang w:val="en"/>
            </w:rPr>
            <w:t xml:space="preserve">Levinson, Warren E. </w:t>
          </w:r>
          <w:r>
            <w:rPr>
              <w:i/>
              <w:iCs/>
              <w:noProof/>
              <w:lang w:val="en"/>
            </w:rPr>
            <w:t>Medical Microbiology and Immunology.</w:t>
          </w:r>
          <w:r>
            <w:rPr>
              <w:noProof/>
              <w:lang w:val="en"/>
            </w:rPr>
            <w:t xml:space="preserve"> United States of America: McGraw-Hill Education, 2016.</w:t>
          </w:r>
        </w:p>
        <w:p w:rsidR="001F1843" w:rsidRDefault="001F1843" w:rsidP="001F1843">
          <w:pPr>
            <w:pStyle w:val="a8"/>
            <w:numPr>
              <w:ilvl w:val="0"/>
              <w:numId w:val="4"/>
            </w:numPr>
            <w:rPr>
              <w:noProof/>
              <w:lang w:val="en"/>
            </w:rPr>
          </w:pPr>
          <w:r>
            <w:rPr>
              <w:noProof/>
              <w:lang w:val="en"/>
            </w:rPr>
            <w:t xml:space="preserve">Medin, M Median, and E Castillo-Pino. </w:t>
          </w:r>
          <w:r>
            <w:rPr>
              <w:i/>
              <w:iCs/>
              <w:noProof/>
              <w:lang w:val="en"/>
            </w:rPr>
            <w:t>Therapeutic advances in Urology.</w:t>
          </w:r>
          <w:r>
            <w:rPr>
              <w:noProof/>
              <w:lang w:val="en"/>
            </w:rPr>
            <w:t xml:space="preserve"> 2 May 2019. https://www.ncbi.nlm.nih.gov/pmc/articles/PMC6502976/#:~:text=Another%20Columbian%20study%20showed%20a%25%20and%2015.7%25%2C%20respectively (accessed June 26, 2022).</w:t>
          </w:r>
        </w:p>
        <w:p w:rsidR="001F1843" w:rsidRDefault="001F1843" w:rsidP="001F1843">
          <w:pPr>
            <w:pStyle w:val="a8"/>
            <w:numPr>
              <w:ilvl w:val="0"/>
              <w:numId w:val="4"/>
            </w:numPr>
            <w:rPr>
              <w:noProof/>
              <w:lang w:val="en"/>
            </w:rPr>
          </w:pPr>
          <w:r>
            <w:rPr>
              <w:noProof/>
              <w:lang w:val="en"/>
            </w:rPr>
            <w:t xml:space="preserve">Orenstein, R., and E.S. Wong. "Urinary Tract Infections in Adults." </w:t>
          </w:r>
          <w:r>
            <w:rPr>
              <w:i/>
              <w:iCs/>
              <w:noProof/>
              <w:lang w:val="en"/>
            </w:rPr>
            <w:t>American Family Physician</w:t>
          </w:r>
          <w:r>
            <w:rPr>
              <w:noProof/>
              <w:lang w:val="en"/>
            </w:rPr>
            <w:t>, 1999: 59(5):1225-1237.</w:t>
          </w:r>
        </w:p>
        <w:p w:rsidR="001F1843" w:rsidRDefault="001F1843" w:rsidP="001F1843">
          <w:pPr>
            <w:pStyle w:val="a8"/>
            <w:numPr>
              <w:ilvl w:val="0"/>
              <w:numId w:val="4"/>
            </w:numPr>
            <w:rPr>
              <w:noProof/>
              <w:lang w:val="en"/>
            </w:rPr>
          </w:pPr>
          <w:bookmarkStart w:id="12" w:name="_Ref107703617"/>
          <w:r>
            <w:rPr>
              <w:noProof/>
              <w:lang w:val="en"/>
            </w:rPr>
            <w:lastRenderedPageBreak/>
            <w:t xml:space="preserve">Ruben, F.L., S.R. Dearwater, C.W. Norden, and et al. "Clinical Infections in the Noninstitutionalized Geriatric Age Group:Methods Utilized and Incidence of Infections." </w:t>
          </w:r>
          <w:r>
            <w:rPr>
              <w:i/>
              <w:iCs/>
              <w:noProof/>
              <w:lang w:val="en"/>
            </w:rPr>
            <w:t>Am J Epidemiol</w:t>
          </w:r>
          <w:r>
            <w:rPr>
              <w:noProof/>
              <w:lang w:val="en"/>
            </w:rPr>
            <w:t>,</w:t>
          </w:r>
          <w:bookmarkEnd w:id="12"/>
        </w:p>
        <w:p w:rsidR="001F1843" w:rsidRDefault="001F1843" w:rsidP="001F1843">
          <w:pPr>
            <w:pStyle w:val="a8"/>
            <w:numPr>
              <w:ilvl w:val="0"/>
              <w:numId w:val="4"/>
            </w:numPr>
            <w:rPr>
              <w:noProof/>
              <w:lang w:val="en"/>
            </w:rPr>
          </w:pPr>
          <w:r>
            <w:rPr>
              <w:noProof/>
              <w:lang w:val="en"/>
            </w:rPr>
            <w:t xml:space="preserve">Schemiemann, G, E Kneihl, K Gebhardt, and et al. </w:t>
          </w:r>
          <w:r>
            <w:rPr>
              <w:i/>
              <w:iCs/>
              <w:noProof/>
              <w:lang w:val="en"/>
            </w:rPr>
            <w:t>The diagnosis of Urinary Tract Infection a Systematic Review.</w:t>
          </w:r>
          <w:r>
            <w:rPr>
              <w:noProof/>
              <w:lang w:val="en"/>
            </w:rPr>
            <w:t xml:space="preserve"> Refrences Deutsches Arzteblatt International, Scientific Research Publishing, 2010, 361-367.</w:t>
          </w:r>
        </w:p>
        <w:p w:rsidR="001F1843" w:rsidRDefault="001F1843" w:rsidP="001F1843">
          <w:pPr>
            <w:pStyle w:val="a8"/>
            <w:numPr>
              <w:ilvl w:val="0"/>
              <w:numId w:val="4"/>
            </w:numPr>
            <w:rPr>
              <w:noProof/>
              <w:lang w:val="en"/>
            </w:rPr>
          </w:pPr>
          <w:r>
            <w:rPr>
              <w:noProof/>
              <w:lang w:val="en"/>
            </w:rPr>
            <w:t xml:space="preserve">T.M., H.R.D.H. "Urinary Tract Infection Risk Factors and Gender." </w:t>
          </w:r>
          <w:r>
            <w:rPr>
              <w:i/>
              <w:iCs/>
              <w:noProof/>
              <w:lang w:val="en"/>
            </w:rPr>
            <w:t>The Journal of Gender-Specific Medicine</w:t>
          </w:r>
          <w:r>
            <w:rPr>
              <w:noProof/>
              <w:lang w:val="en"/>
            </w:rPr>
            <w:t>, 2 July 2022.</w:t>
          </w:r>
        </w:p>
        <w:p w:rsidR="001F1843" w:rsidRDefault="001F1843" w:rsidP="001F1843">
          <w:pPr>
            <w:pStyle w:val="a8"/>
            <w:numPr>
              <w:ilvl w:val="0"/>
              <w:numId w:val="4"/>
            </w:numPr>
            <w:rPr>
              <w:noProof/>
              <w:lang w:val="en"/>
            </w:rPr>
          </w:pPr>
          <w:bookmarkStart w:id="13" w:name="_Ref107737162"/>
          <w:r>
            <w:rPr>
              <w:i/>
              <w:iCs/>
              <w:noProof/>
              <w:lang w:val="en"/>
            </w:rPr>
            <w:t>What is the Prevalence of Urinary Tract Infection in males?</w:t>
          </w:r>
          <w:r>
            <w:rPr>
              <w:noProof/>
              <w:lang w:val="en"/>
            </w:rPr>
            <w:t xml:space="preserve"> 17 October 2021. https://www.medscape.com/answers/231574-7822/what-is-the-prevalence-of-urinary-tract-infection-uti-in-males (accessed June 26, 2022).</w:t>
          </w:r>
          <w:bookmarkEnd w:id="13"/>
        </w:p>
        <w:bookmarkEnd w:id="10"/>
        <w:p w:rsidR="00CD3119" w:rsidRDefault="00CD3119" w:rsidP="001F1843">
          <w:r>
            <w:rPr>
              <w:b/>
              <w:bCs/>
            </w:rPr>
            <w:fldChar w:fldCharType="end"/>
          </w:r>
        </w:p>
      </w:sdtContent>
    </w:sdt>
    <w:p w:rsidR="003B0844" w:rsidRDefault="003B0844">
      <w:pPr>
        <w:widowControl w:val="0"/>
        <w:spacing w:before="240" w:after="240" w:line="480" w:lineRule="auto"/>
        <w:rPr>
          <w:rFonts w:ascii="Times New Roman" w:eastAsia="Times New Roman" w:hAnsi="Times New Roman" w:cs="Times New Roman"/>
          <w:sz w:val="24"/>
          <w:szCs w:val="24"/>
        </w:rPr>
      </w:pPr>
    </w:p>
    <w:p w:rsidR="003B0844" w:rsidRDefault="003B0844">
      <w:pPr>
        <w:widowControl w:val="0"/>
        <w:pBdr>
          <w:top w:val="nil"/>
          <w:left w:val="nil"/>
          <w:bottom w:val="nil"/>
          <w:right w:val="nil"/>
          <w:between w:val="nil"/>
        </w:pBdr>
        <w:spacing w:line="480" w:lineRule="auto"/>
        <w:jc w:val="center"/>
      </w:pPr>
    </w:p>
    <w:p w:rsidR="003B0844" w:rsidRDefault="003B0844">
      <w:pPr>
        <w:widowControl w:val="0"/>
        <w:pBdr>
          <w:top w:val="nil"/>
          <w:left w:val="nil"/>
          <w:bottom w:val="nil"/>
          <w:right w:val="nil"/>
          <w:between w:val="nil"/>
        </w:pBdr>
      </w:pPr>
    </w:p>
    <w:sectPr w:rsidR="003B0844">
      <w:footerReference w:type="default" r:id="rId15"/>
      <w:footerReference w:type="first" r:id="rId16"/>
      <w:pgSz w:w="12240" w:h="15840"/>
      <w:pgMar w:top="1440" w:right="1800" w:bottom="1440" w:left="180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1AB6" w:rsidRDefault="001B1AB6">
      <w:pPr>
        <w:spacing w:line="240" w:lineRule="auto"/>
      </w:pPr>
      <w:r>
        <w:separator/>
      </w:r>
    </w:p>
  </w:endnote>
  <w:endnote w:type="continuationSeparator" w:id="0">
    <w:p w:rsidR="001B1AB6" w:rsidRDefault="001B1AB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ungsuh">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0844" w:rsidRDefault="0010695E">
    <w:pPr>
      <w:jc w:val="cente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683086">
      <w:rPr>
        <w:rFonts w:ascii="Times New Roman" w:eastAsia="Times New Roman" w:hAnsi="Times New Roman" w:cs="Times New Roman"/>
        <w:noProof/>
        <w:sz w:val="24"/>
        <w:szCs w:val="24"/>
      </w:rPr>
      <w:t>2</w:t>
    </w:r>
    <w:r>
      <w:rPr>
        <w:rFonts w:ascii="Times New Roman" w:eastAsia="Times New Roman" w:hAnsi="Times New Roman" w:cs="Times New Roman"/>
        <w:sz w:val="24"/>
        <w:szCs w:val="24"/>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0844" w:rsidRDefault="003B084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1AB6" w:rsidRDefault="001B1AB6">
      <w:pPr>
        <w:spacing w:line="240" w:lineRule="auto"/>
      </w:pPr>
      <w:r>
        <w:separator/>
      </w:r>
    </w:p>
  </w:footnote>
  <w:footnote w:type="continuationSeparator" w:id="0">
    <w:p w:rsidR="001B1AB6" w:rsidRDefault="001B1AB6">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101591"/>
    <w:multiLevelType w:val="hybridMultilevel"/>
    <w:tmpl w:val="3244D7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9796327"/>
    <w:multiLevelType w:val="hybridMultilevel"/>
    <w:tmpl w:val="5058A6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8C303D4"/>
    <w:multiLevelType w:val="hybridMultilevel"/>
    <w:tmpl w:val="FAB0F4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26D2F8D"/>
    <w:multiLevelType w:val="multilevel"/>
    <w:tmpl w:val="F84287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844"/>
    <w:rsid w:val="00041608"/>
    <w:rsid w:val="0010695E"/>
    <w:rsid w:val="001B1AB6"/>
    <w:rsid w:val="001F1843"/>
    <w:rsid w:val="00217A7B"/>
    <w:rsid w:val="002F280C"/>
    <w:rsid w:val="0037271B"/>
    <w:rsid w:val="003B0844"/>
    <w:rsid w:val="005829EB"/>
    <w:rsid w:val="00683086"/>
    <w:rsid w:val="007E7203"/>
    <w:rsid w:val="00884026"/>
    <w:rsid w:val="009352A8"/>
    <w:rsid w:val="009C4C8E"/>
    <w:rsid w:val="00CD3119"/>
    <w:rsid w:val="00F07361"/>
    <w:rsid w:val="00F374B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63D7EF-EC59-49FD-BC82-75A5ADCB5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link w:val="1Char"/>
    <w:uiPriority w:val="9"/>
    <w:qFormat/>
    <w:pPr>
      <w:keepNext/>
      <w:keepLines/>
      <w:outlineLvl w:val="0"/>
    </w:pPr>
    <w:rPr>
      <w:rFonts w:ascii="Times New Roman" w:eastAsia="Times New Roman" w:hAnsi="Times New Roman" w:cs="Times New Roman"/>
      <w:b/>
      <w:sz w:val="28"/>
      <w:szCs w:val="28"/>
    </w:rPr>
  </w:style>
  <w:style w:type="paragraph" w:styleId="2">
    <w:name w:val="heading 2"/>
    <w:basedOn w:val="a"/>
    <w:next w:val="a"/>
    <w:pPr>
      <w:keepNext/>
      <w:keepLines/>
      <w:spacing w:line="360" w:lineRule="auto"/>
      <w:outlineLvl w:val="1"/>
    </w:pPr>
    <w:rPr>
      <w:rFonts w:ascii="Times New Roman" w:eastAsia="Times New Roman" w:hAnsi="Times New Roman" w:cs="Times New Roman"/>
      <w:b/>
      <w:sz w:val="28"/>
      <w:szCs w:val="28"/>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paragraph" w:styleId="a8">
    <w:name w:val="Bibliography"/>
    <w:basedOn w:val="a"/>
    <w:next w:val="a"/>
    <w:uiPriority w:val="37"/>
    <w:unhideWhenUsed/>
    <w:rsid w:val="00F07361"/>
    <w:pPr>
      <w:spacing w:after="160" w:line="360" w:lineRule="auto"/>
    </w:pPr>
    <w:rPr>
      <w:rFonts w:asciiTheme="majorBidi" w:eastAsiaTheme="minorHAnsi" w:hAnsiTheme="majorBidi" w:cstheme="minorBidi"/>
      <w:sz w:val="24"/>
      <w:lang w:val="en-GB" w:eastAsia="en-US"/>
    </w:rPr>
  </w:style>
  <w:style w:type="character" w:customStyle="1" w:styleId="1Char">
    <w:name w:val="عنوان 1 Char"/>
    <w:basedOn w:val="a0"/>
    <w:link w:val="1"/>
    <w:uiPriority w:val="9"/>
    <w:rsid w:val="00CD3119"/>
    <w:rPr>
      <w:rFonts w:ascii="Times New Roman" w:eastAsia="Times New Roman" w:hAnsi="Times New Roman" w:cs="Times New Roman"/>
      <w:b/>
      <w:sz w:val="28"/>
      <w:szCs w:val="28"/>
    </w:rPr>
  </w:style>
  <w:style w:type="paragraph" w:styleId="10">
    <w:name w:val="toc 1"/>
    <w:basedOn w:val="a"/>
    <w:next w:val="a"/>
    <w:autoRedefine/>
    <w:uiPriority w:val="39"/>
    <w:unhideWhenUsed/>
    <w:rsid w:val="00CD3119"/>
    <w:pPr>
      <w:spacing w:after="100"/>
    </w:pPr>
  </w:style>
  <w:style w:type="character" w:styleId="Hyperlink">
    <w:name w:val="Hyperlink"/>
    <w:basedOn w:val="a0"/>
    <w:uiPriority w:val="99"/>
    <w:unhideWhenUsed/>
    <w:rsid w:val="00CD311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7109270">
      <w:bodyDiv w:val="1"/>
      <w:marLeft w:val="0"/>
      <w:marRight w:val="0"/>
      <w:marTop w:val="0"/>
      <w:marBottom w:val="0"/>
      <w:divBdr>
        <w:top w:val="none" w:sz="0" w:space="0" w:color="auto"/>
        <w:left w:val="none" w:sz="0" w:space="0" w:color="auto"/>
        <w:bottom w:val="none" w:sz="0" w:space="0" w:color="auto"/>
        <w:right w:val="none" w:sz="0" w:space="0" w:color="auto"/>
      </w:divBdr>
    </w:div>
    <w:div w:id="494805948">
      <w:bodyDiv w:val="1"/>
      <w:marLeft w:val="0"/>
      <w:marRight w:val="0"/>
      <w:marTop w:val="0"/>
      <w:marBottom w:val="0"/>
      <w:divBdr>
        <w:top w:val="none" w:sz="0" w:space="0" w:color="auto"/>
        <w:left w:val="none" w:sz="0" w:space="0" w:color="auto"/>
        <w:bottom w:val="none" w:sz="0" w:space="0" w:color="auto"/>
        <w:right w:val="none" w:sz="0" w:space="0" w:color="auto"/>
      </w:divBdr>
    </w:div>
    <w:div w:id="599917454">
      <w:bodyDiv w:val="1"/>
      <w:marLeft w:val="0"/>
      <w:marRight w:val="0"/>
      <w:marTop w:val="0"/>
      <w:marBottom w:val="0"/>
      <w:divBdr>
        <w:top w:val="none" w:sz="0" w:space="0" w:color="auto"/>
        <w:left w:val="none" w:sz="0" w:space="0" w:color="auto"/>
        <w:bottom w:val="none" w:sz="0" w:space="0" w:color="auto"/>
        <w:right w:val="none" w:sz="0" w:space="0" w:color="auto"/>
      </w:divBdr>
    </w:div>
    <w:div w:id="891690744">
      <w:bodyDiv w:val="1"/>
      <w:marLeft w:val="0"/>
      <w:marRight w:val="0"/>
      <w:marTop w:val="0"/>
      <w:marBottom w:val="0"/>
      <w:divBdr>
        <w:top w:val="none" w:sz="0" w:space="0" w:color="auto"/>
        <w:left w:val="none" w:sz="0" w:space="0" w:color="auto"/>
        <w:bottom w:val="none" w:sz="0" w:space="0" w:color="auto"/>
        <w:right w:val="none" w:sz="0" w:space="0" w:color="auto"/>
      </w:divBdr>
    </w:div>
    <w:div w:id="1630744978">
      <w:bodyDiv w:val="1"/>
      <w:marLeft w:val="0"/>
      <w:marRight w:val="0"/>
      <w:marTop w:val="0"/>
      <w:marBottom w:val="0"/>
      <w:divBdr>
        <w:top w:val="none" w:sz="0" w:space="0" w:color="auto"/>
        <w:left w:val="none" w:sz="0" w:space="0" w:color="auto"/>
        <w:bottom w:val="none" w:sz="0" w:space="0" w:color="auto"/>
        <w:right w:val="none" w:sz="0" w:space="0" w:color="auto"/>
      </w:divBdr>
    </w:div>
    <w:div w:id="1708948837">
      <w:bodyDiv w:val="1"/>
      <w:marLeft w:val="0"/>
      <w:marRight w:val="0"/>
      <w:marTop w:val="0"/>
      <w:marBottom w:val="0"/>
      <w:divBdr>
        <w:top w:val="none" w:sz="0" w:space="0" w:color="auto"/>
        <w:left w:val="none" w:sz="0" w:space="0" w:color="auto"/>
        <w:bottom w:val="none" w:sz="0" w:space="0" w:color="auto"/>
        <w:right w:val="none" w:sz="0" w:space="0" w:color="auto"/>
      </w:divBdr>
    </w:div>
    <w:div w:id="1734692247">
      <w:bodyDiv w:val="1"/>
      <w:marLeft w:val="0"/>
      <w:marRight w:val="0"/>
      <w:marTop w:val="0"/>
      <w:marBottom w:val="0"/>
      <w:divBdr>
        <w:top w:val="none" w:sz="0" w:space="0" w:color="auto"/>
        <w:left w:val="none" w:sz="0" w:space="0" w:color="auto"/>
        <w:bottom w:val="none" w:sz="0" w:space="0" w:color="auto"/>
        <w:right w:val="none" w:sz="0" w:space="0" w:color="auto"/>
      </w:divBdr>
    </w:div>
    <w:div w:id="1752310516">
      <w:bodyDiv w:val="1"/>
      <w:marLeft w:val="0"/>
      <w:marRight w:val="0"/>
      <w:marTop w:val="0"/>
      <w:marBottom w:val="0"/>
      <w:divBdr>
        <w:top w:val="none" w:sz="0" w:space="0" w:color="auto"/>
        <w:left w:val="none" w:sz="0" w:space="0" w:color="auto"/>
        <w:bottom w:val="none" w:sz="0" w:space="0" w:color="auto"/>
        <w:right w:val="none" w:sz="0" w:space="0" w:color="auto"/>
      </w:divBdr>
    </w:div>
    <w:div w:id="21132817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b:Source>
    <b:Tag>Med19</b:Tag>
    <b:SourceType>InternetSite</b:SourceType>
    <b:Guid>{9BCA0471-A572-4AE0-ACFA-E8F6560ACEBE}</b:Guid>
    <b:Author>
      <b:Author>
        <b:NameList>
          <b:Person>
            <b:Last>Medin</b:Last>
          </b:Person>
          <b:Person>
            <b:Last>Median</b:Last>
            <b:First>M</b:First>
          </b:Person>
          <b:Person>
            <b:Last>Castillo-Pino</b:Last>
            <b:First>E</b:First>
          </b:Person>
        </b:NameList>
      </b:Author>
    </b:Author>
    <b:Title>Therapeutic advances in Urology</b:Title>
    <b:Year>2019</b:Year>
    <b:Month>May</b:Month>
    <b:Day>2</b:Day>
    <b:YearAccessed>2022</b:YearAccessed>
    <b:MonthAccessed>June</b:MonthAccessed>
    <b:DayAccessed>26</b:DayAccessed>
    <b:URL>https://www.ncbi.nlm.nih.gov/pmc/articles/PMC6502976/#:~:text=Another%20Columbian%20study%20showed%20a%25%20and%2015.7%25%2C%20respectively</b:URL>
    <b:RefOrder>1</b:RefOrder>
  </b:Source>
  <b:Source>
    <b:Tag>Sch10</b:Tag>
    <b:SourceType>Report</b:SourceType>
    <b:Guid>{163F9798-3DC3-408C-B3D9-179E618193A9}</b:Guid>
    <b:Title>The diagnosis of Urinary Tract Infection a Systematic Review</b:Title>
    <b:Year>2010</b:Year>
    <b:YearAccessed>2022</b:YearAccessed>
    <b:MonthAccessed>June</b:MonthAccessed>
    <b:DayAccessed>26</b:DayAccessed>
    <b:URL>https://www.scrip.org/(S(lz5mqp453edsnp55rrgjt55.))/refrences/refrencespapers.aspx?refrecid=2993049</b:URL>
    <b:Publisher>Scientific Research Publishing</b:Publisher>
    <b:ThesisType>Refrences Deutsches Arzteblatt International</b:ThesisType>
    <b:Author>
      <b:Author>
        <b:NameList>
          <b:Person>
            <b:Last>Schemiemann</b:Last>
            <b:First>G</b:First>
          </b:Person>
          <b:Person>
            <b:Last>Kneihl</b:Last>
            <b:First>E</b:First>
          </b:Person>
          <b:Person>
            <b:Last>Gebhardt</b:Last>
            <b:First>K</b:First>
          </b:Person>
          <b:Person>
            <b:Last>et al</b:Last>
          </b:Person>
        </b:NameList>
      </b:Author>
    </b:Author>
    <b:InternetSiteTitle>Deutsches arzteblatt International</b:InternetSiteTitle>
    <b:Pages>361-367</b:Pages>
    <b:RefOrder>2</b:RefOrder>
  </b:Source>
  <b:Source>
    <b:Tag>Wha21</b:Tag>
    <b:SourceType>InternetSite</b:SourceType>
    <b:Guid>{741B330B-B600-45DB-B6D5-B74C2256E063}</b:Guid>
    <b:Title>What is the Prevalence of Urinary Tract Infection in males?</b:Title>
    <b:Year>2021</b:Year>
    <b:Month>October</b:Month>
    <b:Day>17</b:Day>
    <b:YearAccessed>2022</b:YearAccessed>
    <b:MonthAccessed>June</b:MonthAccessed>
    <b:DayAccessed>26</b:DayAccessed>
    <b:URL>https://www.medscape.com/answers/231574-7822/what-is-the-prevalence-of-urinary-tract-infection-uti-in-males</b:URL>
    <b:InternetSiteTitle>Medscape</b:InternetSiteTitle>
    <b:RefOrder>3</b:RefOrder>
  </b:Source>
  <b:Source>
    <b:Tag>Aln22</b:Tag>
    <b:SourceType>ConferenceProceedings</b:SourceType>
    <b:Guid>{38797CDF-9630-4CE2-B9F1-AC8F36110E0E}</b:Guid>
    <b:Title>Urine Analysis</b:Title>
    <b:Year>2022</b:Year>
    <b:ConferenceName>LIMU Microbiology, Renal Block Med Year 2</b:ConferenceName>
    <b:City>Benghazi</b:City>
    <b:Publisher>LIMU</b:Publisher>
    <b:Author>
      <b:Author>
        <b:NameList>
          <b:Person>
            <b:Last>Alnagi</b:Last>
            <b:First>Intisar</b:First>
          </b:Person>
        </b:NameList>
      </b:Author>
    </b:Author>
    <b:RefOrder>4</b:RefOrder>
  </b:Source>
  <b:Source>
    <b:Tag>Ore99</b:Tag>
    <b:SourceType>ArticleInAPeriodical</b:SourceType>
    <b:Guid>{35D72D75-31C6-4307-9C31-747188A6E211}</b:Guid>
    <b:Title>Urinary Tract Infections in Adults</b:Title>
    <b:Pages>59(5):1225-1237</b:Pages>
    <b:Year>1999</b:Year>
    <b:Author>
      <b:Author>
        <b:NameList>
          <b:Person>
            <b:Last>Orenstein</b:Last>
            <b:First>R.</b:First>
          </b:Person>
          <b:Person>
            <b:Last>Wong</b:Last>
            <b:First>E.S.</b:First>
          </b:Person>
        </b:NameList>
      </b:Author>
    </b:Author>
    <b:PeriodicalTitle>American Family Physician</b:PeriodicalTitle>
    <b:RefOrder>5</b:RefOrder>
  </b:Source>
  <b:Source>
    <b:Tag>Rub95</b:Tag>
    <b:SourceType>ArticleInAPeriodical</b:SourceType>
    <b:Guid>{B25EDFF6-8DBF-452A-ADCF-96FFC392D6E4}</b:Guid>
    <b:Title>Clinical Infections in the Noninstitutionalized Geriatric Age Group:Methods Utilized and Incidence of Infections</b:Title>
    <b:PeriodicalTitle>Am J Epidemiol</b:PeriodicalTitle>
    <b:Year>1995</b:Year>
    <b:Pages>141(2):145-157</b:Pages>
    <b:Author>
      <b:Author>
        <b:NameList>
          <b:Person>
            <b:Last>Ruben</b:Last>
            <b:First>F.L.</b:First>
          </b:Person>
          <b:Person>
            <b:Last>Dearwater</b:Last>
            <b:First>S.R.</b:First>
          </b:Person>
          <b:Person>
            <b:Last>Norden</b:Last>
            <b:First>C.W.</b:First>
          </b:Person>
          <b:Person>
            <b:Last>et al.</b:Last>
          </b:Person>
        </b:NameList>
      </b:Author>
    </b:Author>
    <b:Publisher>The Pittsburgh Good Health Study</b:Publisher>
    <b:RefOrder>6</b:RefOrder>
  </b:Source>
  <b:Source>
    <b:Tag>Abu19</b:Tag>
    <b:SourceType>ArticleInAPeriodical</b:SourceType>
    <b:Guid>{3C206F63-91A9-4DDF-A25A-8806CE01A848}</b:Guid>
    <b:Title>Management of Urinary Tract Infections in Women:A Practical Approach for Everday Practice</b:Title>
    <b:PeriodicalTitle>Urol Ann</b:PeriodicalTitle>
    <b:Year>2019</b:Year>
    <b:Pages>11(4):339-346</b:Pages>
    <b:Author>
      <b:Author>
        <b:NameList>
          <b:Person>
            <b:Last>Abu Heidar</b:Last>
            <b:First>N.F.</b:First>
          </b:Person>
          <b:Person>
            <b:Last>Degheili</b:Last>
            <b:First>J.A.</b:First>
          </b:Person>
          <b:Person>
            <b:Last>Yacoubian</b:Last>
            <b:First>A.A.</b:First>
          </b:Person>
          <b:Person>
            <b:Last>Khauli</b:Last>
            <b:First>R.B.</b:First>
          </b:Person>
        </b:NameList>
      </b:Author>
    </b:Author>
    <b:DOI>10.4103/UA/UA_104_19</b:DOI>
    <b:RefOrder>7</b:RefOrder>
  </b:Source>
  <b:Source>
    <b:Tag>Lev16</b:Tag>
    <b:SourceType>Book</b:SourceType>
    <b:Guid>{DB6EBB3E-EC47-4C87-8D5D-5FB1EEDCB6FE}</b:Guid>
    <b:Title>Medical Microbiology and Immunology</b:Title>
    <b:Year>2016</b:Year>
    <b:City>United States of America</b:City>
    <b:Publisher>McGraw-Hill Education</b:Publisher>
    <b:Author>
      <b:Author>
        <b:NameList>
          <b:Person>
            <b:Last>Levinson</b:Last>
            <b:Middle>E.</b:Middle>
            <b:First>Warren</b:First>
          </b:Person>
        </b:NameList>
      </b:Author>
    </b:Author>
    <b:RefOrder>8</b:RefOrder>
  </b:Source>
  <b:Source>
    <b:Tag>Chr19</b:Tag>
    <b:SourceType>DocumentFromInternetSite</b:SourceType>
    <b:Guid>{F74A331A-1405-439B-9640-94FDA070D100}</b:Guid>
    <b:Title>E.coli and UTIS (Urinary Tract Infections): The Common Connection</b:Title>
    <b:Year>2019</b:Year>
    <b:InternetSiteTitle>The HealthLine</b:InternetSiteTitle>
    <b:Month>December</b:Month>
    <b:Day>16</b:Day>
    <b:URL>https://www.healthline.com/health/e-coli-uti#E.-coli-and-UTIS</b:URL>
    <b:Author>
      <b:Author>
        <b:NameList>
          <b:Person>
            <b:Last>Christiano</b:Last>
            <b:First>Donna</b:First>
          </b:Person>
        </b:NameList>
      </b:Author>
    </b:Author>
    <b:YearAccessed>2022</b:YearAccessed>
    <b:MonthAccessed>June</b:MonthAccessed>
    <b:DayAccessed>10</b:DayAccessed>
    <b:RefOrder>9</b:RefOrder>
  </b:Source>
  <b:Source>
    <b:Tag>Giv22</b:Tag>
    <b:SourceType>ArticleInAPeriodical</b:SourceType>
    <b:Guid>{9FCD0AA8-2A31-4279-BFC6-DF2C30B2B0EA}</b:Guid>
    <b:Title>Asymptomatic Bacteruria</b:Title>
    <b:Year>2022</b:Year>
    <b:Month>January</b:Month>
    <b:PeriodicalTitle>StatPearls Treasure Island</b:PeriodicalTitle>
    <b:Author>
      <b:Author>
        <b:NameList>
          <b:Person>
            <b:Last>Givler</b:Last>
            <b:Middle>N.</b:Middle>
            <b:First>Donald</b:First>
          </b:Person>
          <b:Person>
            <b:Last>Givler</b:Last>
            <b:First>Amy</b:First>
          </b:Person>
        </b:NameList>
      </b:Author>
    </b:Author>
    <b:YearAccessed>2022</b:YearAccessed>
    <b:MonthAccessed>May</b:MonthAccessed>
    <b:DayAccessed>26</b:DayAccessed>
    <b:DOI>https://www.ncbi.nlm.nih.gov/books/NBK441848/</b:DOI>
    <b:RefOrder>10</b:RefOrder>
  </b:Source>
  <b:Source>
    <b:Tag>TMH22</b:Tag>
    <b:SourceType>ArticleInAPeriodical</b:SourceType>
    <b:Guid>{4294168E-B8AC-440B-AD9A-6B2200F28917}</b:Guid>
    <b:Title>Urinary Tract Infection Risk Factors and Gender</b:Title>
    <b:PeriodicalTitle>The Journal of Gender-Specific Medicine</b:PeriodicalTitle>
    <b:Year>2022</b:Year>
    <b:Month>July</b:Month>
    <b:Day>2</b:Day>
    <b:InternetSiteTitle>The Journal of Gender-Specific Medicne</b:InternetSiteTitle>
    <b:URL>https://pubmed.ncbi.nlm.nih.gov/11253265/</b:URL>
    <b:Author>
      <b:Author>
        <b:NameList>
          <b:Person>
            <b:Last>T.M.</b:Last>
            <b:First>H.R.D.H</b:First>
          </b:Person>
        </b:NameList>
      </b:Author>
    </b:Author>
    <b:Publisher>JGSM: The Official Journal of The Partnership for Women's Health at Columbia</b:Publisher>
    <b:RefOrder>11</b:RefOrder>
  </b:Source>
  <b:Source>
    <b:Tag>Fat13</b:Tag>
    <b:SourceType>DocumentFromInternetSite</b:SourceType>
    <b:Guid>{AEA1D9C1-5212-4C6B-B925-028C130C865B}</b:Guid>
    <b:Title>Uriniary Tract Infrction in Sobrata, Algmel Cities in Libya 2013</b:Title>
    <b:PeriodicalTitle>Clinical Micriobiology:Open Acses</b:PeriodicalTitle>
    <b:Year>2013</b:Year>
    <b:Author>
      <b:Author>
        <b:NameList>
          <b:Person>
            <b:Last>Fatnasa</b:Last>
            <b:Middle>A.A</b:Middle>
            <b:First>Khalifa</b:First>
          </b:Person>
          <b:Person>
            <b:Last>Harb</b:Last>
            <b:Middle>Othman</b:Middle>
            <b:First>Alaa</b:First>
          </b:Person>
          <b:Person>
            <b:Last>Alkout</b:Last>
            <b:Middle>M</b:Middle>
            <b:First>Abdalhamed</b:First>
          </b:Person>
        </b:NameList>
      </b:Author>
      <b:ProducerName>
        <b:NameList>
          <b:Person>
            <b:Last>Access</b:Last>
            <b:First>Clinical</b:First>
            <b:Middle>Microbiology:Open</b:Middle>
          </b:Person>
        </b:NameList>
      </b:ProducerName>
    </b:Author>
    <b:InternetSiteTitle>Waalsh Medical Media</b:InternetSiteTitle>
    <b:YearAccessed>2022</b:YearAccessed>
    <b:MonthAccessed>July</b:MonthAccessed>
    <b:DayAccessed>1</b:DayAccessed>
    <b:URL>https://www.walshmedicalmedia.com/open-access/urinary-tract-infection-in-sobrata-algemel-cities-in-libyya-2327-5073.1000163.pdf</b:URL>
    <b:DOI>10.4172/2327-5073.1000163</b:DOI>
    <b:RefOrder>12</b:RefOrder>
  </b:Source>
</b:Sources>
</file>

<file path=customXml/itemProps1.xml><?xml version="1.0" encoding="utf-8"?>
<ds:datastoreItem xmlns:ds="http://schemas.openxmlformats.org/officeDocument/2006/customXml" ds:itemID="{088A0876-FC48-4214-9826-9AC349479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16</Pages>
  <Words>2794</Words>
  <Characters>15932</Characters>
  <Application>Microsoft Office Word</Application>
  <DocSecurity>0</DocSecurity>
  <Lines>132</Lines>
  <Paragraphs>37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18689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Technology</cp:lastModifiedBy>
  <cp:revision>4</cp:revision>
  <dcterms:created xsi:type="dcterms:W3CDTF">2022-07-02T21:05:00Z</dcterms:created>
  <dcterms:modified xsi:type="dcterms:W3CDTF">2022-07-03T09:04:00Z</dcterms:modified>
</cp:coreProperties>
</file>